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B22D3A" w:rsidRDefault="00076C09" w:rsidP="00C321B5">
      <w:pPr>
        <w:jc w:val="center"/>
        <w:rPr>
          <w:rFonts w:ascii="Book Antiqua" w:hAnsi="Book Antiqua" w:cs="Arial"/>
          <w:sz w:val="16"/>
          <w:szCs w:val="16"/>
        </w:rPr>
      </w:pPr>
      <w:r w:rsidRPr="00810A31">
        <w:rPr>
          <w:noProof/>
          <w:lang w:val="en-US" w:eastAsia="en-US"/>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C321B5" w:rsidRPr="00B22D3A" w:rsidRDefault="001A1E2C" w:rsidP="00B626FA">
      <w:pPr>
        <w:tabs>
          <w:tab w:val="right" w:pos="9639"/>
        </w:tabs>
        <w:rPr>
          <w:rFonts w:ascii="Book Antiqua" w:hAnsi="Book Antiqua" w:cs="Arial"/>
          <w:b/>
        </w:rPr>
      </w:pPr>
      <w:r w:rsidRPr="00B22D3A">
        <w:rPr>
          <w:rFonts w:ascii="Book Antiqua" w:hAnsi="Book Antiqua" w:cs="Arial"/>
          <w:b/>
        </w:rPr>
        <w:t xml:space="preserve">Upper </w:t>
      </w:r>
      <w:r w:rsidR="00C321B5" w:rsidRPr="00B22D3A">
        <w:rPr>
          <w:rFonts w:ascii="Book Antiqua" w:hAnsi="Book Antiqua" w:cs="Arial"/>
          <w:b/>
        </w:rPr>
        <w:t xml:space="preserve">Tribunal </w:t>
      </w:r>
    </w:p>
    <w:p w:rsidR="007B0824" w:rsidRPr="00D939C2" w:rsidRDefault="00C321B5" w:rsidP="00B626FA">
      <w:pPr>
        <w:tabs>
          <w:tab w:val="right" w:pos="9639"/>
        </w:tabs>
        <w:rPr>
          <w:rFonts w:ascii="Book Antiqua" w:hAnsi="Book Antiqua" w:cs="Arial"/>
          <w:b/>
        </w:rPr>
      </w:pPr>
      <w:r w:rsidRPr="00B22D3A">
        <w:rPr>
          <w:rFonts w:ascii="Book Antiqua" w:hAnsi="Book Antiqua" w:cs="Arial"/>
          <w:b/>
        </w:rPr>
        <w:t xml:space="preserve">(Immigration and Asylum </w:t>
      </w:r>
      <w:proofErr w:type="gramStart"/>
      <w:r w:rsidRPr="00B22D3A">
        <w:rPr>
          <w:rFonts w:ascii="Book Antiqua" w:hAnsi="Book Antiqua" w:cs="Arial"/>
          <w:b/>
        </w:rPr>
        <w:t>Chamber)</w:t>
      </w:r>
      <w:r w:rsidR="00D939C2">
        <w:rPr>
          <w:rFonts w:ascii="Book Antiqua" w:hAnsi="Book Antiqua" w:cs="Arial"/>
          <w:b/>
        </w:rPr>
        <w:t xml:space="preserve">   </w:t>
      </w:r>
      <w:proofErr w:type="gramEnd"/>
      <w:r w:rsidR="00D939C2">
        <w:rPr>
          <w:rFonts w:ascii="Book Antiqua" w:hAnsi="Book Antiqua" w:cs="Arial"/>
          <w:b/>
        </w:rPr>
        <w:t xml:space="preserve">                   </w:t>
      </w:r>
      <w:r w:rsidR="00B3524D" w:rsidRPr="00D939C2">
        <w:rPr>
          <w:rFonts w:ascii="Book Antiqua" w:hAnsi="Book Antiqua" w:cs="Arial"/>
          <w:b/>
        </w:rPr>
        <w:t>Appeal Number</w:t>
      </w:r>
      <w:r w:rsidR="00D53769" w:rsidRPr="00D939C2">
        <w:rPr>
          <w:rFonts w:ascii="Book Antiqua" w:hAnsi="Book Antiqua" w:cs="Arial"/>
          <w:b/>
        </w:rPr>
        <w:t>:</w:t>
      </w:r>
      <w:r w:rsidR="00B3524D" w:rsidRPr="00D939C2">
        <w:rPr>
          <w:rFonts w:ascii="Book Antiqua" w:hAnsi="Book Antiqua" w:cs="Arial"/>
          <w:b/>
        </w:rPr>
        <w:t xml:space="preserve"> </w:t>
      </w:r>
      <w:r w:rsidR="00F91214" w:rsidRPr="00D939C2">
        <w:rPr>
          <w:rFonts w:ascii="Book Antiqua" w:hAnsi="Book Antiqua" w:cs="Arial"/>
          <w:b/>
          <w:caps/>
        </w:rPr>
        <w:t xml:space="preserve">HU/18596/2016  </w:t>
      </w:r>
    </w:p>
    <w:p w:rsidR="00C345E1" w:rsidRPr="00B22D3A" w:rsidRDefault="00C345E1" w:rsidP="00C345E1">
      <w:pPr>
        <w:jc w:val="center"/>
        <w:rPr>
          <w:rFonts w:ascii="Book Antiqua" w:hAnsi="Book Antiqua" w:cs="Arial"/>
        </w:rPr>
      </w:pPr>
    </w:p>
    <w:p w:rsidR="00C345E1" w:rsidRPr="00B22D3A" w:rsidRDefault="00C345E1" w:rsidP="00C345E1">
      <w:pPr>
        <w:jc w:val="center"/>
        <w:rPr>
          <w:rFonts w:ascii="Book Antiqua" w:hAnsi="Book Antiqua" w:cs="Arial"/>
          <w:b/>
          <w:u w:val="single"/>
        </w:rPr>
      </w:pPr>
      <w:r w:rsidRPr="00B22D3A">
        <w:rPr>
          <w:rFonts w:ascii="Book Antiqua" w:hAnsi="Book Antiqua" w:cs="Arial"/>
          <w:b/>
          <w:u w:val="single"/>
        </w:rPr>
        <w:t>THE IMMIGRATION ACTS</w:t>
      </w:r>
    </w:p>
    <w:p w:rsidR="00C345E1" w:rsidRPr="00B22D3A"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B22D3A" w:rsidTr="00D939C2">
        <w:tc>
          <w:tcPr>
            <w:tcW w:w="5245" w:type="dxa"/>
            <w:shd w:val="clear" w:color="auto" w:fill="auto"/>
          </w:tcPr>
          <w:p w:rsidR="00D22636" w:rsidRPr="00B22D3A" w:rsidRDefault="00D22636" w:rsidP="00F53574">
            <w:pPr>
              <w:jc w:val="both"/>
              <w:rPr>
                <w:rFonts w:ascii="Book Antiqua" w:hAnsi="Book Antiqua" w:cs="Arial"/>
                <w:b/>
              </w:rPr>
            </w:pPr>
            <w:r w:rsidRPr="00B22D3A">
              <w:rPr>
                <w:rFonts w:ascii="Book Antiqua" w:hAnsi="Book Antiqua" w:cs="Arial"/>
                <w:b/>
              </w:rPr>
              <w:t xml:space="preserve">Heard at </w:t>
            </w:r>
            <w:r w:rsidR="00882EFC" w:rsidRPr="00B22D3A">
              <w:rPr>
                <w:rFonts w:ascii="Book Antiqua" w:hAnsi="Book Antiqua" w:cs="Arial"/>
                <w:b/>
              </w:rPr>
              <w:t xml:space="preserve">Manchester Civil Justice Centre  </w:t>
            </w:r>
          </w:p>
        </w:tc>
        <w:tc>
          <w:tcPr>
            <w:tcW w:w="4763" w:type="dxa"/>
            <w:shd w:val="clear" w:color="auto" w:fill="auto"/>
          </w:tcPr>
          <w:p w:rsidR="00D22636" w:rsidRPr="00B22D3A" w:rsidRDefault="009358C4" w:rsidP="00F53574">
            <w:pPr>
              <w:jc w:val="both"/>
              <w:rPr>
                <w:rFonts w:ascii="Book Antiqua" w:hAnsi="Book Antiqua" w:cs="Arial"/>
                <w:b/>
              </w:rPr>
            </w:pPr>
            <w:r w:rsidRPr="00B22D3A">
              <w:rPr>
                <w:rFonts w:ascii="Book Antiqua" w:hAnsi="Book Antiqua" w:cs="Arial"/>
                <w:b/>
              </w:rPr>
              <w:t xml:space="preserve">Determination </w:t>
            </w:r>
            <w:r w:rsidR="00283659" w:rsidRPr="00B22D3A">
              <w:rPr>
                <w:rFonts w:ascii="Book Antiqua" w:hAnsi="Book Antiqua" w:cs="Arial"/>
                <w:b/>
              </w:rPr>
              <w:t>Promulgated</w:t>
            </w:r>
            <w:r w:rsidRPr="00B22D3A">
              <w:rPr>
                <w:rFonts w:ascii="Book Antiqua" w:hAnsi="Book Antiqua" w:cs="Arial"/>
                <w:b/>
              </w:rPr>
              <w:t xml:space="preserve">  </w:t>
            </w:r>
          </w:p>
        </w:tc>
      </w:tr>
      <w:tr w:rsidR="00D22636" w:rsidRPr="00B22D3A" w:rsidTr="00D939C2">
        <w:tc>
          <w:tcPr>
            <w:tcW w:w="5245" w:type="dxa"/>
            <w:shd w:val="clear" w:color="auto" w:fill="auto"/>
          </w:tcPr>
          <w:p w:rsidR="00D22636" w:rsidRPr="00B22D3A" w:rsidRDefault="00D22636" w:rsidP="00F53574">
            <w:pPr>
              <w:jc w:val="both"/>
              <w:rPr>
                <w:rFonts w:ascii="Book Antiqua" w:hAnsi="Book Antiqua" w:cs="Arial"/>
                <w:b/>
              </w:rPr>
            </w:pPr>
            <w:r w:rsidRPr="00B22D3A">
              <w:rPr>
                <w:rFonts w:ascii="Book Antiqua" w:hAnsi="Book Antiqua" w:cs="Arial"/>
                <w:b/>
              </w:rPr>
              <w:t xml:space="preserve">On </w:t>
            </w:r>
            <w:r w:rsidR="00882EFC" w:rsidRPr="00B22D3A">
              <w:rPr>
                <w:rFonts w:ascii="Book Antiqua" w:hAnsi="Book Antiqua" w:cs="Arial"/>
                <w:b/>
              </w:rPr>
              <w:t>7</w:t>
            </w:r>
            <w:r w:rsidR="00882EFC" w:rsidRPr="00B22D3A">
              <w:rPr>
                <w:rFonts w:ascii="Book Antiqua" w:hAnsi="Book Antiqua" w:cs="Arial"/>
                <w:b/>
                <w:vertAlign w:val="superscript"/>
              </w:rPr>
              <w:t>th</w:t>
            </w:r>
            <w:r w:rsidR="00882EFC" w:rsidRPr="00B22D3A">
              <w:rPr>
                <w:rFonts w:ascii="Book Antiqua" w:hAnsi="Book Antiqua" w:cs="Arial"/>
                <w:b/>
              </w:rPr>
              <w:t xml:space="preserve"> August 2018  </w:t>
            </w:r>
          </w:p>
        </w:tc>
        <w:tc>
          <w:tcPr>
            <w:tcW w:w="4763" w:type="dxa"/>
            <w:shd w:val="clear" w:color="auto" w:fill="auto"/>
          </w:tcPr>
          <w:p w:rsidR="00D22636" w:rsidRPr="00B22D3A" w:rsidRDefault="00076C09" w:rsidP="00F53574">
            <w:pPr>
              <w:jc w:val="both"/>
              <w:rPr>
                <w:rFonts w:ascii="Book Antiqua" w:hAnsi="Book Antiqua" w:cs="Arial"/>
                <w:b/>
              </w:rPr>
            </w:pPr>
            <w:r>
              <w:rPr>
                <w:rFonts w:ascii="Book Antiqua" w:hAnsi="Book Antiqua" w:cs="Arial"/>
                <w:b/>
              </w:rPr>
              <w:t>On 12</w:t>
            </w:r>
            <w:r w:rsidRPr="00076C09">
              <w:rPr>
                <w:rFonts w:ascii="Book Antiqua" w:hAnsi="Book Antiqua" w:cs="Arial"/>
                <w:b/>
                <w:vertAlign w:val="superscript"/>
              </w:rPr>
              <w:t>th</w:t>
            </w:r>
            <w:r>
              <w:rPr>
                <w:rFonts w:ascii="Book Antiqua" w:hAnsi="Book Antiqua" w:cs="Arial"/>
                <w:b/>
              </w:rPr>
              <w:t xml:space="preserve"> September 2018</w:t>
            </w:r>
          </w:p>
        </w:tc>
      </w:tr>
      <w:tr w:rsidR="00D22636" w:rsidRPr="00B22D3A" w:rsidTr="00D939C2">
        <w:tc>
          <w:tcPr>
            <w:tcW w:w="5245" w:type="dxa"/>
            <w:shd w:val="clear" w:color="auto" w:fill="auto"/>
          </w:tcPr>
          <w:p w:rsidR="00D22636" w:rsidRPr="00B22D3A" w:rsidRDefault="00D22636" w:rsidP="00F53574">
            <w:pPr>
              <w:jc w:val="both"/>
              <w:rPr>
                <w:rFonts w:ascii="Book Antiqua" w:hAnsi="Book Antiqua" w:cs="Arial"/>
                <w:b/>
              </w:rPr>
            </w:pPr>
          </w:p>
        </w:tc>
        <w:tc>
          <w:tcPr>
            <w:tcW w:w="4763" w:type="dxa"/>
            <w:shd w:val="clear" w:color="auto" w:fill="auto"/>
          </w:tcPr>
          <w:p w:rsidR="00D22636" w:rsidRPr="00B22D3A" w:rsidRDefault="00D22636" w:rsidP="00F53574">
            <w:pPr>
              <w:jc w:val="both"/>
              <w:rPr>
                <w:rFonts w:ascii="Book Antiqua" w:hAnsi="Book Antiqua" w:cs="Arial"/>
                <w:b/>
              </w:rPr>
            </w:pPr>
          </w:p>
        </w:tc>
      </w:tr>
    </w:tbl>
    <w:p w:rsidR="00A15234" w:rsidRPr="00B22D3A" w:rsidRDefault="00A15234" w:rsidP="00A15234">
      <w:pPr>
        <w:jc w:val="center"/>
        <w:rPr>
          <w:rFonts w:ascii="Book Antiqua" w:hAnsi="Book Antiqua" w:cs="Arial"/>
        </w:rPr>
      </w:pPr>
    </w:p>
    <w:p w:rsidR="00A15234" w:rsidRPr="00B22D3A" w:rsidRDefault="00207617" w:rsidP="00A15234">
      <w:pPr>
        <w:jc w:val="center"/>
        <w:rPr>
          <w:rFonts w:ascii="Book Antiqua" w:hAnsi="Book Antiqua" w:cs="Arial"/>
          <w:b/>
        </w:rPr>
      </w:pPr>
      <w:r w:rsidRPr="00B22D3A">
        <w:rPr>
          <w:rFonts w:ascii="Book Antiqua" w:hAnsi="Book Antiqua" w:cs="Arial"/>
          <w:b/>
        </w:rPr>
        <w:t>Befo</w:t>
      </w:r>
      <w:r w:rsidR="00A15234" w:rsidRPr="00B22D3A">
        <w:rPr>
          <w:rFonts w:ascii="Book Antiqua" w:hAnsi="Book Antiqua" w:cs="Arial"/>
          <w:b/>
        </w:rPr>
        <w:t>re</w:t>
      </w:r>
    </w:p>
    <w:p w:rsidR="00A15234" w:rsidRPr="00B22D3A" w:rsidRDefault="00A15234" w:rsidP="00A15234">
      <w:pPr>
        <w:jc w:val="center"/>
        <w:rPr>
          <w:rFonts w:ascii="Book Antiqua" w:hAnsi="Book Antiqua" w:cs="Arial"/>
          <w:b/>
        </w:rPr>
      </w:pPr>
    </w:p>
    <w:p w:rsidR="001A1E2C" w:rsidRPr="00B22D3A" w:rsidRDefault="00255071" w:rsidP="00A15234">
      <w:pPr>
        <w:jc w:val="center"/>
        <w:rPr>
          <w:rFonts w:ascii="Book Antiqua" w:hAnsi="Book Antiqua" w:cs="Arial"/>
          <w:b/>
        </w:rPr>
      </w:pPr>
      <w:r w:rsidRPr="00B22D3A">
        <w:rPr>
          <w:rFonts w:ascii="Book Antiqua" w:hAnsi="Book Antiqua" w:cs="Arial"/>
          <w:b/>
        </w:rPr>
        <w:t>DEPUTY UPPER TRIBUNAL</w:t>
      </w:r>
      <w:r w:rsidR="00707DB1" w:rsidRPr="00B22D3A">
        <w:rPr>
          <w:rFonts w:ascii="Book Antiqua" w:hAnsi="Book Antiqua" w:cs="Arial"/>
          <w:b/>
        </w:rPr>
        <w:t xml:space="preserve"> </w:t>
      </w:r>
      <w:r w:rsidR="00E1040E" w:rsidRPr="00B22D3A">
        <w:rPr>
          <w:rFonts w:ascii="Book Antiqua" w:hAnsi="Book Antiqua" w:cs="Arial"/>
          <w:b/>
        </w:rPr>
        <w:t xml:space="preserve">JUDGE </w:t>
      </w:r>
      <w:r w:rsidR="0093333B" w:rsidRPr="00B22D3A">
        <w:rPr>
          <w:rFonts w:ascii="Book Antiqua" w:hAnsi="Book Antiqua" w:cs="Arial"/>
          <w:b/>
        </w:rPr>
        <w:t>J</w:t>
      </w:r>
      <w:r w:rsidR="007D43F8" w:rsidRPr="00B22D3A">
        <w:rPr>
          <w:rFonts w:ascii="Book Antiqua" w:hAnsi="Book Antiqua" w:cs="Arial"/>
          <w:b/>
        </w:rPr>
        <w:t>USS</w:t>
      </w:r>
      <w:r w:rsidR="009358C4" w:rsidRPr="00B22D3A">
        <w:rPr>
          <w:rFonts w:ascii="Book Antiqua" w:hAnsi="Book Antiqua" w:cs="Arial"/>
          <w:b/>
        </w:rPr>
        <w:t xml:space="preserve"> </w:t>
      </w:r>
      <w:r w:rsidR="00AF1794" w:rsidRPr="00B22D3A">
        <w:rPr>
          <w:rFonts w:ascii="Book Antiqua" w:hAnsi="Book Antiqua" w:cs="Arial"/>
          <w:b/>
        </w:rPr>
        <w:t xml:space="preserve"> </w:t>
      </w:r>
    </w:p>
    <w:p w:rsidR="00B16F58" w:rsidRPr="00B22D3A" w:rsidRDefault="00B16F58" w:rsidP="00A15234">
      <w:pPr>
        <w:jc w:val="center"/>
        <w:rPr>
          <w:rFonts w:ascii="Book Antiqua" w:hAnsi="Book Antiqua" w:cs="Arial"/>
          <w:b/>
        </w:rPr>
      </w:pPr>
    </w:p>
    <w:p w:rsidR="00A845DC" w:rsidRPr="00B22D3A" w:rsidRDefault="00A845DC" w:rsidP="00A15234">
      <w:pPr>
        <w:jc w:val="center"/>
        <w:rPr>
          <w:rFonts w:ascii="Book Antiqua" w:hAnsi="Book Antiqua" w:cs="Arial"/>
          <w:b/>
        </w:rPr>
      </w:pPr>
      <w:r w:rsidRPr="00B22D3A">
        <w:rPr>
          <w:rFonts w:ascii="Book Antiqua" w:hAnsi="Book Antiqua" w:cs="Arial"/>
          <w:b/>
        </w:rPr>
        <w:t>Between</w:t>
      </w:r>
    </w:p>
    <w:p w:rsidR="00A845DC" w:rsidRPr="00B22D3A" w:rsidRDefault="00A845DC" w:rsidP="00A15234">
      <w:pPr>
        <w:jc w:val="center"/>
        <w:rPr>
          <w:rFonts w:ascii="Book Antiqua" w:hAnsi="Book Antiqua" w:cs="Arial"/>
          <w:b/>
        </w:rPr>
      </w:pPr>
    </w:p>
    <w:p w:rsidR="00742A8D" w:rsidRPr="00B22D3A" w:rsidRDefault="00AF1794" w:rsidP="00742A8D">
      <w:pPr>
        <w:jc w:val="center"/>
        <w:rPr>
          <w:rFonts w:ascii="Book Antiqua" w:hAnsi="Book Antiqua" w:cs="Arial"/>
          <w:b/>
          <w:caps/>
        </w:rPr>
      </w:pPr>
      <w:r w:rsidRPr="00B22D3A">
        <w:rPr>
          <w:rFonts w:ascii="Book Antiqua" w:hAnsi="Book Antiqua" w:cs="Arial"/>
          <w:b/>
          <w:caps/>
        </w:rPr>
        <w:t xml:space="preserve">mr Touhami Gueddari  </w:t>
      </w:r>
    </w:p>
    <w:p w:rsidR="009F518E" w:rsidRPr="00D939C2" w:rsidRDefault="009F518E" w:rsidP="009F518E">
      <w:pPr>
        <w:jc w:val="center"/>
        <w:rPr>
          <w:rFonts w:ascii="Book Antiqua" w:hAnsi="Book Antiqua" w:cs="Arial"/>
          <w:caps/>
        </w:rPr>
      </w:pPr>
      <w:r w:rsidRPr="00D939C2">
        <w:rPr>
          <w:rFonts w:ascii="Book Antiqua" w:hAnsi="Book Antiqua" w:cs="Arial"/>
          <w:caps/>
        </w:rPr>
        <w:t xml:space="preserve">(ANONYMITY </w:t>
      </w:r>
      <w:r w:rsidR="00016A4C" w:rsidRPr="00D939C2">
        <w:rPr>
          <w:rFonts w:ascii="Book Antiqua" w:hAnsi="Book Antiqua" w:cs="Arial"/>
          <w:caps/>
        </w:rPr>
        <w:t>direction</w:t>
      </w:r>
      <w:r w:rsidRPr="00D939C2">
        <w:rPr>
          <w:rFonts w:ascii="Book Antiqua" w:hAnsi="Book Antiqua" w:cs="Arial"/>
          <w:caps/>
        </w:rPr>
        <w:t xml:space="preserve"> </w:t>
      </w:r>
      <w:bookmarkStart w:id="0" w:name="Text21"/>
      <w:r w:rsidRPr="00D939C2">
        <w:rPr>
          <w:rFonts w:ascii="Book Antiqua" w:hAnsi="Book Antiqua" w:cs="Arial"/>
          <w:caps/>
          <w:noProof/>
        </w:rPr>
        <w:t>NOT MADE</w:t>
      </w:r>
      <w:bookmarkEnd w:id="0"/>
      <w:r w:rsidRPr="00D939C2">
        <w:rPr>
          <w:rFonts w:ascii="Book Antiqua" w:hAnsi="Book Antiqua" w:cs="Arial"/>
          <w:caps/>
        </w:rPr>
        <w:t>)</w:t>
      </w:r>
      <w:r w:rsidR="00AF1794" w:rsidRPr="00D939C2">
        <w:rPr>
          <w:rFonts w:ascii="Book Antiqua" w:hAnsi="Book Antiqua" w:cs="Arial"/>
          <w:caps/>
        </w:rPr>
        <w:t xml:space="preserve">  </w:t>
      </w:r>
    </w:p>
    <w:p w:rsidR="00704B61" w:rsidRPr="00B22D3A" w:rsidRDefault="00704B61" w:rsidP="00704B61">
      <w:pPr>
        <w:jc w:val="right"/>
        <w:rPr>
          <w:rFonts w:ascii="Book Antiqua" w:hAnsi="Book Antiqua" w:cs="Arial"/>
          <w:u w:val="single"/>
        </w:rPr>
      </w:pPr>
      <w:r w:rsidRPr="00B22D3A">
        <w:rPr>
          <w:rFonts w:ascii="Book Antiqua" w:hAnsi="Book Antiqua" w:cs="Arial"/>
          <w:u w:val="single"/>
        </w:rPr>
        <w:t>Appellant</w:t>
      </w:r>
    </w:p>
    <w:p w:rsidR="006D1DFA" w:rsidRPr="00B22D3A" w:rsidRDefault="006D1DFA" w:rsidP="00704B61">
      <w:pPr>
        <w:jc w:val="center"/>
        <w:rPr>
          <w:rFonts w:ascii="Book Antiqua" w:hAnsi="Book Antiqua" w:cs="Arial"/>
          <w:b/>
        </w:rPr>
      </w:pPr>
    </w:p>
    <w:p w:rsidR="00704B61" w:rsidRPr="00B22D3A" w:rsidRDefault="00DD5071" w:rsidP="00704B61">
      <w:pPr>
        <w:jc w:val="center"/>
        <w:rPr>
          <w:rFonts w:ascii="Book Antiqua" w:hAnsi="Book Antiqua" w:cs="Arial"/>
          <w:b/>
        </w:rPr>
      </w:pPr>
      <w:r w:rsidRPr="00B22D3A">
        <w:rPr>
          <w:rFonts w:ascii="Book Antiqua" w:hAnsi="Book Antiqua" w:cs="Arial"/>
          <w:b/>
        </w:rPr>
        <w:t>and</w:t>
      </w:r>
    </w:p>
    <w:p w:rsidR="00DD5071" w:rsidRPr="00B22D3A" w:rsidRDefault="00DD5071" w:rsidP="00704B61">
      <w:pPr>
        <w:jc w:val="center"/>
        <w:rPr>
          <w:rFonts w:ascii="Book Antiqua" w:hAnsi="Book Antiqua" w:cs="Arial"/>
          <w:b/>
        </w:rPr>
      </w:pPr>
    </w:p>
    <w:p w:rsidR="00DD5071" w:rsidRPr="00B22D3A" w:rsidRDefault="00AF1794" w:rsidP="00704B61">
      <w:pPr>
        <w:jc w:val="center"/>
        <w:rPr>
          <w:rFonts w:ascii="Book Antiqua" w:hAnsi="Book Antiqua" w:cs="Arial"/>
          <w:b/>
          <w:caps/>
        </w:rPr>
      </w:pPr>
      <w:r w:rsidRPr="00B22D3A">
        <w:rPr>
          <w:rFonts w:ascii="Book Antiqua" w:hAnsi="Book Antiqua" w:cs="Arial"/>
          <w:b/>
          <w:caps/>
        </w:rPr>
        <w:t xml:space="preserve">Entry Clearance Officer </w:t>
      </w:r>
      <w:r w:rsidR="005B0B28" w:rsidRPr="00B22D3A">
        <w:rPr>
          <w:rFonts w:ascii="Book Antiqua" w:hAnsi="Book Antiqua" w:cs="Arial"/>
          <w:b/>
          <w:caps/>
        </w:rPr>
        <w:t>–</w:t>
      </w:r>
      <w:r w:rsidRPr="00B22D3A">
        <w:rPr>
          <w:rFonts w:ascii="Book Antiqua" w:hAnsi="Book Antiqua" w:cs="Arial"/>
          <w:b/>
          <w:caps/>
        </w:rPr>
        <w:t xml:space="preserve"> </w:t>
      </w:r>
      <w:r w:rsidR="005B0B28" w:rsidRPr="00B22D3A">
        <w:rPr>
          <w:rFonts w:ascii="Book Antiqua" w:hAnsi="Book Antiqua" w:cs="Arial"/>
          <w:b/>
          <w:caps/>
        </w:rPr>
        <w:t xml:space="preserve">UKVS SHeffield  </w:t>
      </w:r>
    </w:p>
    <w:p w:rsidR="00DD5071" w:rsidRPr="00B22D3A" w:rsidRDefault="00DD5071" w:rsidP="00DD5071">
      <w:pPr>
        <w:jc w:val="right"/>
        <w:rPr>
          <w:rFonts w:ascii="Book Antiqua" w:hAnsi="Book Antiqua" w:cs="Arial"/>
          <w:u w:val="single"/>
        </w:rPr>
      </w:pPr>
      <w:r w:rsidRPr="00B22D3A">
        <w:rPr>
          <w:rFonts w:ascii="Book Antiqua" w:hAnsi="Book Antiqua" w:cs="Arial"/>
          <w:u w:val="single"/>
        </w:rPr>
        <w:t>Respondent</w:t>
      </w:r>
    </w:p>
    <w:p w:rsidR="00DD5071" w:rsidRPr="00B22D3A" w:rsidRDefault="00DD5071" w:rsidP="00DD5071">
      <w:pPr>
        <w:rPr>
          <w:rFonts w:ascii="Book Antiqua" w:hAnsi="Book Antiqua" w:cs="Arial"/>
          <w:u w:val="single"/>
        </w:rPr>
      </w:pPr>
    </w:p>
    <w:p w:rsidR="00DD5071" w:rsidRPr="00B22D3A" w:rsidRDefault="00DE7DB7" w:rsidP="00DD5071">
      <w:pPr>
        <w:rPr>
          <w:rFonts w:ascii="Book Antiqua" w:hAnsi="Book Antiqua" w:cs="Arial"/>
        </w:rPr>
      </w:pPr>
      <w:r w:rsidRPr="00B22D3A">
        <w:rPr>
          <w:rFonts w:ascii="Book Antiqua" w:hAnsi="Book Antiqua" w:cs="Arial"/>
          <w:b/>
          <w:u w:val="single"/>
        </w:rPr>
        <w:t>Representation</w:t>
      </w:r>
      <w:r w:rsidRPr="00B22D3A">
        <w:rPr>
          <w:rFonts w:ascii="Book Antiqua" w:hAnsi="Book Antiqua" w:cs="Arial"/>
          <w:b/>
        </w:rPr>
        <w:t>:</w:t>
      </w:r>
    </w:p>
    <w:p w:rsidR="00DE7DB7" w:rsidRPr="00B22D3A" w:rsidRDefault="00DE7DB7" w:rsidP="00DD5071">
      <w:pPr>
        <w:rPr>
          <w:rFonts w:ascii="Book Antiqua" w:hAnsi="Book Antiqua" w:cs="Arial"/>
        </w:rPr>
      </w:pPr>
    </w:p>
    <w:p w:rsidR="00DE7DB7" w:rsidRPr="00B22D3A" w:rsidRDefault="00DE7DB7" w:rsidP="00DE7DB7">
      <w:pPr>
        <w:tabs>
          <w:tab w:val="left" w:pos="2520"/>
        </w:tabs>
        <w:rPr>
          <w:rFonts w:ascii="Book Antiqua" w:hAnsi="Book Antiqua" w:cs="Arial"/>
        </w:rPr>
      </w:pPr>
      <w:r w:rsidRPr="00B22D3A">
        <w:rPr>
          <w:rFonts w:ascii="Book Antiqua" w:hAnsi="Book Antiqua" w:cs="Arial"/>
        </w:rPr>
        <w:t>For the Appellant:</w:t>
      </w:r>
      <w:r w:rsidRPr="00B22D3A">
        <w:rPr>
          <w:rFonts w:ascii="Book Antiqua" w:hAnsi="Book Antiqua" w:cs="Arial"/>
        </w:rPr>
        <w:tab/>
      </w:r>
      <w:r w:rsidR="005B0B28" w:rsidRPr="00B22D3A">
        <w:rPr>
          <w:rFonts w:ascii="Book Antiqua" w:hAnsi="Book Antiqua" w:cs="Arial"/>
        </w:rPr>
        <w:t xml:space="preserve">Mr I Sram (Counsel)  </w:t>
      </w:r>
    </w:p>
    <w:p w:rsidR="00DE7DB7" w:rsidRPr="00B22D3A" w:rsidRDefault="00DE7DB7" w:rsidP="00DE7DB7">
      <w:pPr>
        <w:tabs>
          <w:tab w:val="left" w:pos="2520"/>
        </w:tabs>
        <w:rPr>
          <w:rFonts w:ascii="Book Antiqua" w:hAnsi="Book Antiqua" w:cs="Arial"/>
        </w:rPr>
      </w:pPr>
      <w:r w:rsidRPr="00B22D3A">
        <w:rPr>
          <w:rFonts w:ascii="Book Antiqua" w:hAnsi="Book Antiqua" w:cs="Arial"/>
        </w:rPr>
        <w:t>For the Respondent:</w:t>
      </w:r>
      <w:r w:rsidRPr="00B22D3A">
        <w:rPr>
          <w:rFonts w:ascii="Book Antiqua" w:hAnsi="Book Antiqua" w:cs="Arial"/>
        </w:rPr>
        <w:tab/>
      </w:r>
      <w:r w:rsidR="005B0B28" w:rsidRPr="00B22D3A">
        <w:rPr>
          <w:rFonts w:ascii="Book Antiqua" w:hAnsi="Book Antiqua" w:cs="Arial"/>
        </w:rPr>
        <w:t xml:space="preserve">Ms H Aboni (Senior HOPO)  </w:t>
      </w:r>
    </w:p>
    <w:p w:rsidR="00DE7DB7" w:rsidRPr="00B22D3A" w:rsidRDefault="00DE7DB7" w:rsidP="00402B9E">
      <w:pPr>
        <w:tabs>
          <w:tab w:val="left" w:pos="2520"/>
        </w:tabs>
        <w:jc w:val="center"/>
        <w:rPr>
          <w:rFonts w:ascii="Book Antiqua" w:hAnsi="Book Antiqua" w:cs="Arial"/>
        </w:rPr>
      </w:pPr>
    </w:p>
    <w:p w:rsidR="00DE7DB7" w:rsidRPr="00B22D3A" w:rsidRDefault="006205BF" w:rsidP="00402B9E">
      <w:pPr>
        <w:tabs>
          <w:tab w:val="left" w:pos="2520"/>
        </w:tabs>
        <w:jc w:val="center"/>
        <w:rPr>
          <w:rFonts w:ascii="Book Antiqua" w:hAnsi="Book Antiqua" w:cs="Arial"/>
        </w:rPr>
      </w:pPr>
      <w:r w:rsidRPr="00B22D3A">
        <w:rPr>
          <w:rFonts w:ascii="Book Antiqua" w:hAnsi="Book Antiqua" w:cs="Arial"/>
          <w:b/>
          <w:u w:val="single"/>
        </w:rPr>
        <w:t xml:space="preserve">DETERMINATION AND </w:t>
      </w:r>
      <w:r w:rsidR="00402B9E" w:rsidRPr="00B22D3A">
        <w:rPr>
          <w:rFonts w:ascii="Book Antiqua" w:hAnsi="Book Antiqua" w:cs="Arial"/>
          <w:b/>
          <w:u w:val="single"/>
        </w:rPr>
        <w:t>REASONS</w:t>
      </w:r>
      <w:r w:rsidRPr="00B22D3A">
        <w:rPr>
          <w:rFonts w:ascii="Book Antiqua" w:hAnsi="Book Antiqua" w:cs="Arial"/>
          <w:b/>
          <w:u w:val="single"/>
        </w:rPr>
        <w:t xml:space="preserve">  </w:t>
      </w:r>
    </w:p>
    <w:p w:rsidR="00B626FA" w:rsidRPr="00B22D3A" w:rsidRDefault="00B626FA" w:rsidP="00402B9E">
      <w:pPr>
        <w:tabs>
          <w:tab w:val="left" w:pos="2520"/>
        </w:tabs>
        <w:jc w:val="both"/>
        <w:rPr>
          <w:rFonts w:ascii="Book Antiqua" w:hAnsi="Book Antiqua" w:cs="Arial"/>
        </w:rPr>
      </w:pPr>
    </w:p>
    <w:p w:rsidR="006205BF" w:rsidRPr="00B22D3A" w:rsidRDefault="006205BF" w:rsidP="00B52A42">
      <w:pPr>
        <w:numPr>
          <w:ilvl w:val="0"/>
          <w:numId w:val="3"/>
        </w:numPr>
        <w:spacing w:before="240"/>
        <w:jc w:val="both"/>
        <w:rPr>
          <w:rFonts w:ascii="Book Antiqua" w:hAnsi="Book Antiqua" w:cs="Arial"/>
        </w:rPr>
      </w:pPr>
      <w:r w:rsidRPr="00B22D3A">
        <w:rPr>
          <w:rFonts w:ascii="Book Antiqua" w:hAnsi="Book Antiqua" w:cs="Arial"/>
        </w:rPr>
        <w:t xml:space="preserve">This is an appeal against the determination of First-tier Tribunal Judge F </w:t>
      </w:r>
      <w:r w:rsidR="00DA4C88" w:rsidRPr="00B22D3A">
        <w:rPr>
          <w:rFonts w:ascii="Book Antiqua" w:hAnsi="Book Antiqua" w:cs="Arial"/>
        </w:rPr>
        <w:t>Meyler promulgated on 13</w:t>
      </w:r>
      <w:r w:rsidR="00DA4C88" w:rsidRPr="00B22D3A">
        <w:rPr>
          <w:rFonts w:ascii="Book Antiqua" w:hAnsi="Book Antiqua" w:cs="Arial"/>
          <w:vertAlign w:val="superscript"/>
        </w:rPr>
        <w:t>th</w:t>
      </w:r>
      <w:r w:rsidR="00DA4C88" w:rsidRPr="00B22D3A">
        <w:rPr>
          <w:rFonts w:ascii="Book Antiqua" w:hAnsi="Book Antiqua" w:cs="Arial"/>
        </w:rPr>
        <w:t xml:space="preserve"> February 2018, following a hearing at Stoke-on-Trent on 18</w:t>
      </w:r>
      <w:r w:rsidR="00DA4C88" w:rsidRPr="00B22D3A">
        <w:rPr>
          <w:rFonts w:ascii="Book Antiqua" w:hAnsi="Book Antiqua" w:cs="Arial"/>
          <w:vertAlign w:val="superscript"/>
        </w:rPr>
        <w:t>th</w:t>
      </w:r>
      <w:r w:rsidR="00DA4C88" w:rsidRPr="00B22D3A">
        <w:rPr>
          <w:rFonts w:ascii="Book Antiqua" w:hAnsi="Book Antiqua" w:cs="Arial"/>
        </w:rPr>
        <w:t> November 2017.  In the determination, the judge dismissed the appeal of the Appellant, whereupon the Appellant</w:t>
      </w:r>
      <w:r w:rsidR="000E706F" w:rsidRPr="00B22D3A">
        <w:rPr>
          <w:rFonts w:ascii="Book Antiqua" w:hAnsi="Book Antiqua" w:cs="Arial"/>
        </w:rPr>
        <w:t xml:space="preserve"> subsequent</w:t>
      </w:r>
      <w:r w:rsidR="009403CB" w:rsidRPr="00B22D3A">
        <w:rPr>
          <w:rFonts w:ascii="Book Antiqua" w:hAnsi="Book Antiqua" w:cs="Arial"/>
        </w:rPr>
        <w:t xml:space="preserve">ly applied for, and was granted, permission to appeal to the Upper Tribunal, and thus the matter </w:t>
      </w:r>
      <w:r w:rsidR="00A652E1" w:rsidRPr="00B22D3A">
        <w:rPr>
          <w:rFonts w:ascii="Book Antiqua" w:hAnsi="Book Antiqua" w:cs="Arial"/>
        </w:rPr>
        <w:t xml:space="preserve">comes before me.  </w:t>
      </w:r>
    </w:p>
    <w:p w:rsidR="00A652E1" w:rsidRPr="00B22D3A" w:rsidRDefault="00A652E1" w:rsidP="00A652E1">
      <w:pPr>
        <w:spacing w:before="240"/>
        <w:jc w:val="both"/>
        <w:rPr>
          <w:rFonts w:ascii="Book Antiqua" w:hAnsi="Book Antiqua" w:cs="Arial"/>
          <w:b/>
          <w:u w:val="single"/>
        </w:rPr>
      </w:pPr>
      <w:r w:rsidRPr="00B22D3A">
        <w:rPr>
          <w:rFonts w:ascii="Book Antiqua" w:hAnsi="Book Antiqua" w:cs="Arial"/>
          <w:b/>
          <w:u w:val="single"/>
        </w:rPr>
        <w:t xml:space="preserve">The Appellant’s Claim  </w:t>
      </w:r>
    </w:p>
    <w:p w:rsidR="00A652E1" w:rsidRPr="00B22D3A" w:rsidRDefault="001375C4" w:rsidP="00B52A42">
      <w:pPr>
        <w:numPr>
          <w:ilvl w:val="0"/>
          <w:numId w:val="3"/>
        </w:numPr>
        <w:spacing w:before="240"/>
        <w:jc w:val="both"/>
        <w:rPr>
          <w:rFonts w:ascii="Book Antiqua" w:hAnsi="Book Antiqua" w:cs="Arial"/>
        </w:rPr>
      </w:pPr>
      <w:r w:rsidRPr="00B22D3A">
        <w:rPr>
          <w:rFonts w:ascii="Book Antiqua" w:hAnsi="Book Antiqua" w:cs="Arial"/>
        </w:rPr>
        <w:t>The Appellant is a male, a citizen of Tunisia, and was born on 14</w:t>
      </w:r>
      <w:r w:rsidRPr="00B22D3A">
        <w:rPr>
          <w:rFonts w:ascii="Book Antiqua" w:hAnsi="Book Antiqua" w:cs="Arial"/>
          <w:vertAlign w:val="superscript"/>
        </w:rPr>
        <w:t>th</w:t>
      </w:r>
      <w:r w:rsidRPr="00B22D3A">
        <w:rPr>
          <w:rFonts w:ascii="Book Antiqua" w:hAnsi="Book Antiqua" w:cs="Arial"/>
        </w:rPr>
        <w:t xml:space="preserve"> July 1993.  He is married to Ms June Mary Kukk, who was born on 26</w:t>
      </w:r>
      <w:r w:rsidRPr="00B22D3A">
        <w:rPr>
          <w:rFonts w:ascii="Book Antiqua" w:hAnsi="Book Antiqua" w:cs="Arial"/>
          <w:vertAlign w:val="superscript"/>
        </w:rPr>
        <w:t>th</w:t>
      </w:r>
      <w:r w:rsidRPr="00B22D3A">
        <w:rPr>
          <w:rFonts w:ascii="Book Antiqua" w:hAnsi="Book Antiqua" w:cs="Arial"/>
        </w:rPr>
        <w:t xml:space="preserve"> June 1954, and is </w:t>
      </w:r>
      <w:r w:rsidR="00F51006" w:rsidRPr="00B22D3A">
        <w:rPr>
          <w:rFonts w:ascii="Book Antiqua" w:hAnsi="Book Antiqua" w:cs="Arial"/>
        </w:rPr>
        <w:t xml:space="preserve">the spouse of the Appellant.  The Appellant appealed against the decision of the Respondent dated </w:t>
      </w:r>
      <w:r w:rsidR="00F51006" w:rsidRPr="00B22D3A">
        <w:rPr>
          <w:rFonts w:ascii="Book Antiqua" w:hAnsi="Book Antiqua" w:cs="Arial"/>
        </w:rPr>
        <w:lastRenderedPageBreak/>
        <w:t>27</w:t>
      </w:r>
      <w:r w:rsidR="00F51006" w:rsidRPr="00B22D3A">
        <w:rPr>
          <w:rFonts w:ascii="Book Antiqua" w:hAnsi="Book Antiqua" w:cs="Arial"/>
          <w:vertAlign w:val="superscript"/>
        </w:rPr>
        <w:t>th</w:t>
      </w:r>
      <w:r w:rsidR="00F51006" w:rsidRPr="00B22D3A">
        <w:rPr>
          <w:rFonts w:ascii="Book Antiqua" w:hAnsi="Book Antiqua" w:cs="Arial"/>
        </w:rPr>
        <w:t xml:space="preserve"> June 2016, refusing his application to join her, as his sponsorin</w:t>
      </w:r>
      <w:bookmarkStart w:id="1" w:name="_GoBack"/>
      <w:bookmarkEnd w:id="1"/>
      <w:r w:rsidR="00F51006" w:rsidRPr="00B22D3A">
        <w:rPr>
          <w:rFonts w:ascii="Book Antiqua" w:hAnsi="Book Antiqua" w:cs="Arial"/>
        </w:rPr>
        <w:t xml:space="preserve">g spouse, for settlement in the UK.  </w:t>
      </w:r>
    </w:p>
    <w:p w:rsidR="00F51006" w:rsidRPr="00B22D3A" w:rsidRDefault="00F51006" w:rsidP="00F51006">
      <w:pPr>
        <w:spacing w:before="240"/>
        <w:jc w:val="both"/>
        <w:rPr>
          <w:rFonts w:ascii="Book Antiqua" w:hAnsi="Book Antiqua" w:cs="Arial"/>
          <w:b/>
          <w:u w:val="single"/>
        </w:rPr>
      </w:pPr>
      <w:r w:rsidRPr="00B22D3A">
        <w:rPr>
          <w:rFonts w:ascii="Book Antiqua" w:hAnsi="Book Antiqua" w:cs="Arial"/>
          <w:b/>
          <w:u w:val="single"/>
        </w:rPr>
        <w:t xml:space="preserve">The Appeal Before Me  </w:t>
      </w:r>
    </w:p>
    <w:p w:rsidR="00810A31" w:rsidRDefault="00F51006" w:rsidP="009337B8">
      <w:pPr>
        <w:numPr>
          <w:ilvl w:val="0"/>
          <w:numId w:val="3"/>
        </w:numPr>
        <w:spacing w:before="240"/>
        <w:jc w:val="both"/>
        <w:rPr>
          <w:rFonts w:ascii="Book Antiqua" w:hAnsi="Book Antiqua" w:cs="Arial"/>
        </w:rPr>
      </w:pPr>
      <w:r w:rsidRPr="00B22D3A">
        <w:rPr>
          <w:rFonts w:ascii="Book Antiqua" w:hAnsi="Book Antiqua" w:cs="Arial"/>
        </w:rPr>
        <w:t xml:space="preserve">The basis of the appeal before me is that at the hearing before Judge Meyler, </w:t>
      </w:r>
      <w:r w:rsidR="00455D00" w:rsidRPr="00B22D3A">
        <w:rPr>
          <w:rFonts w:ascii="Book Antiqua" w:hAnsi="Book Antiqua" w:cs="Arial"/>
        </w:rPr>
        <w:t xml:space="preserve">there was no issue raised in relation </w:t>
      </w:r>
      <w:r w:rsidR="00A17D4E" w:rsidRPr="00B22D3A">
        <w:rPr>
          <w:rFonts w:ascii="Book Antiqua" w:hAnsi="Book Antiqua" w:cs="Arial"/>
        </w:rPr>
        <w:t>to the age difference between the Appellant (who was then 24 years of age</w:t>
      </w:r>
      <w:r w:rsidR="00FC78F9" w:rsidRPr="00B22D3A">
        <w:rPr>
          <w:rFonts w:ascii="Book Antiqua" w:hAnsi="Book Antiqua" w:cs="Arial"/>
        </w:rPr>
        <w:t>) and the sponsoring spouse in the UK (who was then 64 years of age).  The judge, whilst undoubtedly recognising that, “</w:t>
      </w:r>
      <w:r w:rsidR="00A05C03" w:rsidRPr="00B22D3A">
        <w:rPr>
          <w:rFonts w:ascii="Book Antiqua" w:hAnsi="Book Antiqua" w:cs="Arial"/>
        </w:rPr>
        <w:t xml:space="preserve">love knows no boundaries and that </w:t>
      </w:r>
      <w:r w:rsidR="00460F1F" w:rsidRPr="00B22D3A">
        <w:rPr>
          <w:rFonts w:ascii="Book Antiqua" w:hAnsi="Book Antiqua" w:cs="Arial"/>
        </w:rPr>
        <w:t xml:space="preserve">love may overcome a considerable age gap such as this” (paragraph 16) made the age gap between the Appellant and the Sponsor an issue for the </w:t>
      </w:r>
      <w:r w:rsidR="004B5190" w:rsidRPr="00B22D3A">
        <w:rPr>
          <w:rFonts w:ascii="Book Antiqua" w:hAnsi="Book Antiqua" w:cs="Arial"/>
        </w:rPr>
        <w:t xml:space="preserve">first time.  The Appellant, represented by well-known Counsel in the jurisdiction, had not come prepared to deal with this issue.  </w:t>
      </w:r>
    </w:p>
    <w:p w:rsidR="00810A31" w:rsidRDefault="004B5190" w:rsidP="009337B8">
      <w:pPr>
        <w:numPr>
          <w:ilvl w:val="0"/>
          <w:numId w:val="3"/>
        </w:numPr>
        <w:spacing w:before="240"/>
        <w:jc w:val="both"/>
        <w:rPr>
          <w:rFonts w:ascii="Book Antiqua" w:hAnsi="Book Antiqua" w:cs="Arial"/>
        </w:rPr>
      </w:pPr>
      <w:r w:rsidRPr="00B22D3A">
        <w:rPr>
          <w:rFonts w:ascii="Book Antiqua" w:hAnsi="Book Antiqua" w:cs="Arial"/>
        </w:rPr>
        <w:t xml:space="preserve">Ultimately, it was contended, that the reason why the judge took such a negative view of the relationship was because it had been viewed through the </w:t>
      </w:r>
      <w:r w:rsidR="00873651" w:rsidRPr="00B22D3A">
        <w:rPr>
          <w:rFonts w:ascii="Book Antiqua" w:hAnsi="Book Antiqua" w:cs="Arial"/>
        </w:rPr>
        <w:t>prism of the large age gap</w:t>
      </w:r>
      <w:r w:rsidR="00EF26F1" w:rsidRPr="00B22D3A">
        <w:rPr>
          <w:rFonts w:ascii="Book Antiqua" w:hAnsi="Book Antiqua" w:cs="Arial"/>
        </w:rPr>
        <w:t xml:space="preserve">.  The parties were married.  Their marriage was recognised by the UK Government.  It was contended that the judge had gone on to </w:t>
      </w:r>
      <w:r w:rsidR="009337B8" w:rsidRPr="00B22D3A">
        <w:rPr>
          <w:rFonts w:ascii="Book Antiqua" w:hAnsi="Book Antiqua" w:cs="Arial"/>
        </w:rPr>
        <w:t xml:space="preserve">develop a different case.  </w:t>
      </w:r>
    </w:p>
    <w:p w:rsidR="00055340" w:rsidRPr="00B22D3A" w:rsidRDefault="009337B8" w:rsidP="009337B8">
      <w:pPr>
        <w:numPr>
          <w:ilvl w:val="0"/>
          <w:numId w:val="3"/>
        </w:numPr>
        <w:spacing w:before="240"/>
        <w:jc w:val="both"/>
        <w:rPr>
          <w:rFonts w:ascii="Book Antiqua" w:hAnsi="Book Antiqua" w:cs="Arial"/>
        </w:rPr>
      </w:pPr>
      <w:r w:rsidRPr="00B22D3A">
        <w:rPr>
          <w:rFonts w:ascii="Book Antiqua" w:hAnsi="Book Antiqua" w:cs="Arial"/>
        </w:rPr>
        <w:t xml:space="preserve">In this respect, reliance was placed upon the decision in </w:t>
      </w:r>
      <w:r w:rsidRPr="00B22D3A">
        <w:rPr>
          <w:rFonts w:ascii="Book Antiqua" w:hAnsi="Book Antiqua" w:cs="Arial"/>
          <w:b/>
          <w:u w:val="single"/>
        </w:rPr>
        <w:t>JK</w:t>
      </w:r>
      <w:r w:rsidRPr="00B22D3A">
        <w:rPr>
          <w:rFonts w:ascii="Book Antiqua" w:hAnsi="Book Antiqua" w:cs="Arial"/>
          <w:b/>
        </w:rPr>
        <w:t xml:space="preserve"> (</w:t>
      </w:r>
      <w:r w:rsidR="00F21A29" w:rsidRPr="00B22D3A">
        <w:rPr>
          <w:rFonts w:ascii="Book Antiqua" w:hAnsi="Book Antiqua" w:cs="Arial"/>
          <w:b/>
        </w:rPr>
        <w:t xml:space="preserve">Conduct </w:t>
      </w:r>
      <w:r w:rsidRPr="00B22D3A">
        <w:rPr>
          <w:rFonts w:ascii="Book Antiqua" w:hAnsi="Book Antiqua" w:cs="Arial"/>
          <w:b/>
        </w:rPr>
        <w:t xml:space="preserve">of </w:t>
      </w:r>
      <w:r w:rsidR="00F21A29" w:rsidRPr="00B22D3A">
        <w:rPr>
          <w:rFonts w:ascii="Book Antiqua" w:hAnsi="Book Antiqua" w:cs="Arial"/>
          <w:b/>
        </w:rPr>
        <w:t>Hearing</w:t>
      </w:r>
      <w:r w:rsidRPr="00B22D3A">
        <w:rPr>
          <w:rFonts w:ascii="Book Antiqua" w:hAnsi="Book Antiqua" w:cs="Arial"/>
          <w:b/>
        </w:rPr>
        <w:t>) Côte d’Ivoire [2004] UKIAT 00061</w:t>
      </w:r>
      <w:r w:rsidRPr="00B22D3A">
        <w:rPr>
          <w:rFonts w:ascii="Book Antiqua" w:hAnsi="Book Antiqua" w:cs="Arial"/>
        </w:rPr>
        <w:t xml:space="preserve">.  Here </w:t>
      </w:r>
      <w:r w:rsidR="00055340" w:rsidRPr="00B22D3A">
        <w:rPr>
          <w:rFonts w:ascii="Book Antiqua" w:hAnsi="Book Antiqua" w:cs="Arial"/>
        </w:rPr>
        <w:t xml:space="preserve">the Tribunal stated (at paragraph 43) that,       </w:t>
      </w:r>
    </w:p>
    <w:p w:rsidR="00F51006" w:rsidRPr="00B22D3A" w:rsidRDefault="00055340" w:rsidP="00055340">
      <w:pPr>
        <w:spacing w:before="240"/>
        <w:ind w:left="1134"/>
        <w:jc w:val="both"/>
        <w:rPr>
          <w:rFonts w:ascii="Book Antiqua" w:hAnsi="Book Antiqua" w:cs="Arial"/>
        </w:rPr>
      </w:pPr>
      <w:r w:rsidRPr="00B22D3A">
        <w:rPr>
          <w:rFonts w:ascii="Book Antiqua" w:hAnsi="Book Antiqua" w:cs="Arial"/>
        </w:rPr>
        <w:t>“It is wholly legitimate for the Adjudicator to ask his or her questions on issues of inconsistency, points raised in the refusal letter or matters which trouble</w:t>
      </w:r>
      <w:r w:rsidR="007D7024" w:rsidRPr="00B22D3A">
        <w:rPr>
          <w:rFonts w:ascii="Book Antiqua" w:hAnsi="Book Antiqua" w:cs="Arial"/>
        </w:rPr>
        <w:t xml:space="preserve"> </w:t>
      </w:r>
      <w:r w:rsidRPr="00B22D3A">
        <w:rPr>
          <w:rFonts w:ascii="Book Antiqua" w:hAnsi="Book Antiqua" w:cs="Arial"/>
        </w:rPr>
        <w:t xml:space="preserve">the Adjudicator </w:t>
      </w:r>
      <w:proofErr w:type="gramStart"/>
      <w:r w:rsidRPr="00B22D3A">
        <w:rPr>
          <w:rFonts w:ascii="Book Antiqua" w:hAnsi="Book Antiqua" w:cs="Arial"/>
        </w:rPr>
        <w:t>whether or not</w:t>
      </w:r>
      <w:proofErr w:type="gramEnd"/>
      <w:r w:rsidRPr="00B22D3A">
        <w:rPr>
          <w:rFonts w:ascii="Book Antiqua" w:hAnsi="Book Antiqua" w:cs="Arial"/>
        </w:rPr>
        <w:t xml:space="preserve"> they are raised by the other party.  What is important, however, in relation to those matters is that the Adjudicator should not develop a different case from that being presented by the other party or pursue his or her own theory of the case”.  </w:t>
      </w:r>
    </w:p>
    <w:p w:rsidR="006205BF" w:rsidRPr="00B22D3A" w:rsidRDefault="00055340" w:rsidP="00055340">
      <w:pPr>
        <w:spacing w:before="240"/>
        <w:ind w:left="567"/>
        <w:jc w:val="both"/>
        <w:rPr>
          <w:rFonts w:ascii="Book Antiqua" w:hAnsi="Book Antiqua" w:cs="Arial"/>
        </w:rPr>
      </w:pPr>
      <w:r w:rsidRPr="00B22D3A">
        <w:rPr>
          <w:rFonts w:ascii="Book Antiqua" w:hAnsi="Book Antiqua" w:cs="Arial"/>
        </w:rPr>
        <w:t>On 14</w:t>
      </w:r>
      <w:r w:rsidRPr="00B22D3A">
        <w:rPr>
          <w:rFonts w:ascii="Book Antiqua" w:hAnsi="Book Antiqua" w:cs="Arial"/>
          <w:vertAlign w:val="superscript"/>
        </w:rPr>
        <w:t>th</w:t>
      </w:r>
      <w:r w:rsidRPr="00B22D3A">
        <w:rPr>
          <w:rFonts w:ascii="Book Antiqua" w:hAnsi="Book Antiqua" w:cs="Arial"/>
        </w:rPr>
        <w:t xml:space="preserve"> June 2018 permission to appeal was granted by the Tribunal.  In granting permission, it was observed that at paragraphs 17, 18, and 19, the judge appears to have treated the Sponsor’s age as a determinative factor, when this was not the case in the Respondent’s refusal letter.  It was nevertheless the case that treating a matter which was </w:t>
      </w:r>
      <w:r w:rsidR="00093815" w:rsidRPr="00B22D3A">
        <w:rPr>
          <w:rFonts w:ascii="Book Antiqua" w:hAnsi="Book Antiqua" w:cs="Arial"/>
        </w:rPr>
        <w:t xml:space="preserve">not in dispute as a determinative factor gives rise to a procedural unfairness.  </w:t>
      </w:r>
    </w:p>
    <w:p w:rsidR="006205BF" w:rsidRPr="00B22D3A" w:rsidRDefault="00093815" w:rsidP="00093815">
      <w:pPr>
        <w:spacing w:before="240"/>
        <w:jc w:val="both"/>
        <w:rPr>
          <w:rFonts w:ascii="Book Antiqua" w:hAnsi="Book Antiqua" w:cs="Arial"/>
          <w:b/>
          <w:u w:val="single"/>
        </w:rPr>
      </w:pPr>
      <w:r w:rsidRPr="00B22D3A">
        <w:rPr>
          <w:rFonts w:ascii="Book Antiqua" w:hAnsi="Book Antiqua" w:cs="Arial"/>
          <w:b/>
          <w:u w:val="single"/>
        </w:rPr>
        <w:t xml:space="preserve">Submissions   </w:t>
      </w:r>
    </w:p>
    <w:p w:rsidR="00810A31" w:rsidRDefault="00093815" w:rsidP="00B52A42">
      <w:pPr>
        <w:numPr>
          <w:ilvl w:val="0"/>
          <w:numId w:val="3"/>
        </w:numPr>
        <w:spacing w:before="240"/>
        <w:jc w:val="both"/>
        <w:rPr>
          <w:rFonts w:ascii="Book Antiqua" w:hAnsi="Book Antiqua" w:cs="Arial"/>
        </w:rPr>
      </w:pPr>
      <w:r w:rsidRPr="00B22D3A">
        <w:rPr>
          <w:rFonts w:ascii="Book Antiqua" w:hAnsi="Book Antiqua" w:cs="Arial"/>
        </w:rPr>
        <w:t xml:space="preserve">At the hearing before me Mr Sram, had a carefully compiled skeleton argument, which also drew attention to the important case of </w:t>
      </w:r>
      <w:r w:rsidRPr="00B22D3A">
        <w:rPr>
          <w:rFonts w:ascii="Book Antiqua" w:hAnsi="Book Antiqua" w:cs="Arial"/>
          <w:b/>
          <w:u w:val="single"/>
        </w:rPr>
        <w:t>Goudey</w:t>
      </w:r>
      <w:r w:rsidRPr="00B22D3A">
        <w:rPr>
          <w:rFonts w:ascii="Book Antiqua" w:hAnsi="Book Antiqua" w:cs="Arial"/>
          <w:b/>
        </w:rPr>
        <w:t xml:space="preserve"> [2012] UKUT 00041</w:t>
      </w:r>
      <w:r w:rsidRPr="00B22D3A">
        <w:rPr>
          <w:rFonts w:ascii="Book Antiqua" w:hAnsi="Book Antiqua" w:cs="Arial"/>
        </w:rPr>
        <w:t xml:space="preserve">, and the case of </w:t>
      </w:r>
      <w:r w:rsidRPr="00B22D3A">
        <w:rPr>
          <w:rFonts w:ascii="Book Antiqua" w:hAnsi="Book Antiqua" w:cs="Arial"/>
          <w:b/>
          <w:u w:val="single"/>
        </w:rPr>
        <w:t>GA</w:t>
      </w:r>
      <w:r w:rsidRPr="00B22D3A">
        <w:rPr>
          <w:rFonts w:ascii="Book Antiqua" w:hAnsi="Book Antiqua" w:cs="Arial"/>
          <w:b/>
        </w:rPr>
        <w:t xml:space="preserve"> (Ghana) [2006] UKAIT 00046</w:t>
      </w:r>
      <w:r w:rsidRPr="00B22D3A">
        <w:rPr>
          <w:rFonts w:ascii="Book Antiqua" w:hAnsi="Book Antiqua" w:cs="Arial"/>
        </w:rPr>
        <w:t xml:space="preserve">.  He also produced a full copy of the </w:t>
      </w:r>
      <w:r w:rsidR="009E2F38" w:rsidRPr="00B22D3A">
        <w:rPr>
          <w:rFonts w:ascii="Book Antiqua" w:hAnsi="Book Antiqua" w:cs="Arial"/>
        </w:rPr>
        <w:t xml:space="preserve">decision in </w:t>
      </w:r>
      <w:r w:rsidR="009E2F38" w:rsidRPr="00B22D3A">
        <w:rPr>
          <w:rFonts w:ascii="Book Antiqua" w:hAnsi="Book Antiqua" w:cs="Arial"/>
          <w:b/>
          <w:u w:val="single"/>
        </w:rPr>
        <w:t>JK</w:t>
      </w:r>
      <w:r w:rsidR="009E2F38" w:rsidRPr="00B22D3A">
        <w:rPr>
          <w:rFonts w:ascii="Book Antiqua" w:hAnsi="Book Antiqua" w:cs="Arial"/>
          <w:b/>
        </w:rPr>
        <w:t xml:space="preserve"> (</w:t>
      </w:r>
      <w:r w:rsidR="005D73EA" w:rsidRPr="00B22D3A">
        <w:rPr>
          <w:rFonts w:ascii="Book Antiqua" w:hAnsi="Book Antiqua" w:cs="Arial"/>
          <w:b/>
        </w:rPr>
        <w:t xml:space="preserve">Conduct </w:t>
      </w:r>
      <w:r w:rsidR="009E2F38" w:rsidRPr="00B22D3A">
        <w:rPr>
          <w:rFonts w:ascii="Book Antiqua" w:hAnsi="Book Antiqua" w:cs="Arial"/>
          <w:b/>
        </w:rPr>
        <w:t xml:space="preserve">of </w:t>
      </w:r>
      <w:r w:rsidR="005D73EA" w:rsidRPr="00B22D3A">
        <w:rPr>
          <w:rFonts w:ascii="Book Antiqua" w:hAnsi="Book Antiqua" w:cs="Arial"/>
          <w:b/>
        </w:rPr>
        <w:t>Hearing</w:t>
      </w:r>
      <w:r w:rsidR="009E2F38" w:rsidRPr="00B22D3A">
        <w:rPr>
          <w:rFonts w:ascii="Book Antiqua" w:hAnsi="Book Antiqua" w:cs="Arial"/>
          <w:b/>
        </w:rPr>
        <w:t>) Côte d’Ivoire [2004] UKIAT 00061</w:t>
      </w:r>
      <w:r w:rsidR="009E2F38" w:rsidRPr="00B22D3A">
        <w:rPr>
          <w:rFonts w:ascii="Book Antiqua" w:hAnsi="Book Antiqua" w:cs="Arial"/>
        </w:rPr>
        <w:t xml:space="preserve">.  Mr Sram then made the following submissions.  </w:t>
      </w:r>
    </w:p>
    <w:p w:rsidR="00810A31" w:rsidRPr="00810A31" w:rsidRDefault="009E2F38" w:rsidP="00B52A42">
      <w:pPr>
        <w:numPr>
          <w:ilvl w:val="0"/>
          <w:numId w:val="3"/>
        </w:numPr>
        <w:spacing w:before="240"/>
        <w:jc w:val="both"/>
        <w:rPr>
          <w:rFonts w:ascii="Book Antiqua" w:hAnsi="Book Antiqua" w:cs="Arial"/>
        </w:rPr>
      </w:pPr>
      <w:r w:rsidRPr="00B22D3A">
        <w:rPr>
          <w:rFonts w:ascii="Book Antiqua" w:hAnsi="Book Antiqua" w:cs="Arial"/>
        </w:rPr>
        <w:t>First, that a matter had been raised which was not a matter which the parties to</w:t>
      </w:r>
      <w:r w:rsidR="000554A4" w:rsidRPr="00B22D3A">
        <w:rPr>
          <w:rFonts w:ascii="Book Antiqua" w:hAnsi="Book Antiqua" w:cs="Arial"/>
        </w:rPr>
        <w:t xml:space="preserve"> </w:t>
      </w:r>
      <w:r w:rsidRPr="00810A31">
        <w:rPr>
          <w:rFonts w:ascii="Book Antiqua" w:hAnsi="Book Antiqua" w:cs="Calibri"/>
        </w:rPr>
        <w:t xml:space="preserve">the hearing had come to deal with, and this had happened after both representatives had completed their questioning of the Appellant, as is made clear by the judge herself at paragraph 17 of the determination.  </w:t>
      </w:r>
    </w:p>
    <w:p w:rsidR="00810A31" w:rsidRPr="00810A31" w:rsidRDefault="009E2F38" w:rsidP="00B52A42">
      <w:pPr>
        <w:numPr>
          <w:ilvl w:val="0"/>
          <w:numId w:val="3"/>
        </w:numPr>
        <w:spacing w:before="240"/>
        <w:jc w:val="both"/>
        <w:rPr>
          <w:rFonts w:ascii="Book Antiqua" w:hAnsi="Book Antiqua" w:cs="Arial"/>
        </w:rPr>
      </w:pPr>
      <w:r w:rsidRPr="00810A31">
        <w:rPr>
          <w:rFonts w:ascii="Book Antiqua" w:hAnsi="Book Antiqua" w:cs="Calibri"/>
        </w:rPr>
        <w:lastRenderedPageBreak/>
        <w:t xml:space="preserve">Second, insofar as there were any issues of concern, the judge failed to put them to the Sponsor when she gave evidence.  Third, the judge considered the photographs of the Appellant and the sponsoring spouse in the UK on Counsel’s laptop and went on to conclude from this that, “I formed the view that the joint photos of the Appellant and the Sponsor did not seem very natural or comfortable” (paragraph 21).  She failed to explain why this was the case.  A statement of this kind should not have been unsupported by proper reasons.  </w:t>
      </w:r>
    </w:p>
    <w:p w:rsidR="00810A31" w:rsidRPr="00810A31" w:rsidRDefault="009E2F38" w:rsidP="00B52A42">
      <w:pPr>
        <w:numPr>
          <w:ilvl w:val="0"/>
          <w:numId w:val="3"/>
        </w:numPr>
        <w:spacing w:before="240"/>
        <w:jc w:val="both"/>
        <w:rPr>
          <w:rFonts w:ascii="Book Antiqua" w:hAnsi="Book Antiqua" w:cs="Arial"/>
        </w:rPr>
      </w:pPr>
      <w:r w:rsidRPr="00810A31">
        <w:rPr>
          <w:rFonts w:ascii="Book Antiqua" w:hAnsi="Book Antiqua" w:cs="Calibri"/>
        </w:rPr>
        <w:t xml:space="preserve">Third, this was a case where the sponsoring spouse, Ms Kukk, “has visited Tunisia multiple times” (paragraph 7) and in her oral evidence confirmed that she goes three times per year “and stays for two </w:t>
      </w:r>
      <w:r w:rsidR="00315819" w:rsidRPr="00810A31">
        <w:rPr>
          <w:rFonts w:ascii="Book Antiqua" w:hAnsi="Book Antiqua" w:cs="Calibri"/>
        </w:rPr>
        <w:t>weeks on each occasion.  She most recently visited in June 2017” (paragraph 7).  The judge failed to give her evidenc</w:t>
      </w:r>
      <w:r w:rsidR="006A3A88" w:rsidRPr="00810A31">
        <w:rPr>
          <w:rFonts w:ascii="Book Antiqua" w:hAnsi="Book Antiqua" w:cs="Calibri"/>
        </w:rPr>
        <w:t xml:space="preserve">e the weight that it deserved given that no question was raised about her credibility.  </w:t>
      </w:r>
    </w:p>
    <w:p w:rsidR="008A11EA" w:rsidRPr="00B22D3A" w:rsidRDefault="006A3A88" w:rsidP="00B52A42">
      <w:pPr>
        <w:numPr>
          <w:ilvl w:val="0"/>
          <w:numId w:val="3"/>
        </w:numPr>
        <w:spacing w:before="240"/>
        <w:jc w:val="both"/>
        <w:rPr>
          <w:rFonts w:ascii="Book Antiqua" w:hAnsi="Book Antiqua" w:cs="Arial"/>
        </w:rPr>
      </w:pPr>
      <w:r w:rsidRPr="00810A31">
        <w:rPr>
          <w:rFonts w:ascii="Book Antiqua" w:hAnsi="Book Antiqua" w:cs="Calibri"/>
        </w:rPr>
        <w:t>Finally, the judge was unnecessarily sceptical of the nature of the relationship.  Having stated</w:t>
      </w:r>
      <w:r w:rsidR="006A0549" w:rsidRPr="00810A31">
        <w:rPr>
          <w:rFonts w:ascii="Book Antiqua" w:hAnsi="Book Antiqua" w:cs="Calibri"/>
        </w:rPr>
        <w:t xml:space="preserve"> that there were in this case “no serious </w:t>
      </w:r>
      <w:r w:rsidR="00703C4D" w:rsidRPr="00810A31">
        <w:rPr>
          <w:rFonts w:ascii="Book Antiqua" w:hAnsi="Book Antiqua" w:cs="Calibri"/>
        </w:rPr>
        <w:t xml:space="preserve">or </w:t>
      </w:r>
      <w:proofErr w:type="gramStart"/>
      <w:r w:rsidR="00703C4D" w:rsidRPr="00810A31">
        <w:rPr>
          <w:rFonts w:ascii="Book Antiqua" w:hAnsi="Book Antiqua" w:cs="Calibri"/>
        </w:rPr>
        <w:t>in depth</w:t>
      </w:r>
      <w:proofErr w:type="gramEnd"/>
      <w:r w:rsidR="00703C4D" w:rsidRPr="00810A31">
        <w:rPr>
          <w:rFonts w:ascii="Book Antiqua" w:hAnsi="Book Antiqua" w:cs="Calibri"/>
        </w:rPr>
        <w:t xml:space="preserve"> discussion as to the age difference … … </w:t>
      </w:r>
      <w:r w:rsidR="00DD6C66" w:rsidRPr="00810A31">
        <w:rPr>
          <w:rFonts w:ascii="Book Antiqua" w:hAnsi="Book Antiqua" w:cs="Calibri"/>
        </w:rPr>
        <w:t>between the parties t</w:t>
      </w:r>
      <w:r w:rsidR="00810A31" w:rsidRPr="00810A31">
        <w:rPr>
          <w:rFonts w:ascii="Book Antiqua" w:hAnsi="Book Antiqua" w:cs="Calibri"/>
        </w:rPr>
        <w:t xml:space="preserve">o this marriage” (paragraph 18), the </w:t>
      </w:r>
      <w:r w:rsidR="00DD6C66" w:rsidRPr="00810A31">
        <w:rPr>
          <w:rFonts w:ascii="Book Antiqua" w:hAnsi="Book Antiqua" w:cs="Calibri"/>
        </w:rPr>
        <w:t>judge then went on to be unnecessarily critical of the parties.  For example, the Sponsor had expressed concerns about the cold Scottish weather, pointing out that she had to endure temperatures of minus five degrees at one stage.  The judge observed that, “the Appellant seemed oblivious, ignorant or cavalier as to her suffering, in stating by reply that he too felt cold in 25 degrees” (paragraph 25).  It is not necessarily the case, submitted Mr Sram, that the Appellant, who has no experience</w:t>
      </w:r>
      <w:r w:rsidR="00D80855" w:rsidRPr="00810A31">
        <w:rPr>
          <w:rFonts w:ascii="Book Antiqua" w:hAnsi="Book Antiqua" w:cs="Calibri"/>
        </w:rPr>
        <w:t xml:space="preserve"> of cold weather in Scotland, was being ignorant or cavalier about his wife’s suffering by stating that he felt cold in 25 degrees, given that he was from a country which sees far higher temperatures in North Africa.</w:t>
      </w:r>
      <w:r w:rsidR="008A11EA" w:rsidRPr="00810A31">
        <w:rPr>
          <w:rFonts w:ascii="Book Antiqua" w:hAnsi="Book Antiqua" w:cs="Calibri"/>
        </w:rPr>
        <w:t xml:space="preserve">  </w:t>
      </w:r>
    </w:p>
    <w:p w:rsidR="00810A31" w:rsidRPr="00810A31" w:rsidRDefault="008A11EA" w:rsidP="00B52A42">
      <w:pPr>
        <w:numPr>
          <w:ilvl w:val="0"/>
          <w:numId w:val="3"/>
        </w:numPr>
        <w:spacing w:before="240"/>
        <w:jc w:val="both"/>
        <w:rPr>
          <w:rFonts w:ascii="Book Antiqua" w:hAnsi="Book Antiqua" w:cs="Arial"/>
        </w:rPr>
      </w:pPr>
      <w:r w:rsidRPr="00810A31">
        <w:rPr>
          <w:rFonts w:ascii="Book Antiqua" w:hAnsi="Book Antiqua" w:cs="Calibri"/>
        </w:rPr>
        <w:t xml:space="preserve">For her part, Ms Aboni submitted that the judge had directed herself appropriately.  She had asked the question whether this was a genuine and subsisting marriage.  The judge did ask the Sponsor directly during the hearing how, it was in Tunisia for Tunisian men to marry other Tunisian women who were much older than them.  The judge records that, “her reply was that there were many such examples” (paragraph 16).  In the same way, whilst the judge accepted that there was a lot of postdecision evidence, such that both parties are “in touch daily”, she was correct to say that prior to the date of the decision there were “no telephone or messaging records predating the decision” (paragraph 13).  These were matters that the judge could properly </w:t>
      </w:r>
      <w:proofErr w:type="gramStart"/>
      <w:r w:rsidRPr="00810A31">
        <w:rPr>
          <w:rFonts w:ascii="Book Antiqua" w:hAnsi="Book Antiqua" w:cs="Calibri"/>
        </w:rPr>
        <w:t>take into account</w:t>
      </w:r>
      <w:proofErr w:type="gramEnd"/>
      <w:r w:rsidRPr="00810A31">
        <w:rPr>
          <w:rFonts w:ascii="Book Antiqua" w:hAnsi="Book Antiqua" w:cs="Calibri"/>
        </w:rPr>
        <w:t xml:space="preserve">.  </w:t>
      </w:r>
    </w:p>
    <w:p w:rsidR="00093815" w:rsidRPr="00B22D3A" w:rsidRDefault="008A11EA" w:rsidP="00B52A42">
      <w:pPr>
        <w:numPr>
          <w:ilvl w:val="0"/>
          <w:numId w:val="3"/>
        </w:numPr>
        <w:spacing w:before="240"/>
        <w:jc w:val="both"/>
        <w:rPr>
          <w:rFonts w:ascii="Book Antiqua" w:hAnsi="Book Antiqua" w:cs="Arial"/>
        </w:rPr>
      </w:pPr>
      <w:r w:rsidRPr="00810A31">
        <w:rPr>
          <w:rFonts w:ascii="Book Antiqua" w:hAnsi="Book Antiqua" w:cs="Calibri"/>
        </w:rPr>
        <w:t xml:space="preserve">In the same way, whilst the judge accepted that the Sponsor spent two weeks on each visit to Tunisia, she was right to also add that, “there was no attempt to spend a longer </w:t>
      </w:r>
      <w:proofErr w:type="gramStart"/>
      <w:r w:rsidRPr="00810A31">
        <w:rPr>
          <w:rFonts w:ascii="Book Antiqua" w:hAnsi="Book Antiqua" w:cs="Calibri"/>
        </w:rPr>
        <w:t>period of time</w:t>
      </w:r>
      <w:proofErr w:type="gramEnd"/>
      <w:r w:rsidRPr="00810A31">
        <w:rPr>
          <w:rFonts w:ascii="Book Antiqua" w:hAnsi="Book Antiqua" w:cs="Calibri"/>
        </w:rPr>
        <w:t xml:space="preserve"> face to face</w:t>
      </w:r>
      <w:r w:rsidR="00B37754" w:rsidRPr="00810A31">
        <w:rPr>
          <w:rFonts w:ascii="Book Antiqua" w:hAnsi="Book Antiqua" w:cs="Calibri"/>
        </w:rPr>
        <w:t xml:space="preserve">, getting to know each other before the marriage and there was no attempt to cohabit or settle down together in Tunisia after the marriage” (paragraph 15).  Insofar as there were other concerns that the judge had, these were not matters that needed to be put to the witness, because there </w:t>
      </w:r>
      <w:proofErr w:type="gramStart"/>
      <w:r w:rsidR="00B37754" w:rsidRPr="00810A31">
        <w:rPr>
          <w:rFonts w:ascii="Book Antiqua" w:hAnsi="Book Antiqua" w:cs="Calibri"/>
        </w:rPr>
        <w:t>were</w:t>
      </w:r>
      <w:proofErr w:type="gramEnd"/>
      <w:r w:rsidR="00B37754" w:rsidRPr="00810A31">
        <w:rPr>
          <w:rFonts w:ascii="Book Antiqua" w:hAnsi="Book Antiqua" w:cs="Calibri"/>
        </w:rPr>
        <w:t xml:space="preserve"> a matter of judgment for the judge herself.  </w:t>
      </w:r>
    </w:p>
    <w:p w:rsidR="00B37754" w:rsidRPr="00B22D3A" w:rsidRDefault="00B37754" w:rsidP="00B52A42">
      <w:pPr>
        <w:numPr>
          <w:ilvl w:val="0"/>
          <w:numId w:val="3"/>
        </w:numPr>
        <w:spacing w:before="240"/>
        <w:jc w:val="both"/>
        <w:rPr>
          <w:rFonts w:ascii="Book Antiqua" w:hAnsi="Book Antiqua" w:cs="Arial"/>
        </w:rPr>
      </w:pPr>
      <w:r w:rsidRPr="00810A31">
        <w:rPr>
          <w:rFonts w:ascii="Book Antiqua" w:hAnsi="Book Antiqua" w:cs="Calibri"/>
        </w:rPr>
        <w:lastRenderedPageBreak/>
        <w:t>In reply, Mr</w:t>
      </w:r>
      <w:r w:rsidR="00EE0875" w:rsidRPr="00810A31">
        <w:rPr>
          <w:rFonts w:ascii="Book Antiqua" w:hAnsi="Book Antiqua" w:cs="Calibri"/>
        </w:rPr>
        <w:t xml:space="preserve"> </w:t>
      </w:r>
      <w:r w:rsidRPr="00810A31">
        <w:rPr>
          <w:rFonts w:ascii="Book Antiqua" w:hAnsi="Book Antiqua" w:cs="Calibri"/>
        </w:rPr>
        <w:t xml:space="preserve">Sram submitted that postdecision evidence was relevant and it was not properly </w:t>
      </w:r>
      <w:proofErr w:type="gramStart"/>
      <w:r w:rsidRPr="00810A31">
        <w:rPr>
          <w:rFonts w:ascii="Book Antiqua" w:hAnsi="Book Antiqua" w:cs="Calibri"/>
        </w:rPr>
        <w:t>taken into account</w:t>
      </w:r>
      <w:proofErr w:type="gramEnd"/>
      <w:r w:rsidRPr="00810A31">
        <w:rPr>
          <w:rFonts w:ascii="Book Antiqua" w:hAnsi="Book Antiqua" w:cs="Calibri"/>
        </w:rPr>
        <w:t xml:space="preserve"> with a view to giving it the appropriate weight in a case which involved a legally valid marriage.  </w:t>
      </w:r>
    </w:p>
    <w:p w:rsidR="00B37754" w:rsidRPr="00B22D3A" w:rsidRDefault="00B37754" w:rsidP="00B37754">
      <w:pPr>
        <w:spacing w:before="240"/>
        <w:jc w:val="both"/>
        <w:rPr>
          <w:rFonts w:ascii="Book Antiqua" w:hAnsi="Book Antiqua" w:cs="Arial"/>
          <w:b/>
          <w:u w:val="single"/>
        </w:rPr>
      </w:pPr>
      <w:r w:rsidRPr="00B22D3A">
        <w:rPr>
          <w:rFonts w:ascii="Book Antiqua" w:hAnsi="Book Antiqua" w:cs="Arial"/>
          <w:b/>
          <w:u w:val="single"/>
        </w:rPr>
        <w:t xml:space="preserve">Error of Law  </w:t>
      </w:r>
    </w:p>
    <w:p w:rsidR="00B37754" w:rsidRPr="00B22D3A" w:rsidRDefault="00B37754" w:rsidP="00B52A42">
      <w:pPr>
        <w:numPr>
          <w:ilvl w:val="0"/>
          <w:numId w:val="3"/>
        </w:numPr>
        <w:spacing w:before="240"/>
        <w:jc w:val="both"/>
        <w:rPr>
          <w:rFonts w:ascii="Book Antiqua" w:hAnsi="Book Antiqua" w:cs="Arial"/>
        </w:rPr>
      </w:pPr>
      <w:r w:rsidRPr="00B22D3A">
        <w:rPr>
          <w:rFonts w:ascii="Book Antiqua" w:hAnsi="Book Antiqua" w:cs="Arial"/>
        </w:rPr>
        <w:t xml:space="preserve">I am satisfied that the making of the decision by the judge involved the making of an error on a point of law (see Section 12(1) of TCEA </w:t>
      </w:r>
      <w:r w:rsidR="00021905" w:rsidRPr="00B22D3A">
        <w:rPr>
          <w:rFonts w:ascii="Book Antiqua" w:hAnsi="Book Antiqua" w:cs="Arial"/>
        </w:rPr>
        <w:t xml:space="preserve">2007), such that I should set aside the decision.  My reasons are as follows.  </w:t>
      </w:r>
    </w:p>
    <w:p w:rsidR="00021905" w:rsidRPr="00B22D3A" w:rsidRDefault="00021905" w:rsidP="00B52A42">
      <w:pPr>
        <w:numPr>
          <w:ilvl w:val="0"/>
          <w:numId w:val="3"/>
        </w:numPr>
        <w:spacing w:before="240"/>
        <w:jc w:val="both"/>
        <w:rPr>
          <w:rFonts w:ascii="Book Antiqua" w:hAnsi="Book Antiqua" w:cs="Arial"/>
        </w:rPr>
      </w:pPr>
      <w:r w:rsidRPr="00B22D3A">
        <w:rPr>
          <w:rFonts w:ascii="Book Antiqua" w:hAnsi="Book Antiqua" w:cs="Arial"/>
        </w:rPr>
        <w:t>First, and most importantly</w:t>
      </w:r>
      <w:r w:rsidR="0063519A" w:rsidRPr="00B22D3A">
        <w:rPr>
          <w:rFonts w:ascii="Book Antiqua" w:hAnsi="Book Antiqua" w:cs="Arial"/>
        </w:rPr>
        <w:t xml:space="preserve">, this is a case where </w:t>
      </w:r>
      <w:proofErr w:type="gramStart"/>
      <w:r w:rsidR="0063519A" w:rsidRPr="00B22D3A">
        <w:rPr>
          <w:rFonts w:ascii="Book Antiqua" w:hAnsi="Book Antiqua" w:cs="Arial"/>
        </w:rPr>
        <w:t>it is clear that the</w:t>
      </w:r>
      <w:proofErr w:type="gramEnd"/>
      <w:r w:rsidR="0063519A" w:rsidRPr="00B22D3A">
        <w:rPr>
          <w:rFonts w:ascii="Book Antiqua" w:hAnsi="Book Antiqua" w:cs="Arial"/>
        </w:rPr>
        <w:t xml:space="preserve"> judge had “her own theory of the case”, which led her to “develop a different case from that being</w:t>
      </w:r>
      <w:r w:rsidR="00414323" w:rsidRPr="00B22D3A">
        <w:rPr>
          <w:rFonts w:ascii="Book Antiqua" w:hAnsi="Book Antiqua" w:cs="Arial"/>
        </w:rPr>
        <w:t xml:space="preserve"> presented”</w:t>
      </w:r>
      <w:r w:rsidR="00632D1F" w:rsidRPr="00B22D3A">
        <w:rPr>
          <w:rFonts w:ascii="Book Antiqua" w:hAnsi="Book Antiqua" w:cs="Arial"/>
        </w:rPr>
        <w:t xml:space="preserve">, see paragraph 43 of </w:t>
      </w:r>
      <w:r w:rsidR="00632D1F" w:rsidRPr="00B22D3A">
        <w:rPr>
          <w:rFonts w:ascii="Book Antiqua" w:hAnsi="Book Antiqua" w:cs="Arial"/>
          <w:b/>
          <w:u w:val="single"/>
        </w:rPr>
        <w:t>JK</w:t>
      </w:r>
      <w:r w:rsidR="00632D1F" w:rsidRPr="00B22D3A">
        <w:rPr>
          <w:rFonts w:ascii="Book Antiqua" w:hAnsi="Book Antiqua" w:cs="Arial"/>
          <w:b/>
        </w:rPr>
        <w:t xml:space="preserve"> [2004] UKIAT </w:t>
      </w:r>
      <w:r w:rsidR="00DD3F46" w:rsidRPr="00B22D3A">
        <w:rPr>
          <w:rFonts w:ascii="Book Antiqua" w:hAnsi="Book Antiqua" w:cs="Arial"/>
          <w:b/>
        </w:rPr>
        <w:t>00061</w:t>
      </w:r>
      <w:r w:rsidR="00DD3F46" w:rsidRPr="00B22D3A">
        <w:rPr>
          <w:rFonts w:ascii="Book Antiqua" w:hAnsi="Book Antiqua" w:cs="Arial"/>
        </w:rPr>
        <w:t xml:space="preserve">.  </w:t>
      </w:r>
      <w:r w:rsidR="00D05624" w:rsidRPr="00B22D3A">
        <w:rPr>
          <w:rFonts w:ascii="Book Antiqua" w:hAnsi="Book Antiqua" w:cs="Arial"/>
        </w:rPr>
        <w:t xml:space="preserve">Given that this was the case, there was procedural unfairness to the Appellant.  </w:t>
      </w:r>
    </w:p>
    <w:p w:rsidR="00D05624" w:rsidRPr="00B22D3A" w:rsidRDefault="00D05624" w:rsidP="00B52A42">
      <w:pPr>
        <w:numPr>
          <w:ilvl w:val="0"/>
          <w:numId w:val="3"/>
        </w:numPr>
        <w:spacing w:before="240"/>
        <w:jc w:val="both"/>
        <w:rPr>
          <w:rFonts w:ascii="Book Antiqua" w:hAnsi="Book Antiqua" w:cs="Arial"/>
        </w:rPr>
      </w:pPr>
      <w:r w:rsidRPr="00B22D3A">
        <w:rPr>
          <w:rFonts w:ascii="Book Antiqua" w:hAnsi="Book Antiqua" w:cs="Arial"/>
        </w:rPr>
        <w:t xml:space="preserve">Second, this is particularly the case given that the judge gave controlling and determinative weight to the age gap between the Appellant and the Sponsor.  One example is where, as Ms Aboni has pointed out, the judge did ask the sponsoring wife, Ms Kukk, to explain whether she knew of other Tunisian women that were much older than Tunisian men, and her reply was that “there were many such examples”.  </w:t>
      </w:r>
      <w:r w:rsidR="0075547C" w:rsidRPr="00B22D3A">
        <w:rPr>
          <w:rFonts w:ascii="Book Antiqua" w:hAnsi="Book Antiqua" w:cs="Arial"/>
        </w:rPr>
        <w:t xml:space="preserve">The judge went on to say that, “I find that the Sponsor most likely misunderstood the question”.  </w:t>
      </w:r>
      <w:r w:rsidR="009774DD" w:rsidRPr="00B22D3A">
        <w:rPr>
          <w:rFonts w:ascii="Book Antiqua" w:hAnsi="Book Antiqua" w:cs="Arial"/>
        </w:rPr>
        <w:t xml:space="preserve">She stated that she was not persuaded that there would be many examples of Tunisian men “marrying Tunisian women 40 years older than them and no evidence was submitted in support of her assertion” (paragraph 16).  </w:t>
      </w:r>
    </w:p>
    <w:p w:rsidR="009151F8" w:rsidRPr="00B22D3A" w:rsidRDefault="009151F8" w:rsidP="00B52A42">
      <w:pPr>
        <w:numPr>
          <w:ilvl w:val="0"/>
          <w:numId w:val="3"/>
        </w:numPr>
        <w:spacing w:before="240"/>
        <w:jc w:val="both"/>
        <w:rPr>
          <w:rFonts w:ascii="Book Antiqua" w:hAnsi="Book Antiqua" w:cs="Arial"/>
        </w:rPr>
      </w:pPr>
      <w:r w:rsidRPr="00B22D3A">
        <w:rPr>
          <w:rFonts w:ascii="Book Antiqua" w:hAnsi="Book Antiqua" w:cs="Arial"/>
        </w:rPr>
        <w:t xml:space="preserve">Third, </w:t>
      </w:r>
      <w:r w:rsidR="00F3765A" w:rsidRPr="00B22D3A">
        <w:rPr>
          <w:rFonts w:ascii="Book Antiqua" w:hAnsi="Book Antiqua" w:cs="Arial"/>
        </w:rPr>
        <w:t>and following on from this, the cases raised by Mr Sram are important</w:t>
      </w:r>
      <w:r w:rsidR="00F36D2F" w:rsidRPr="00B22D3A">
        <w:rPr>
          <w:rFonts w:ascii="Book Antiqua" w:hAnsi="Book Antiqua" w:cs="Arial"/>
        </w:rPr>
        <w:t xml:space="preserve"> </w:t>
      </w:r>
      <w:r w:rsidR="00F3765A" w:rsidRPr="00810A31">
        <w:rPr>
          <w:rFonts w:ascii="Book Antiqua" w:hAnsi="Book Antiqua" w:cs="Calibri"/>
        </w:rPr>
        <w:t xml:space="preserve">cases in the jurisprudence relating to marriage.  In </w:t>
      </w:r>
      <w:r w:rsidR="005A5FEE" w:rsidRPr="00810A31">
        <w:rPr>
          <w:rFonts w:ascii="Book Antiqua" w:hAnsi="Book Antiqua" w:cs="Calibri"/>
          <w:b/>
          <w:u w:val="single"/>
        </w:rPr>
        <w:t>Gou</w:t>
      </w:r>
      <w:r w:rsidR="00F3765A" w:rsidRPr="00810A31">
        <w:rPr>
          <w:rFonts w:ascii="Book Antiqua" w:hAnsi="Book Antiqua" w:cs="Calibri"/>
          <w:b/>
          <w:u w:val="single"/>
        </w:rPr>
        <w:t>dey</w:t>
      </w:r>
      <w:r w:rsidR="00F3765A" w:rsidRPr="00810A31">
        <w:rPr>
          <w:rFonts w:ascii="Book Antiqua" w:hAnsi="Book Antiqua" w:cs="Calibri"/>
          <w:b/>
        </w:rPr>
        <w:t xml:space="preserve"> [2012] UKUT 00041</w:t>
      </w:r>
      <w:r w:rsidR="00F3765A" w:rsidRPr="00810A31">
        <w:rPr>
          <w:rFonts w:ascii="Book Antiqua" w:hAnsi="Book Antiqua" w:cs="Calibri"/>
        </w:rPr>
        <w:t xml:space="preserve">, the president of the Tribunal stated that the judge had imposed his own expectations of how a couple might conduct their relationship, by failing to appreciate the evidence that was presented so that the absence of texting (which was the issue there) did not show the marriage to be less than genuine.  In the same way the case of </w:t>
      </w:r>
      <w:r w:rsidR="00F3765A" w:rsidRPr="00810A31">
        <w:rPr>
          <w:rFonts w:ascii="Book Antiqua" w:hAnsi="Book Antiqua" w:cs="Calibri"/>
          <w:b/>
          <w:u w:val="single"/>
        </w:rPr>
        <w:t>GA</w:t>
      </w:r>
      <w:r w:rsidR="00F3765A" w:rsidRPr="00810A31">
        <w:rPr>
          <w:rFonts w:ascii="Book Antiqua" w:hAnsi="Book Antiqua" w:cs="Calibri"/>
          <w:b/>
        </w:rPr>
        <w:t xml:space="preserve"> (Ghana) [2006] UKAIT 00046</w:t>
      </w:r>
      <w:r w:rsidR="00F3765A" w:rsidRPr="00810A31">
        <w:rPr>
          <w:rFonts w:ascii="Book Antiqua" w:hAnsi="Book Antiqua" w:cs="Calibri"/>
        </w:rPr>
        <w:t xml:space="preserve"> only requires that there is a “real relationship” as opposed to a merely formal one of marriage which has not been terminated.  Where there is a legally recognised marriage and both parties who are living apart would want to be together, and live together as husband and wife (which would appear to be the case certainly for the time that the Sponsor spent whilst visiting the Appellant in Tunisia), more cannot be required to demonstrate that the marriage is subsisting.  </w:t>
      </w:r>
    </w:p>
    <w:p w:rsidR="00B613FE" w:rsidRPr="00B22D3A" w:rsidRDefault="00F3765A" w:rsidP="00B52A42">
      <w:pPr>
        <w:numPr>
          <w:ilvl w:val="0"/>
          <w:numId w:val="3"/>
        </w:numPr>
        <w:spacing w:before="240"/>
        <w:jc w:val="both"/>
        <w:rPr>
          <w:rFonts w:ascii="Book Antiqua" w:hAnsi="Book Antiqua" w:cs="Arial"/>
        </w:rPr>
      </w:pPr>
      <w:r w:rsidRPr="00810A31">
        <w:rPr>
          <w:rFonts w:ascii="Book Antiqua" w:hAnsi="Book Antiqua" w:cs="Calibri"/>
        </w:rPr>
        <w:t xml:space="preserve">Fourth, and perhaps most importantly, the case of </w:t>
      </w:r>
      <w:r w:rsidRPr="00810A31">
        <w:rPr>
          <w:rFonts w:ascii="Book Antiqua" w:hAnsi="Book Antiqua" w:cs="Calibri"/>
          <w:b/>
          <w:u w:val="single"/>
        </w:rPr>
        <w:t>OA and OA</w:t>
      </w:r>
      <w:r w:rsidRPr="00810A31">
        <w:rPr>
          <w:rFonts w:ascii="Book Antiqua" w:hAnsi="Book Antiqua" w:cs="Calibri"/>
          <w:b/>
        </w:rPr>
        <w:t xml:space="preserve"> (</w:t>
      </w:r>
      <w:r w:rsidR="009417AB" w:rsidRPr="00810A31">
        <w:rPr>
          <w:rFonts w:ascii="Book Antiqua" w:hAnsi="Book Antiqua" w:cs="Calibri"/>
          <w:b/>
        </w:rPr>
        <w:t xml:space="preserve">Intention </w:t>
      </w:r>
      <w:r w:rsidRPr="00810A31">
        <w:rPr>
          <w:rFonts w:ascii="Book Antiqua" w:hAnsi="Book Antiqua" w:cs="Calibri"/>
          <w:b/>
        </w:rPr>
        <w:t xml:space="preserve">to cohabit: </w:t>
      </w:r>
      <w:r w:rsidR="00534C30" w:rsidRPr="00810A31">
        <w:rPr>
          <w:rFonts w:ascii="Book Antiqua" w:hAnsi="Book Antiqua" w:cs="Calibri"/>
          <w:b/>
        </w:rPr>
        <w:t>“</w:t>
      </w:r>
      <w:r w:rsidRPr="00810A31">
        <w:rPr>
          <w:rFonts w:ascii="Book Antiqua" w:hAnsi="Book Antiqua" w:cs="Calibri"/>
          <w:b/>
        </w:rPr>
        <w:t xml:space="preserve">intervening devotion”) Nigeria [2005] UKIAT 00026 </w:t>
      </w:r>
      <w:r w:rsidRPr="00810A31">
        <w:rPr>
          <w:rFonts w:ascii="Book Antiqua" w:hAnsi="Book Antiqua" w:cs="Calibri"/>
        </w:rPr>
        <w:t xml:space="preserve">was a similar case where the judge had held that the evidence of contact between the parties was mainly after the decision.  The Tribunal went on to say that it was not satisfied that the judge </w:t>
      </w:r>
      <w:r w:rsidR="00B613FE" w:rsidRPr="00810A31">
        <w:rPr>
          <w:rFonts w:ascii="Book Antiqua" w:hAnsi="Book Antiqua" w:cs="Calibri"/>
        </w:rPr>
        <w:t xml:space="preserve">    </w:t>
      </w:r>
    </w:p>
    <w:p w:rsidR="00F3765A" w:rsidRPr="00B22D3A" w:rsidRDefault="00F3765A" w:rsidP="00B613FE">
      <w:pPr>
        <w:spacing w:before="240"/>
        <w:ind w:left="1134"/>
        <w:jc w:val="both"/>
        <w:rPr>
          <w:rFonts w:ascii="Book Antiqua" w:hAnsi="Book Antiqua" w:cs="Arial"/>
        </w:rPr>
      </w:pPr>
      <w:r w:rsidRPr="00810A31">
        <w:rPr>
          <w:rFonts w:ascii="Book Antiqua" w:hAnsi="Book Antiqua" w:cs="Calibri"/>
        </w:rPr>
        <w:t>“</w:t>
      </w:r>
      <w:r w:rsidR="00B613FE" w:rsidRPr="00810A31">
        <w:rPr>
          <w:rFonts w:ascii="Book Antiqua" w:hAnsi="Book Antiqua" w:cs="Calibri"/>
        </w:rPr>
        <w:t xml:space="preserve">Did </w:t>
      </w:r>
      <w:r w:rsidRPr="00810A31">
        <w:rPr>
          <w:rFonts w:ascii="Book Antiqua" w:hAnsi="Book Antiqua" w:cs="Calibri"/>
        </w:rPr>
        <w:t xml:space="preserve">regard the evidence of contact produced before him as a serious relevant </w:t>
      </w:r>
      <w:proofErr w:type="gramStart"/>
      <w:r w:rsidRPr="00810A31">
        <w:rPr>
          <w:rFonts w:ascii="Book Antiqua" w:hAnsi="Book Antiqua" w:cs="Calibri"/>
        </w:rPr>
        <w:t>issue in itself</w:t>
      </w:r>
      <w:proofErr w:type="gramEnd"/>
      <w:r w:rsidRPr="00810A31">
        <w:rPr>
          <w:rFonts w:ascii="Book Antiqua" w:hAnsi="Book Antiqua" w:cs="Calibri"/>
        </w:rPr>
        <w:t>.  Clearly what used to be called ‘intervening devotion’ must be as relevant as a matter of law to intention to live together as it used to be to a primary purpose; but, contrary to the position with for example the standard of proof in asylum cases, this has not for some time been Adjudicators’ daily fa</w:t>
      </w:r>
      <w:r w:rsidR="00AD2799" w:rsidRPr="00810A31">
        <w:rPr>
          <w:rFonts w:ascii="Book Antiqua" w:hAnsi="Book Antiqua" w:cs="Calibri"/>
        </w:rPr>
        <w:t>re</w:t>
      </w:r>
      <w:r w:rsidRPr="00810A31">
        <w:rPr>
          <w:rFonts w:ascii="Book Antiqua" w:hAnsi="Book Antiqua" w:cs="Calibri"/>
        </w:rPr>
        <w:t xml:space="preserve">, and we do not think we can assume that this Adjudicator did regard ‘intervening </w:t>
      </w:r>
      <w:r w:rsidRPr="00810A31">
        <w:rPr>
          <w:rFonts w:ascii="Book Antiqua" w:hAnsi="Book Antiqua" w:cs="Calibri"/>
        </w:rPr>
        <w:lastRenderedPageBreak/>
        <w:t xml:space="preserve">devotion’ as relevant to the main issue before him.  </w:t>
      </w:r>
      <w:r w:rsidR="00013DDB" w:rsidRPr="00810A31">
        <w:rPr>
          <w:rFonts w:ascii="Book Antiqua" w:hAnsi="Book Antiqua" w:cs="Calibri"/>
        </w:rPr>
        <w:t xml:space="preserve">If </w:t>
      </w:r>
      <w:r w:rsidRPr="00810A31">
        <w:rPr>
          <w:rFonts w:ascii="Book Antiqua" w:hAnsi="Book Antiqua" w:cs="Calibri"/>
        </w:rPr>
        <w:t xml:space="preserve">he had done so, then </w:t>
      </w:r>
      <w:r w:rsidR="00013DDB" w:rsidRPr="00810A31">
        <w:rPr>
          <w:rFonts w:ascii="Book Antiqua" w:hAnsi="Book Antiqua" w:cs="Calibri"/>
        </w:rPr>
        <w:t>in our view</w:t>
      </w:r>
      <w:r w:rsidR="00821179" w:rsidRPr="00810A31">
        <w:rPr>
          <w:rFonts w:ascii="Book Antiqua" w:hAnsi="Book Antiqua" w:cs="Calibri"/>
        </w:rPr>
        <w:t xml:space="preserve"> </w:t>
      </w:r>
      <w:r w:rsidR="005961DE" w:rsidRPr="00810A31">
        <w:rPr>
          <w:rFonts w:ascii="Book Antiqua" w:hAnsi="Book Antiqua" w:cs="Calibri"/>
        </w:rPr>
        <w:t xml:space="preserve">he would have needed </w:t>
      </w:r>
      <w:r w:rsidR="005A6633" w:rsidRPr="00810A31">
        <w:rPr>
          <w:rFonts w:ascii="Book Antiqua" w:hAnsi="Book Antiqua" w:cs="Calibri"/>
        </w:rPr>
        <w:t>to deal with it in more detail than he did”</w:t>
      </w:r>
      <w:r w:rsidR="00013DDB" w:rsidRPr="00810A31">
        <w:rPr>
          <w:rFonts w:ascii="Book Antiqua" w:hAnsi="Book Antiqua" w:cs="Calibri"/>
        </w:rPr>
        <w:t xml:space="preserve"> (see paragraph 3).  </w:t>
      </w:r>
    </w:p>
    <w:p w:rsidR="009E2F38" w:rsidRPr="00B22D3A" w:rsidRDefault="00013DDB" w:rsidP="00B52A42">
      <w:pPr>
        <w:numPr>
          <w:ilvl w:val="0"/>
          <w:numId w:val="3"/>
        </w:numPr>
        <w:spacing w:before="240"/>
        <w:jc w:val="both"/>
        <w:rPr>
          <w:rFonts w:ascii="Book Antiqua" w:hAnsi="Book Antiqua" w:cs="Arial"/>
        </w:rPr>
      </w:pPr>
      <w:r w:rsidRPr="00B22D3A">
        <w:rPr>
          <w:rFonts w:ascii="Book Antiqua" w:hAnsi="Book Antiqua" w:cs="Arial"/>
        </w:rPr>
        <w:t xml:space="preserve">What this amounts to is that in a case where the parties have known each other for a period of time, as is the case here, and there is evidence of regular visits by the Sponsor to Tunisia, of some three times a year, and where she has </w:t>
      </w:r>
      <w:r w:rsidR="001E0105" w:rsidRPr="00B22D3A">
        <w:rPr>
          <w:rFonts w:ascii="Book Antiqua" w:hAnsi="Book Antiqua" w:cs="Arial"/>
        </w:rPr>
        <w:t xml:space="preserve">already visited “multiple times”, and in a situation where there are Facebook records of calls, video calls and messaging between the Appellant and the Sponsor, such that they are “in touch daily”, this evidence has to be treated “as relevant to the main issue”.  </w:t>
      </w:r>
    </w:p>
    <w:p w:rsidR="00810A31" w:rsidRDefault="001E0105" w:rsidP="00B52A42">
      <w:pPr>
        <w:numPr>
          <w:ilvl w:val="0"/>
          <w:numId w:val="3"/>
        </w:numPr>
        <w:spacing w:before="240"/>
        <w:jc w:val="both"/>
        <w:rPr>
          <w:rFonts w:ascii="Book Antiqua" w:hAnsi="Book Antiqua" w:cs="Arial"/>
        </w:rPr>
      </w:pPr>
      <w:r w:rsidRPr="00B22D3A">
        <w:rPr>
          <w:rFonts w:ascii="Book Antiqua" w:hAnsi="Book Antiqua" w:cs="Arial"/>
        </w:rPr>
        <w:t xml:space="preserve">Finally, this is a case where the credibility of the sponsoring wife, </w:t>
      </w:r>
      <w:r w:rsidR="00911463" w:rsidRPr="00B22D3A">
        <w:rPr>
          <w:rFonts w:ascii="Book Antiqua" w:hAnsi="Book Antiqua" w:cs="Arial"/>
        </w:rPr>
        <w:t>Ms Kukk, was not impugned</w:t>
      </w:r>
      <w:r w:rsidRPr="00B22D3A">
        <w:rPr>
          <w:rFonts w:ascii="Book Antiqua" w:hAnsi="Book Antiqua" w:cs="Arial"/>
        </w:rPr>
        <w:t xml:space="preserve">, and Ms Aboni today accepted that the marriage was genuine from her point of view.  If this is the case then the old case of </w:t>
      </w:r>
      <w:r w:rsidR="005311BF" w:rsidRPr="00B22D3A">
        <w:rPr>
          <w:rFonts w:ascii="Book Antiqua" w:hAnsi="Book Antiqua" w:cs="Arial"/>
          <w:b/>
          <w:u w:val="single"/>
        </w:rPr>
        <w:t>Saftar</w:t>
      </w:r>
      <w:r w:rsidR="005311BF" w:rsidRPr="00B22D3A">
        <w:rPr>
          <w:rFonts w:ascii="Book Antiqua" w:hAnsi="Book Antiqua" w:cs="Arial"/>
          <w:b/>
        </w:rPr>
        <w:t xml:space="preserve"> [1990] Imm AR 1</w:t>
      </w:r>
      <w:r w:rsidR="005311BF" w:rsidRPr="00B22D3A">
        <w:rPr>
          <w:rFonts w:ascii="Book Antiqua" w:hAnsi="Book Antiqua" w:cs="Arial"/>
        </w:rPr>
        <w:t xml:space="preserve">, by the Scottish Court of Session, in the days when the “primary purpose Rule” was an important cornerstone of British immigration laws, is relevant.  In that case, the Scottish court reviewed all the leading cases to date, on the question of “intention” and concluded that the fact that once a person to the marriage does not see it as having an ulterior motive, must cast a flood of light on the intentions of the other to the intrinsic purposes of the marriage, which are normally to live together as man and wife.  These are all matters that will need to be </w:t>
      </w:r>
      <w:proofErr w:type="gramStart"/>
      <w:r w:rsidR="005311BF" w:rsidRPr="00B22D3A">
        <w:rPr>
          <w:rFonts w:ascii="Book Antiqua" w:hAnsi="Book Antiqua" w:cs="Arial"/>
        </w:rPr>
        <w:t>reconsidered again</w:t>
      </w:r>
      <w:proofErr w:type="gramEnd"/>
      <w:r w:rsidR="005311BF" w:rsidRPr="00B22D3A">
        <w:rPr>
          <w:rFonts w:ascii="Book Antiqua" w:hAnsi="Book Antiqua" w:cs="Arial"/>
        </w:rPr>
        <w:t xml:space="preserve"> by the Tribunal as I remit the matter back to the First-tier. </w:t>
      </w:r>
    </w:p>
    <w:p w:rsidR="002F1CD9" w:rsidRPr="00B22D3A" w:rsidRDefault="005311BF" w:rsidP="00B52A42">
      <w:pPr>
        <w:numPr>
          <w:ilvl w:val="0"/>
          <w:numId w:val="3"/>
        </w:numPr>
        <w:spacing w:before="240"/>
        <w:jc w:val="both"/>
        <w:rPr>
          <w:rFonts w:ascii="Book Antiqua" w:hAnsi="Book Antiqua" w:cs="Arial"/>
        </w:rPr>
      </w:pPr>
      <w:r w:rsidRPr="00B22D3A">
        <w:rPr>
          <w:rFonts w:ascii="Book Antiqua" w:hAnsi="Book Antiqua" w:cs="Arial"/>
        </w:rPr>
        <w:t xml:space="preserve">Mr Sram, who conducted this appeal most professionally, submitted that I should say something about the fact that the large age gap of 40 years in this case is what it is.  It is not something that the sponsoring wife can change.  It is a given.  </w:t>
      </w:r>
      <w:r w:rsidR="00FA4758" w:rsidRPr="00B22D3A">
        <w:rPr>
          <w:rFonts w:ascii="Book Antiqua" w:hAnsi="Book Antiqua" w:cs="Arial"/>
        </w:rPr>
        <w:t>In these circumstances, I ought to give a direction that it should not be held against the Appellant in any way.  This is not something that I can do.  All matters must be considered in the round</w:t>
      </w:r>
      <w:r w:rsidR="002F1CD9" w:rsidRPr="00B22D3A">
        <w:rPr>
          <w:rFonts w:ascii="Book Antiqua" w:hAnsi="Book Antiqua" w:cs="Arial"/>
        </w:rPr>
        <w:t xml:space="preserve"> and appropriate weight then be given to the evidence as it emerges in the judgment of the judge who is going to be the Tribunal of fact.  </w:t>
      </w:r>
    </w:p>
    <w:p w:rsidR="009F518E" w:rsidRPr="00B22D3A" w:rsidRDefault="009F518E" w:rsidP="002F1CD9">
      <w:pPr>
        <w:spacing w:before="240"/>
        <w:jc w:val="both"/>
        <w:rPr>
          <w:rFonts w:ascii="Book Antiqua" w:hAnsi="Book Antiqua" w:cs="Arial"/>
          <w:b/>
          <w:u w:val="single"/>
        </w:rPr>
      </w:pPr>
      <w:r w:rsidRPr="00B22D3A">
        <w:rPr>
          <w:rFonts w:ascii="Book Antiqua" w:hAnsi="Book Antiqua" w:cs="Arial"/>
          <w:b/>
          <w:u w:val="single"/>
        </w:rPr>
        <w:t xml:space="preserve">Notice of </w:t>
      </w:r>
      <w:r w:rsidR="002F1CD9" w:rsidRPr="00B22D3A">
        <w:rPr>
          <w:rFonts w:ascii="Book Antiqua" w:hAnsi="Book Antiqua" w:cs="Arial"/>
          <w:b/>
          <w:u w:val="single"/>
        </w:rPr>
        <w:t xml:space="preserve">Decision   </w:t>
      </w:r>
    </w:p>
    <w:p w:rsidR="002F1CD9" w:rsidRPr="00B22D3A" w:rsidRDefault="002F1CD9" w:rsidP="002F1CD9">
      <w:pPr>
        <w:numPr>
          <w:ilvl w:val="0"/>
          <w:numId w:val="3"/>
        </w:numPr>
        <w:spacing w:before="240"/>
        <w:jc w:val="both"/>
        <w:rPr>
          <w:rFonts w:ascii="Book Antiqua" w:hAnsi="Book Antiqua" w:cs="Arial"/>
        </w:rPr>
      </w:pPr>
      <w:r w:rsidRPr="00B22D3A">
        <w:rPr>
          <w:rFonts w:ascii="Book Antiqua" w:hAnsi="Book Antiqua" w:cs="Arial"/>
        </w:rPr>
        <w:t xml:space="preserve">The decision of the First-tier Tribunal involved the making of an error of law such that it falls to be set aside.  I set aside the decision of the original judge.  I remake the decision as follows.  This appeal </w:t>
      </w:r>
      <w:proofErr w:type="gramStart"/>
      <w:r w:rsidRPr="00B22D3A">
        <w:rPr>
          <w:rFonts w:ascii="Book Antiqua" w:hAnsi="Book Antiqua" w:cs="Arial"/>
        </w:rPr>
        <w:t>is allowed to</w:t>
      </w:r>
      <w:proofErr w:type="gramEnd"/>
      <w:r w:rsidRPr="00B22D3A">
        <w:rPr>
          <w:rFonts w:ascii="Book Antiqua" w:hAnsi="Book Antiqua" w:cs="Arial"/>
        </w:rPr>
        <w:t xml:space="preserve"> the extent that it is remitted back to the First-tier Tribunal to be determined by a judge other than Judge F. Meyler pursuant to practice statement 7.2(a) because the effect of the error has been to deprive a party before the First-tier Tribunal of a fair hearing.  </w:t>
      </w:r>
    </w:p>
    <w:p w:rsidR="009F518E" w:rsidRPr="00B22D3A" w:rsidRDefault="009F518E" w:rsidP="00D36E82">
      <w:pPr>
        <w:numPr>
          <w:ilvl w:val="0"/>
          <w:numId w:val="3"/>
        </w:numPr>
        <w:spacing w:before="240"/>
        <w:jc w:val="both"/>
        <w:rPr>
          <w:rFonts w:ascii="Book Antiqua" w:hAnsi="Book Antiqua" w:cs="Arial"/>
        </w:rPr>
      </w:pPr>
      <w:r w:rsidRPr="00B22D3A">
        <w:rPr>
          <w:rFonts w:ascii="Book Antiqua" w:hAnsi="Book Antiqua" w:cs="Arial"/>
        </w:rPr>
        <w:t xml:space="preserve">No anonymity </w:t>
      </w:r>
      <w:r w:rsidR="00016A4C" w:rsidRPr="00B22D3A">
        <w:rPr>
          <w:rFonts w:ascii="Book Antiqua" w:hAnsi="Book Antiqua" w:cs="Arial"/>
        </w:rPr>
        <w:t>direction</w:t>
      </w:r>
      <w:r w:rsidRPr="00B22D3A">
        <w:rPr>
          <w:rFonts w:ascii="Book Antiqua" w:hAnsi="Book Antiqua" w:cs="Arial"/>
        </w:rPr>
        <w:t xml:space="preserve"> is made.</w:t>
      </w:r>
    </w:p>
    <w:p w:rsidR="000369F5" w:rsidRPr="00810A31" w:rsidRDefault="00810A31" w:rsidP="000369F5">
      <w:pPr>
        <w:numPr>
          <w:ilvl w:val="0"/>
          <w:numId w:val="3"/>
        </w:numPr>
        <w:spacing w:before="240"/>
        <w:jc w:val="both"/>
        <w:rPr>
          <w:rFonts w:ascii="Book Antiqua" w:hAnsi="Book Antiqua" w:cs="Arial"/>
        </w:rPr>
      </w:pPr>
      <w:r>
        <w:rPr>
          <w:rFonts w:ascii="Book Antiqua" w:hAnsi="Book Antiqua" w:cs="Arial"/>
        </w:rPr>
        <w:t xml:space="preserve">This appeal is allowed. </w:t>
      </w:r>
    </w:p>
    <w:p w:rsidR="000369F5" w:rsidRPr="00B22D3A" w:rsidRDefault="000369F5" w:rsidP="000369F5">
      <w:pPr>
        <w:tabs>
          <w:tab w:val="left" w:pos="2520"/>
        </w:tabs>
        <w:jc w:val="both"/>
        <w:rPr>
          <w:rFonts w:ascii="Book Antiqua" w:hAnsi="Book Antiqua" w:cs="Arial"/>
        </w:rPr>
      </w:pPr>
    </w:p>
    <w:p w:rsidR="001F2716" w:rsidRPr="00B22D3A" w:rsidRDefault="006E3C90" w:rsidP="000369F5">
      <w:pPr>
        <w:tabs>
          <w:tab w:val="left" w:pos="2520"/>
        </w:tabs>
        <w:jc w:val="both"/>
        <w:rPr>
          <w:rFonts w:ascii="Book Antiqua" w:hAnsi="Book Antiqua" w:cs="Arial"/>
        </w:rPr>
      </w:pPr>
      <w:r w:rsidRPr="00B22D3A">
        <w:rPr>
          <w:rFonts w:ascii="Book Antiqua" w:hAnsi="Book Antiqua" w:cs="Arial"/>
        </w:rPr>
        <w:t>Signed</w:t>
      </w:r>
      <w:r w:rsidRPr="00B22D3A">
        <w:rPr>
          <w:rFonts w:ascii="Book Antiqua" w:hAnsi="Book Antiqua" w:cs="Arial"/>
        </w:rPr>
        <w:tab/>
      </w:r>
      <w:r w:rsidRPr="00B22D3A">
        <w:rPr>
          <w:rFonts w:ascii="Book Antiqua" w:hAnsi="Book Antiqua" w:cs="Arial"/>
        </w:rPr>
        <w:tab/>
      </w:r>
      <w:r w:rsidRPr="00B22D3A">
        <w:rPr>
          <w:rFonts w:ascii="Book Antiqua" w:hAnsi="Book Antiqua" w:cs="Arial"/>
        </w:rPr>
        <w:tab/>
      </w:r>
      <w:r w:rsidRPr="00B22D3A">
        <w:rPr>
          <w:rFonts w:ascii="Book Antiqua" w:hAnsi="Book Antiqua" w:cs="Arial"/>
        </w:rPr>
        <w:tab/>
      </w:r>
      <w:r w:rsidRPr="00B22D3A">
        <w:rPr>
          <w:rFonts w:ascii="Book Antiqua" w:hAnsi="Book Antiqua" w:cs="Arial"/>
        </w:rPr>
        <w:tab/>
      </w:r>
      <w:r w:rsidRPr="00B22D3A">
        <w:rPr>
          <w:rFonts w:ascii="Book Antiqua" w:hAnsi="Book Antiqua" w:cs="Arial"/>
        </w:rPr>
        <w:tab/>
      </w:r>
      <w:r w:rsidRPr="00B22D3A">
        <w:rPr>
          <w:rFonts w:ascii="Book Antiqua" w:hAnsi="Book Antiqua" w:cs="Arial"/>
        </w:rPr>
        <w:tab/>
      </w:r>
      <w:r w:rsidR="001F2716" w:rsidRPr="00B22D3A">
        <w:rPr>
          <w:rFonts w:ascii="Book Antiqua" w:hAnsi="Book Antiqua" w:cs="Arial"/>
        </w:rPr>
        <w:t>Date</w:t>
      </w:r>
      <w:r w:rsidR="00995FAA" w:rsidRPr="00B22D3A">
        <w:rPr>
          <w:rFonts w:ascii="Book Antiqua" w:hAnsi="Book Antiqua" w:cs="Arial"/>
        </w:rPr>
        <w:t xml:space="preserve">d  </w:t>
      </w:r>
    </w:p>
    <w:p w:rsidR="001F2716" w:rsidRPr="00B22D3A" w:rsidRDefault="001F2716" w:rsidP="000369F5">
      <w:pPr>
        <w:tabs>
          <w:tab w:val="left" w:pos="2520"/>
        </w:tabs>
        <w:jc w:val="both"/>
        <w:rPr>
          <w:rFonts w:ascii="Book Antiqua" w:hAnsi="Book Antiqua" w:cs="Arial"/>
        </w:rPr>
      </w:pPr>
    </w:p>
    <w:p w:rsidR="001F2716" w:rsidRPr="00B22D3A" w:rsidRDefault="001F2716" w:rsidP="000369F5">
      <w:pPr>
        <w:tabs>
          <w:tab w:val="left" w:pos="2520"/>
        </w:tabs>
        <w:jc w:val="both"/>
        <w:rPr>
          <w:rFonts w:ascii="Book Antiqua" w:hAnsi="Book Antiqua" w:cs="Arial"/>
        </w:rPr>
      </w:pPr>
    </w:p>
    <w:p w:rsidR="005B7789" w:rsidRPr="00F5664C" w:rsidRDefault="00255071" w:rsidP="00076C09">
      <w:pPr>
        <w:tabs>
          <w:tab w:val="left" w:pos="2520"/>
        </w:tabs>
        <w:jc w:val="both"/>
        <w:rPr>
          <w:rFonts w:ascii="Book Antiqua" w:hAnsi="Book Antiqua" w:cs="Arial"/>
        </w:rPr>
      </w:pPr>
      <w:r w:rsidRPr="00B22D3A">
        <w:rPr>
          <w:rFonts w:ascii="Book Antiqua" w:hAnsi="Book Antiqua" w:cs="Arial"/>
        </w:rPr>
        <w:t xml:space="preserve">Deputy Upper Tribunal Judge </w:t>
      </w:r>
      <w:r w:rsidR="007D43F8" w:rsidRPr="00B22D3A">
        <w:rPr>
          <w:rFonts w:ascii="Book Antiqua" w:hAnsi="Book Antiqua" w:cs="Arial"/>
        </w:rPr>
        <w:t>Juss</w:t>
      </w:r>
      <w:r w:rsidR="00810A31">
        <w:rPr>
          <w:rFonts w:ascii="Book Antiqua" w:hAnsi="Book Antiqua" w:cs="Arial"/>
        </w:rPr>
        <w:tab/>
      </w:r>
      <w:r w:rsidR="00810A31">
        <w:rPr>
          <w:rFonts w:ascii="Book Antiqua" w:hAnsi="Book Antiqua" w:cs="Arial"/>
        </w:rPr>
        <w:tab/>
      </w:r>
      <w:r w:rsidR="00810A31">
        <w:rPr>
          <w:rFonts w:ascii="Book Antiqua" w:hAnsi="Book Antiqua" w:cs="Arial"/>
        </w:rPr>
        <w:tab/>
      </w:r>
      <w:r w:rsidR="00810A31">
        <w:rPr>
          <w:rFonts w:ascii="Book Antiqua" w:hAnsi="Book Antiqua" w:cs="Arial"/>
        </w:rPr>
        <w:tab/>
        <w:t>8</w:t>
      </w:r>
      <w:r w:rsidR="00810A31" w:rsidRPr="00810A31">
        <w:rPr>
          <w:rFonts w:ascii="Book Antiqua" w:hAnsi="Book Antiqua" w:cs="Arial"/>
          <w:vertAlign w:val="superscript"/>
        </w:rPr>
        <w:t>th</w:t>
      </w:r>
      <w:r w:rsidR="00810A31">
        <w:rPr>
          <w:rFonts w:ascii="Book Antiqua" w:hAnsi="Book Antiqua" w:cs="Arial"/>
        </w:rPr>
        <w:t xml:space="preserve"> September 2018</w:t>
      </w:r>
      <w:r w:rsidR="00294EDA" w:rsidRPr="00B22D3A">
        <w:rPr>
          <w:rFonts w:ascii="Book Antiqua" w:hAnsi="Book Antiqua" w:cs="Arial"/>
        </w:rPr>
        <w:t xml:space="preserve">   </w:t>
      </w:r>
    </w:p>
    <w:p w:rsidR="005B7789" w:rsidRPr="00F5664C" w:rsidRDefault="005B7789" w:rsidP="000369F5">
      <w:pPr>
        <w:tabs>
          <w:tab w:val="left" w:pos="2520"/>
        </w:tabs>
        <w:jc w:val="both"/>
        <w:rPr>
          <w:rFonts w:ascii="Book Antiqua" w:hAnsi="Book Antiqua" w:cs="Arial"/>
        </w:rPr>
      </w:pPr>
    </w:p>
    <w:sectPr w:rsidR="005B7789" w:rsidRPr="00F5664C" w:rsidSect="00D939C2">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9A8" w:rsidRDefault="009E19A8">
      <w:r>
        <w:separator/>
      </w:r>
    </w:p>
  </w:endnote>
  <w:endnote w:type="continuationSeparator" w:id="0">
    <w:p w:rsidR="009E19A8" w:rsidRDefault="009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0067BB" w:rsidRDefault="00CF253F" w:rsidP="00593795">
    <w:pPr>
      <w:pStyle w:val="Footer"/>
      <w:jc w:val="center"/>
      <w:rPr>
        <w:rFonts w:ascii="Book Antiqua" w:hAnsi="Book Antiqua" w:cs="Arial"/>
      </w:rPr>
    </w:pPr>
    <w:r w:rsidRPr="000067BB">
      <w:rPr>
        <w:rStyle w:val="PageNumber"/>
        <w:rFonts w:ascii="Book Antiqua" w:hAnsi="Book Antiqua" w:cs="Arial"/>
      </w:rPr>
      <w:fldChar w:fldCharType="begin"/>
    </w:r>
    <w:r w:rsidRPr="000067BB">
      <w:rPr>
        <w:rStyle w:val="PageNumber"/>
        <w:rFonts w:ascii="Book Antiqua" w:hAnsi="Book Antiqua" w:cs="Arial"/>
      </w:rPr>
      <w:instrText xml:space="preserve"> PAGE </w:instrText>
    </w:r>
    <w:r w:rsidRPr="000067BB">
      <w:rPr>
        <w:rStyle w:val="PageNumber"/>
        <w:rFonts w:ascii="Book Antiqua" w:hAnsi="Book Antiqua" w:cs="Arial"/>
      </w:rPr>
      <w:fldChar w:fldCharType="separate"/>
    </w:r>
    <w:r w:rsidR="008B390D">
      <w:rPr>
        <w:rStyle w:val="PageNumber"/>
        <w:rFonts w:ascii="Book Antiqua" w:hAnsi="Book Antiqua" w:cs="Arial"/>
        <w:noProof/>
      </w:rPr>
      <w:t>5</w:t>
    </w:r>
    <w:r w:rsidRPr="000067B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9A8" w:rsidRDefault="009E19A8">
      <w:r>
        <w:separator/>
      </w:r>
    </w:p>
  </w:footnote>
  <w:footnote w:type="continuationSeparator" w:id="0">
    <w:p w:rsidR="009E19A8" w:rsidRDefault="009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F91214" w:rsidRPr="00F91214">
      <w:rPr>
        <w:rFonts w:ascii="Book Antiqua" w:hAnsi="Book Antiqua" w:cs="Arial"/>
        <w:sz w:val="16"/>
        <w:szCs w:val="16"/>
      </w:rPr>
      <w:t>HU/18596/2016</w:t>
    </w:r>
  </w:p>
  <w:p w:rsidR="000067BB" w:rsidRPr="00F5664C" w:rsidRDefault="000067BB"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4C"/>
    <w:rsid w:val="00000621"/>
    <w:rsid w:val="000036C2"/>
    <w:rsid w:val="000067BB"/>
    <w:rsid w:val="00013DDB"/>
    <w:rsid w:val="00016A4C"/>
    <w:rsid w:val="00021905"/>
    <w:rsid w:val="00033D3D"/>
    <w:rsid w:val="000369F5"/>
    <w:rsid w:val="00055340"/>
    <w:rsid w:val="000554A4"/>
    <w:rsid w:val="00071A7E"/>
    <w:rsid w:val="000746C0"/>
    <w:rsid w:val="00074D1D"/>
    <w:rsid w:val="00076C09"/>
    <w:rsid w:val="00077227"/>
    <w:rsid w:val="00092580"/>
    <w:rsid w:val="00093815"/>
    <w:rsid w:val="000A5ADA"/>
    <w:rsid w:val="000D01C9"/>
    <w:rsid w:val="000D5D94"/>
    <w:rsid w:val="000E0CD7"/>
    <w:rsid w:val="000E706F"/>
    <w:rsid w:val="00114F8B"/>
    <w:rsid w:val="001165A7"/>
    <w:rsid w:val="001375C4"/>
    <w:rsid w:val="00151BB7"/>
    <w:rsid w:val="0015728A"/>
    <w:rsid w:val="00167D3A"/>
    <w:rsid w:val="00172A08"/>
    <w:rsid w:val="001A1E2C"/>
    <w:rsid w:val="001E0105"/>
    <w:rsid w:val="001E6D6D"/>
    <w:rsid w:val="001E7283"/>
    <w:rsid w:val="001F2716"/>
    <w:rsid w:val="0020133A"/>
    <w:rsid w:val="00207617"/>
    <w:rsid w:val="00246E34"/>
    <w:rsid w:val="00255071"/>
    <w:rsid w:val="00283659"/>
    <w:rsid w:val="00294EDA"/>
    <w:rsid w:val="002C4E73"/>
    <w:rsid w:val="002D5A7F"/>
    <w:rsid w:val="002D68BF"/>
    <w:rsid w:val="002E75DE"/>
    <w:rsid w:val="002F1CD9"/>
    <w:rsid w:val="0030070F"/>
    <w:rsid w:val="00315819"/>
    <w:rsid w:val="00336CBF"/>
    <w:rsid w:val="003546C8"/>
    <w:rsid w:val="003A7CF2"/>
    <w:rsid w:val="003C5CE5"/>
    <w:rsid w:val="003D06CC"/>
    <w:rsid w:val="003E267B"/>
    <w:rsid w:val="003E7CD1"/>
    <w:rsid w:val="00402B9E"/>
    <w:rsid w:val="004061C2"/>
    <w:rsid w:val="0041360E"/>
    <w:rsid w:val="00414323"/>
    <w:rsid w:val="00423932"/>
    <w:rsid w:val="004249CB"/>
    <w:rsid w:val="0044127D"/>
    <w:rsid w:val="004448DB"/>
    <w:rsid w:val="00446C9A"/>
    <w:rsid w:val="00455D00"/>
    <w:rsid w:val="00460F1F"/>
    <w:rsid w:val="00462FB0"/>
    <w:rsid w:val="00464FBD"/>
    <w:rsid w:val="00477193"/>
    <w:rsid w:val="004A1848"/>
    <w:rsid w:val="004B5190"/>
    <w:rsid w:val="004D69A7"/>
    <w:rsid w:val="00507FEC"/>
    <w:rsid w:val="00510F0E"/>
    <w:rsid w:val="00530B04"/>
    <w:rsid w:val="005311BF"/>
    <w:rsid w:val="00532E7D"/>
    <w:rsid w:val="00534C30"/>
    <w:rsid w:val="00542DB1"/>
    <w:rsid w:val="005479E1"/>
    <w:rsid w:val="005570FD"/>
    <w:rsid w:val="005575EA"/>
    <w:rsid w:val="0057790C"/>
    <w:rsid w:val="00583075"/>
    <w:rsid w:val="00593795"/>
    <w:rsid w:val="005961DE"/>
    <w:rsid w:val="005A5FEE"/>
    <w:rsid w:val="005A6633"/>
    <w:rsid w:val="005A75FF"/>
    <w:rsid w:val="005B0B28"/>
    <w:rsid w:val="005B7789"/>
    <w:rsid w:val="005D73EA"/>
    <w:rsid w:val="006205BF"/>
    <w:rsid w:val="00632D1F"/>
    <w:rsid w:val="0063519A"/>
    <w:rsid w:val="0065791C"/>
    <w:rsid w:val="006803E1"/>
    <w:rsid w:val="00690B8A"/>
    <w:rsid w:val="006A0549"/>
    <w:rsid w:val="006A3A88"/>
    <w:rsid w:val="006D1DFA"/>
    <w:rsid w:val="006D506B"/>
    <w:rsid w:val="006E3C90"/>
    <w:rsid w:val="00703C4D"/>
    <w:rsid w:val="00704B61"/>
    <w:rsid w:val="00707DB1"/>
    <w:rsid w:val="0071434E"/>
    <w:rsid w:val="007353BB"/>
    <w:rsid w:val="00742A8D"/>
    <w:rsid w:val="007552A9"/>
    <w:rsid w:val="0075547C"/>
    <w:rsid w:val="00761858"/>
    <w:rsid w:val="00767D59"/>
    <w:rsid w:val="00776E97"/>
    <w:rsid w:val="00780FD7"/>
    <w:rsid w:val="00781B5E"/>
    <w:rsid w:val="0078703A"/>
    <w:rsid w:val="007912AD"/>
    <w:rsid w:val="0079477B"/>
    <w:rsid w:val="007A1F28"/>
    <w:rsid w:val="007B0824"/>
    <w:rsid w:val="007D43F8"/>
    <w:rsid w:val="007D7024"/>
    <w:rsid w:val="007F6C68"/>
    <w:rsid w:val="00803B5F"/>
    <w:rsid w:val="00810A31"/>
    <w:rsid w:val="00821179"/>
    <w:rsid w:val="008303B8"/>
    <w:rsid w:val="00833C30"/>
    <w:rsid w:val="00833DCE"/>
    <w:rsid w:val="00842418"/>
    <w:rsid w:val="008533CF"/>
    <w:rsid w:val="008634DB"/>
    <w:rsid w:val="00871D34"/>
    <w:rsid w:val="00873651"/>
    <w:rsid w:val="00882EFC"/>
    <w:rsid w:val="00892AC4"/>
    <w:rsid w:val="008A11EA"/>
    <w:rsid w:val="008B270C"/>
    <w:rsid w:val="008B390D"/>
    <w:rsid w:val="008C3D3D"/>
    <w:rsid w:val="008D4131"/>
    <w:rsid w:val="008F1932"/>
    <w:rsid w:val="008F294D"/>
    <w:rsid w:val="00911463"/>
    <w:rsid w:val="009151F8"/>
    <w:rsid w:val="00921062"/>
    <w:rsid w:val="0092618D"/>
    <w:rsid w:val="0093083E"/>
    <w:rsid w:val="0093333B"/>
    <w:rsid w:val="009337B8"/>
    <w:rsid w:val="009358C4"/>
    <w:rsid w:val="009403CB"/>
    <w:rsid w:val="009417AB"/>
    <w:rsid w:val="00950E69"/>
    <w:rsid w:val="00961910"/>
    <w:rsid w:val="00966ECF"/>
    <w:rsid w:val="009727A3"/>
    <w:rsid w:val="009774DD"/>
    <w:rsid w:val="0098630B"/>
    <w:rsid w:val="00987774"/>
    <w:rsid w:val="00995FAA"/>
    <w:rsid w:val="009A11E8"/>
    <w:rsid w:val="009B182E"/>
    <w:rsid w:val="009E19A8"/>
    <w:rsid w:val="009E2F38"/>
    <w:rsid w:val="009E4E62"/>
    <w:rsid w:val="009F518E"/>
    <w:rsid w:val="009F5220"/>
    <w:rsid w:val="009F7C4D"/>
    <w:rsid w:val="00A05C03"/>
    <w:rsid w:val="00A15234"/>
    <w:rsid w:val="00A17D4E"/>
    <w:rsid w:val="00A201AB"/>
    <w:rsid w:val="00A31C8B"/>
    <w:rsid w:val="00A652E1"/>
    <w:rsid w:val="00A65EED"/>
    <w:rsid w:val="00A75965"/>
    <w:rsid w:val="00A845DC"/>
    <w:rsid w:val="00A97AEE"/>
    <w:rsid w:val="00AC5CF6"/>
    <w:rsid w:val="00AD2799"/>
    <w:rsid w:val="00AE3506"/>
    <w:rsid w:val="00AF1794"/>
    <w:rsid w:val="00B04CB9"/>
    <w:rsid w:val="00B12371"/>
    <w:rsid w:val="00B144FA"/>
    <w:rsid w:val="00B16F58"/>
    <w:rsid w:val="00B22D3A"/>
    <w:rsid w:val="00B30648"/>
    <w:rsid w:val="00B3524D"/>
    <w:rsid w:val="00B35AF6"/>
    <w:rsid w:val="00B37754"/>
    <w:rsid w:val="00B40F69"/>
    <w:rsid w:val="00B46616"/>
    <w:rsid w:val="00B52A42"/>
    <w:rsid w:val="00B610E3"/>
    <w:rsid w:val="00B61205"/>
    <w:rsid w:val="00B613FE"/>
    <w:rsid w:val="00B617C4"/>
    <w:rsid w:val="00B626FA"/>
    <w:rsid w:val="00B7040A"/>
    <w:rsid w:val="00B96FA0"/>
    <w:rsid w:val="00BC42D3"/>
    <w:rsid w:val="00BD4196"/>
    <w:rsid w:val="00BF22CA"/>
    <w:rsid w:val="00C26032"/>
    <w:rsid w:val="00C265B0"/>
    <w:rsid w:val="00C321B5"/>
    <w:rsid w:val="00C345E1"/>
    <w:rsid w:val="00C36A07"/>
    <w:rsid w:val="00C977BA"/>
    <w:rsid w:val="00CB6E35"/>
    <w:rsid w:val="00CE1A46"/>
    <w:rsid w:val="00CE26B2"/>
    <w:rsid w:val="00CE6AFA"/>
    <w:rsid w:val="00CF01A8"/>
    <w:rsid w:val="00CF253F"/>
    <w:rsid w:val="00CF56B4"/>
    <w:rsid w:val="00D05624"/>
    <w:rsid w:val="00D20F09"/>
    <w:rsid w:val="00D22636"/>
    <w:rsid w:val="00D22FA8"/>
    <w:rsid w:val="00D24A9C"/>
    <w:rsid w:val="00D267EE"/>
    <w:rsid w:val="00D36E82"/>
    <w:rsid w:val="00D40FD9"/>
    <w:rsid w:val="00D44F36"/>
    <w:rsid w:val="00D53769"/>
    <w:rsid w:val="00D562ED"/>
    <w:rsid w:val="00D63446"/>
    <w:rsid w:val="00D647F9"/>
    <w:rsid w:val="00D65912"/>
    <w:rsid w:val="00D80855"/>
    <w:rsid w:val="00D85C13"/>
    <w:rsid w:val="00D91BE3"/>
    <w:rsid w:val="00D939C2"/>
    <w:rsid w:val="00D94AFC"/>
    <w:rsid w:val="00DA4C88"/>
    <w:rsid w:val="00DB70AE"/>
    <w:rsid w:val="00DB7231"/>
    <w:rsid w:val="00DD3F46"/>
    <w:rsid w:val="00DD5071"/>
    <w:rsid w:val="00DD5C39"/>
    <w:rsid w:val="00DD6C66"/>
    <w:rsid w:val="00DE26AF"/>
    <w:rsid w:val="00DE7DB7"/>
    <w:rsid w:val="00DF30E1"/>
    <w:rsid w:val="00E00A0A"/>
    <w:rsid w:val="00E06243"/>
    <w:rsid w:val="00E07F57"/>
    <w:rsid w:val="00E1040E"/>
    <w:rsid w:val="00E50BCE"/>
    <w:rsid w:val="00E61292"/>
    <w:rsid w:val="00E76309"/>
    <w:rsid w:val="00E77C4D"/>
    <w:rsid w:val="00E81D01"/>
    <w:rsid w:val="00EA161D"/>
    <w:rsid w:val="00EB45DA"/>
    <w:rsid w:val="00EE0875"/>
    <w:rsid w:val="00EE45D8"/>
    <w:rsid w:val="00EF26F1"/>
    <w:rsid w:val="00EF61B1"/>
    <w:rsid w:val="00F004CD"/>
    <w:rsid w:val="00F21A29"/>
    <w:rsid w:val="00F22A22"/>
    <w:rsid w:val="00F22EDA"/>
    <w:rsid w:val="00F3224D"/>
    <w:rsid w:val="00F33E0E"/>
    <w:rsid w:val="00F36D2F"/>
    <w:rsid w:val="00F3765A"/>
    <w:rsid w:val="00F477B5"/>
    <w:rsid w:val="00F51006"/>
    <w:rsid w:val="00F53574"/>
    <w:rsid w:val="00F541B5"/>
    <w:rsid w:val="00F5664C"/>
    <w:rsid w:val="00F7417E"/>
    <w:rsid w:val="00F91214"/>
    <w:rsid w:val="00FA4758"/>
    <w:rsid w:val="00FA4EC9"/>
    <w:rsid w:val="00FB7E80"/>
    <w:rsid w:val="00FC7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1DD1E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2318</Words>
  <Characters>11007</Characters>
  <Application>Microsoft Office Word</Application>
  <DocSecurity>0</DocSecurity>
  <Lines>91</Lines>
  <Paragraphs>26</Paragraphs>
  <ScaleCrop>false</ScaleCrop>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2018-10-05T12:31:00Z</dcterms:created>
  <dcterms:modified xsi:type="dcterms:W3CDTF">2018-10-05T12:32:00Z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