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8336" w14:textId="77777777" w:rsidR="00B705D9" w:rsidRPr="002472A9" w:rsidRDefault="005B69AF" w:rsidP="00C321B5">
      <w:pPr>
        <w:jc w:val="center"/>
        <w:rPr>
          <w:rFonts w:ascii="Book Antiqua" w:hAnsi="Book Antiqua" w:cs="Arial"/>
          <w:sz w:val="16"/>
          <w:szCs w:val="16"/>
        </w:rPr>
      </w:pPr>
      <w:r w:rsidRPr="002472A9">
        <w:rPr>
          <w:noProof/>
          <w:sz w:val="16"/>
          <w:szCs w:val="16"/>
        </w:rPr>
        <w:drawing>
          <wp:inline distT="0" distB="0" distL="0" distR="0" wp14:anchorId="0741E23C" wp14:editId="0590C3C9">
            <wp:extent cx="1026795"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795" cy="905510"/>
                    </a:xfrm>
                    <a:prstGeom prst="rect">
                      <a:avLst/>
                    </a:prstGeom>
                    <a:noFill/>
                    <a:ln>
                      <a:noFill/>
                    </a:ln>
                  </pic:spPr>
                </pic:pic>
              </a:graphicData>
            </a:graphic>
          </wp:inline>
        </w:drawing>
      </w:r>
    </w:p>
    <w:p w14:paraId="2733859C" w14:textId="77777777" w:rsidR="00B705D9" w:rsidRPr="002472A9" w:rsidRDefault="00B705D9">
      <w:pPr>
        <w:rPr>
          <w:rFonts w:ascii="Book Antiqua" w:hAnsi="Book Antiqua" w:cs="Arial"/>
          <w:sz w:val="16"/>
          <w:szCs w:val="16"/>
        </w:rPr>
      </w:pPr>
    </w:p>
    <w:p w14:paraId="7E998716" w14:textId="77777777"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62E059E4" w14:textId="77777777" w:rsidR="00B705D9" w:rsidRPr="00F5664C" w:rsidRDefault="00B705D9"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00A86348">
        <w:rPr>
          <w:rFonts w:ascii="Book Antiqua" w:hAnsi="Book Antiqua" w:cs="Arial"/>
          <w:caps/>
        </w:rPr>
        <w:t>HU/18752/2016</w:t>
      </w:r>
      <w:bookmarkEnd w:id="0"/>
    </w:p>
    <w:p w14:paraId="53E56641" w14:textId="77777777" w:rsidR="00B705D9" w:rsidRPr="00F5664C" w:rsidRDefault="00B705D9" w:rsidP="00C345E1">
      <w:pPr>
        <w:jc w:val="center"/>
        <w:rPr>
          <w:rFonts w:ascii="Book Antiqua" w:hAnsi="Book Antiqua" w:cs="Arial"/>
        </w:rPr>
      </w:pPr>
    </w:p>
    <w:p w14:paraId="2290B111" w14:textId="77777777" w:rsidR="00B705D9" w:rsidRPr="00F5664C" w:rsidRDefault="00B705D9" w:rsidP="00C345E1">
      <w:pPr>
        <w:jc w:val="center"/>
        <w:rPr>
          <w:rFonts w:ascii="Book Antiqua" w:hAnsi="Book Antiqua" w:cs="Arial"/>
        </w:rPr>
      </w:pPr>
    </w:p>
    <w:p w14:paraId="23E5B0C5" w14:textId="77777777"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14:paraId="3DBB3601" w14:textId="77777777" w:rsidR="00B705D9" w:rsidRPr="00F5664C" w:rsidRDefault="00B705D9" w:rsidP="00C345E1">
      <w:pPr>
        <w:jc w:val="center"/>
        <w:rPr>
          <w:rFonts w:ascii="Book Antiqua" w:hAnsi="Book Antiqua" w:cs="Arial"/>
          <w:b/>
          <w:u w:val="single"/>
        </w:rPr>
      </w:pPr>
    </w:p>
    <w:p w14:paraId="5213A64B" w14:textId="77777777"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B705D9" w:rsidRPr="00F5664C" w14:paraId="7D35C883" w14:textId="77777777" w:rsidTr="00321493">
        <w:tc>
          <w:tcPr>
            <w:tcW w:w="6048" w:type="dxa"/>
          </w:tcPr>
          <w:p w14:paraId="56DF7498" w14:textId="77777777"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3960" w:type="dxa"/>
          </w:tcPr>
          <w:p w14:paraId="5588D3E5" w14:textId="77777777" w:rsidR="00B705D9" w:rsidRPr="00321493" w:rsidRDefault="00B705D9" w:rsidP="00321493">
            <w:pPr>
              <w:jc w:val="both"/>
              <w:rPr>
                <w:rFonts w:ascii="Book Antiqua" w:hAnsi="Book Antiqua" w:cs="Arial"/>
                <w:b/>
              </w:rPr>
            </w:pPr>
            <w:r w:rsidRPr="00321493">
              <w:rPr>
                <w:rFonts w:ascii="Book Antiqua" w:hAnsi="Book Antiqua" w:cs="Arial"/>
                <w:b/>
              </w:rPr>
              <w:t>Decision sent to parties on</w:t>
            </w:r>
          </w:p>
        </w:tc>
      </w:tr>
      <w:tr w:rsidR="003B1FE8" w:rsidRPr="00F5664C" w14:paraId="2E0FABE1" w14:textId="77777777" w:rsidTr="00321493">
        <w:tc>
          <w:tcPr>
            <w:tcW w:w="6048" w:type="dxa"/>
          </w:tcPr>
          <w:p w14:paraId="135A3F01" w14:textId="77777777" w:rsidR="003B1FE8" w:rsidRPr="00321493" w:rsidRDefault="003B1FE8" w:rsidP="003B1FE8">
            <w:pPr>
              <w:jc w:val="both"/>
              <w:rPr>
                <w:rFonts w:ascii="Book Antiqua" w:hAnsi="Book Antiqua" w:cs="Arial"/>
                <w:b/>
              </w:rPr>
            </w:pPr>
            <w:r w:rsidRPr="00321493">
              <w:rPr>
                <w:rFonts w:ascii="Book Antiqua" w:hAnsi="Book Antiqua" w:cs="Arial"/>
                <w:b/>
              </w:rPr>
              <w:t xml:space="preserve">On </w:t>
            </w:r>
            <w:r>
              <w:rPr>
                <w:rFonts w:ascii="Book Antiqua" w:hAnsi="Book Antiqua" w:cs="Arial"/>
                <w:b/>
              </w:rPr>
              <w:t>9 August 2018</w:t>
            </w:r>
          </w:p>
        </w:tc>
        <w:tc>
          <w:tcPr>
            <w:tcW w:w="3960" w:type="dxa"/>
          </w:tcPr>
          <w:p w14:paraId="082FD51F" w14:textId="77777777" w:rsidR="003B1FE8" w:rsidRPr="00321493" w:rsidRDefault="003B1FE8" w:rsidP="003B1FE8">
            <w:pPr>
              <w:jc w:val="both"/>
              <w:rPr>
                <w:rFonts w:ascii="Book Antiqua" w:hAnsi="Book Antiqua" w:cs="Arial"/>
                <w:b/>
              </w:rPr>
            </w:pPr>
            <w:r>
              <w:rPr>
                <w:rFonts w:ascii="Book Antiqua" w:hAnsi="Book Antiqua" w:cs="Arial"/>
                <w:b/>
              </w:rPr>
              <w:t>O</w:t>
            </w:r>
            <w:r w:rsidRPr="00AE6E89">
              <w:rPr>
                <w:rFonts w:ascii="Book Antiqua" w:hAnsi="Book Antiqua" w:cs="Arial"/>
                <w:b/>
              </w:rPr>
              <w:t>n 4 September 2018</w:t>
            </w:r>
          </w:p>
        </w:tc>
      </w:tr>
      <w:tr w:rsidR="003B1FE8" w:rsidRPr="00F5664C" w14:paraId="16388EC8" w14:textId="77777777" w:rsidTr="00321493">
        <w:tc>
          <w:tcPr>
            <w:tcW w:w="6048" w:type="dxa"/>
          </w:tcPr>
          <w:p w14:paraId="2A419142" w14:textId="77777777" w:rsidR="003B1FE8" w:rsidRPr="00321493" w:rsidRDefault="003B1FE8" w:rsidP="003B1FE8">
            <w:pPr>
              <w:jc w:val="both"/>
              <w:rPr>
                <w:rFonts w:ascii="Book Antiqua" w:hAnsi="Book Antiqua" w:cs="Arial"/>
                <w:b/>
              </w:rPr>
            </w:pPr>
          </w:p>
        </w:tc>
        <w:tc>
          <w:tcPr>
            <w:tcW w:w="3960" w:type="dxa"/>
          </w:tcPr>
          <w:p w14:paraId="306E657F" w14:textId="77777777" w:rsidR="003B1FE8" w:rsidRPr="00321493" w:rsidRDefault="003B1FE8" w:rsidP="003B1FE8">
            <w:pPr>
              <w:jc w:val="both"/>
              <w:rPr>
                <w:rFonts w:ascii="Book Antiqua" w:hAnsi="Book Antiqua" w:cs="Arial"/>
                <w:b/>
              </w:rPr>
            </w:pPr>
          </w:p>
        </w:tc>
      </w:tr>
    </w:tbl>
    <w:p w14:paraId="12CA59BD" w14:textId="77777777" w:rsidR="00B705D9" w:rsidRPr="00F5664C" w:rsidRDefault="00B705D9" w:rsidP="00A15234">
      <w:pPr>
        <w:jc w:val="center"/>
        <w:rPr>
          <w:rFonts w:ascii="Book Antiqua" w:hAnsi="Book Antiqua" w:cs="Arial"/>
        </w:rPr>
      </w:pPr>
    </w:p>
    <w:p w14:paraId="77E15B48" w14:textId="77777777" w:rsidR="00B705D9" w:rsidRPr="00F5664C" w:rsidRDefault="00B705D9" w:rsidP="00A15234">
      <w:pPr>
        <w:jc w:val="center"/>
        <w:rPr>
          <w:rFonts w:ascii="Book Antiqua" w:hAnsi="Book Antiqua" w:cs="Arial"/>
          <w:b/>
        </w:rPr>
      </w:pPr>
      <w:r w:rsidRPr="00F5664C">
        <w:rPr>
          <w:rFonts w:ascii="Book Antiqua" w:hAnsi="Book Antiqua" w:cs="Arial"/>
          <w:b/>
        </w:rPr>
        <w:t>Before</w:t>
      </w:r>
    </w:p>
    <w:p w14:paraId="1B77DF21" w14:textId="77777777" w:rsidR="00B705D9" w:rsidRPr="00F5664C" w:rsidRDefault="00B705D9" w:rsidP="00A15234">
      <w:pPr>
        <w:jc w:val="center"/>
        <w:rPr>
          <w:rFonts w:ascii="Book Antiqua" w:hAnsi="Book Antiqua" w:cs="Arial"/>
          <w:b/>
        </w:rPr>
      </w:pPr>
    </w:p>
    <w:p w14:paraId="60B7C622" w14:textId="77777777"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14:paraId="0538FBB1" w14:textId="77777777" w:rsidR="00B705D9" w:rsidRPr="00F5664C" w:rsidRDefault="00B705D9" w:rsidP="00DE279E">
      <w:pPr>
        <w:jc w:val="center"/>
        <w:rPr>
          <w:rFonts w:ascii="Book Antiqua" w:hAnsi="Book Antiqua" w:cs="Arial"/>
          <w:b/>
        </w:rPr>
      </w:pPr>
    </w:p>
    <w:p w14:paraId="1ED3FAAD" w14:textId="77777777" w:rsidR="002472A9" w:rsidRDefault="002472A9" w:rsidP="00A15234">
      <w:pPr>
        <w:jc w:val="center"/>
        <w:rPr>
          <w:rFonts w:ascii="Book Antiqua" w:hAnsi="Book Antiqua" w:cs="Arial"/>
          <w:b/>
        </w:rPr>
      </w:pPr>
    </w:p>
    <w:p w14:paraId="761C7A02" w14:textId="014A6A13" w:rsidR="00B705D9" w:rsidRPr="00F5664C" w:rsidRDefault="00B705D9" w:rsidP="00A15234">
      <w:pPr>
        <w:jc w:val="center"/>
        <w:rPr>
          <w:rFonts w:ascii="Book Antiqua" w:hAnsi="Book Antiqua" w:cs="Arial"/>
          <w:b/>
        </w:rPr>
      </w:pPr>
      <w:r w:rsidRPr="00F5664C">
        <w:rPr>
          <w:rFonts w:ascii="Book Antiqua" w:hAnsi="Book Antiqua" w:cs="Arial"/>
          <w:b/>
        </w:rPr>
        <w:t>Between</w:t>
      </w:r>
    </w:p>
    <w:p w14:paraId="3D818E38" w14:textId="77777777" w:rsidR="00B705D9" w:rsidRPr="00F5664C" w:rsidRDefault="00B705D9" w:rsidP="00A15234">
      <w:pPr>
        <w:jc w:val="center"/>
        <w:rPr>
          <w:rFonts w:ascii="Book Antiqua" w:hAnsi="Book Antiqua" w:cs="Arial"/>
          <w:b/>
        </w:rPr>
      </w:pPr>
    </w:p>
    <w:p w14:paraId="2E39DEF9" w14:textId="77777777" w:rsidR="00B705D9" w:rsidRDefault="00A86348" w:rsidP="00742A8D">
      <w:pPr>
        <w:jc w:val="center"/>
        <w:rPr>
          <w:rFonts w:ascii="Book Antiqua" w:hAnsi="Book Antiqua" w:cs="Arial"/>
          <w:b/>
          <w:caps/>
        </w:rPr>
      </w:pPr>
      <w:r>
        <w:rPr>
          <w:rFonts w:ascii="Book Antiqua" w:hAnsi="Book Antiqua" w:cs="Arial"/>
          <w:b/>
          <w:caps/>
        </w:rPr>
        <w:t>mizanur rahman</w:t>
      </w:r>
    </w:p>
    <w:p w14:paraId="7D2BCE1F" w14:textId="77777777" w:rsidR="00B705D9" w:rsidRPr="002472A9" w:rsidRDefault="00B705D9" w:rsidP="00742A8D">
      <w:pPr>
        <w:jc w:val="center"/>
        <w:rPr>
          <w:rFonts w:ascii="Book Antiqua" w:hAnsi="Book Antiqua" w:cs="Arial"/>
          <w:b/>
          <w:caps/>
          <w:sz w:val="22"/>
        </w:rPr>
      </w:pPr>
      <w:r w:rsidRPr="002472A9">
        <w:rPr>
          <w:rFonts w:ascii="Book Antiqua" w:hAnsi="Book Antiqua" w:cs="Arial"/>
          <w:b/>
          <w:caps/>
          <w:sz w:val="22"/>
        </w:rPr>
        <w:t>(no anonymity order)</w:t>
      </w:r>
    </w:p>
    <w:p w14:paraId="148F6909" w14:textId="77777777"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14:paraId="61C57713" w14:textId="77777777" w:rsidR="00B705D9" w:rsidRPr="00F5664C" w:rsidRDefault="00B705D9" w:rsidP="00704B61">
      <w:pPr>
        <w:jc w:val="center"/>
        <w:rPr>
          <w:rFonts w:ascii="Book Antiqua" w:hAnsi="Book Antiqua" w:cs="Arial"/>
          <w:b/>
        </w:rPr>
      </w:pPr>
      <w:r w:rsidRPr="00F5664C">
        <w:rPr>
          <w:rFonts w:ascii="Book Antiqua" w:hAnsi="Book Antiqua" w:cs="Arial"/>
          <w:b/>
        </w:rPr>
        <w:t>and</w:t>
      </w:r>
    </w:p>
    <w:p w14:paraId="6F75F4EF" w14:textId="77777777" w:rsidR="00B705D9" w:rsidRPr="00F5664C" w:rsidRDefault="00B705D9" w:rsidP="00704B61">
      <w:pPr>
        <w:jc w:val="center"/>
        <w:rPr>
          <w:rFonts w:ascii="Book Antiqua" w:hAnsi="Book Antiqua" w:cs="Arial"/>
          <w:b/>
        </w:rPr>
      </w:pPr>
    </w:p>
    <w:bookmarkStart w:id="1" w:name="Text7"/>
    <w:p w14:paraId="1B425748" w14:textId="77777777" w:rsidR="00B705D9" w:rsidRPr="00DE279E" w:rsidRDefault="00B705D9" w:rsidP="00DE279E">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B1B32B5" w14:textId="77777777"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14:paraId="3D752385" w14:textId="1B15EE80" w:rsidR="00B705D9" w:rsidRDefault="00B705D9" w:rsidP="00DD5071">
      <w:pPr>
        <w:rPr>
          <w:rFonts w:ascii="Book Antiqua" w:hAnsi="Book Antiqua" w:cs="Arial"/>
          <w:u w:val="single"/>
        </w:rPr>
      </w:pPr>
    </w:p>
    <w:p w14:paraId="336B6264" w14:textId="77777777" w:rsidR="002472A9" w:rsidRPr="00F5664C" w:rsidRDefault="002472A9" w:rsidP="00DD5071">
      <w:pPr>
        <w:rPr>
          <w:rFonts w:ascii="Book Antiqua" w:hAnsi="Book Antiqua" w:cs="Arial"/>
          <w:u w:val="single"/>
        </w:rPr>
      </w:pPr>
    </w:p>
    <w:p w14:paraId="51E07005" w14:textId="77777777"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0415D5F" w14:textId="77777777" w:rsidR="00B705D9" w:rsidRPr="00F5664C" w:rsidRDefault="00B705D9" w:rsidP="002472A9">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86348">
        <w:rPr>
          <w:rFonts w:ascii="Book Antiqua" w:hAnsi="Book Antiqua" w:cs="Arial"/>
        </w:rPr>
        <w:t>Mr R Benton, Counsel</w:t>
      </w:r>
      <w:r>
        <w:rPr>
          <w:rFonts w:ascii="Book Antiqua" w:hAnsi="Book Antiqua" w:cs="Arial"/>
        </w:rPr>
        <w:t xml:space="preserve"> instructed by </w:t>
      </w:r>
      <w:proofErr w:type="spellStart"/>
      <w:r w:rsidR="00A86348">
        <w:rPr>
          <w:rFonts w:ascii="Book Antiqua" w:hAnsi="Book Antiqua" w:cs="Arial"/>
        </w:rPr>
        <w:t>Connaughts</w:t>
      </w:r>
      <w:proofErr w:type="spellEnd"/>
    </w:p>
    <w:p w14:paraId="66A7AE6C" w14:textId="77777777" w:rsidR="00B705D9" w:rsidRPr="00F5664C" w:rsidRDefault="00B705D9" w:rsidP="002472A9">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86348">
        <w:rPr>
          <w:rFonts w:ascii="Book Antiqua" w:hAnsi="Book Antiqua" w:cs="Arial"/>
        </w:rPr>
        <w:t>Mr T Melvin</w:t>
      </w:r>
      <w:r>
        <w:rPr>
          <w:rFonts w:ascii="Book Antiqua" w:hAnsi="Book Antiqua" w:cs="Arial"/>
        </w:rPr>
        <w:t>, a Senior Home Office Presenting Officer</w:t>
      </w:r>
    </w:p>
    <w:p w14:paraId="49DB45D1" w14:textId="7A676F39" w:rsidR="00B705D9" w:rsidRDefault="00B705D9" w:rsidP="00402B9E">
      <w:pPr>
        <w:tabs>
          <w:tab w:val="left" w:pos="2520"/>
        </w:tabs>
        <w:jc w:val="center"/>
        <w:rPr>
          <w:rFonts w:ascii="Book Antiqua" w:hAnsi="Book Antiqua" w:cs="Arial"/>
        </w:rPr>
      </w:pPr>
    </w:p>
    <w:p w14:paraId="6D22CE8C" w14:textId="77777777" w:rsidR="002472A9" w:rsidRPr="00F5664C" w:rsidRDefault="002472A9" w:rsidP="00402B9E">
      <w:pPr>
        <w:tabs>
          <w:tab w:val="left" w:pos="2520"/>
        </w:tabs>
        <w:jc w:val="center"/>
        <w:rPr>
          <w:rFonts w:ascii="Book Antiqua" w:hAnsi="Book Antiqua" w:cs="Arial"/>
        </w:rPr>
      </w:pPr>
    </w:p>
    <w:p w14:paraId="7C125051" w14:textId="77777777"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65A03B1E" w14:textId="77777777" w:rsidR="00EF59CB" w:rsidRDefault="00087222" w:rsidP="00284307">
      <w:pPr>
        <w:numPr>
          <w:ilvl w:val="0"/>
          <w:numId w:val="3"/>
        </w:numPr>
        <w:spacing w:before="240"/>
        <w:jc w:val="both"/>
        <w:rPr>
          <w:rFonts w:ascii="Book Antiqua" w:hAnsi="Book Antiqua" w:cs="Arial"/>
        </w:rPr>
      </w:pPr>
      <w:r>
        <w:rPr>
          <w:rFonts w:ascii="Book Antiqua" w:hAnsi="Book Antiqua" w:cs="Arial"/>
        </w:rPr>
        <w:t>The appellant appeals with permission against the decision of First-tier Tribunal Judge Courtney who dismissed his appeal against the decision of the respondent not to grant him leave to remain under paragraph 276B of the Immigration Rules on long residence grounds because his residence was interrupted by reason of the curtailment of his leave on 1</w:t>
      </w:r>
      <w:r w:rsidR="00EF59CB">
        <w:rPr>
          <w:rFonts w:ascii="Book Antiqua" w:hAnsi="Book Antiqua" w:cs="Arial"/>
        </w:rPr>
        <w:t>8</w:t>
      </w:r>
      <w:r w:rsidR="00BA2CD4">
        <w:rPr>
          <w:rFonts w:ascii="Book Antiqua" w:hAnsi="Book Antiqua" w:cs="Arial"/>
        </w:rPr>
        <w:t xml:space="preserve"> </w:t>
      </w:r>
      <w:r>
        <w:rPr>
          <w:rFonts w:ascii="Book Antiqua" w:hAnsi="Book Antiqua" w:cs="Arial"/>
        </w:rPr>
        <w:t xml:space="preserve">March 2015.  </w:t>
      </w:r>
    </w:p>
    <w:p w14:paraId="4F08EC4D" w14:textId="77777777" w:rsidR="00B617FC" w:rsidRDefault="00087222" w:rsidP="00284307">
      <w:pPr>
        <w:numPr>
          <w:ilvl w:val="0"/>
          <w:numId w:val="3"/>
        </w:numPr>
        <w:spacing w:before="240"/>
        <w:jc w:val="both"/>
        <w:rPr>
          <w:rFonts w:ascii="Book Antiqua" w:hAnsi="Book Antiqua" w:cs="Arial"/>
        </w:rPr>
      </w:pPr>
      <w:r>
        <w:rPr>
          <w:rFonts w:ascii="Book Antiqua" w:hAnsi="Book Antiqua" w:cs="Arial"/>
        </w:rPr>
        <w:t>The curtailment letter w</w:t>
      </w:r>
      <w:r w:rsidR="00DE1B5F">
        <w:rPr>
          <w:rFonts w:ascii="Book Antiqua" w:hAnsi="Book Antiqua" w:cs="Arial"/>
        </w:rPr>
        <w:t>a</w:t>
      </w:r>
      <w:r>
        <w:rPr>
          <w:rFonts w:ascii="Book Antiqua" w:hAnsi="Book Antiqua" w:cs="Arial"/>
        </w:rPr>
        <w:t xml:space="preserve">s served on the appellant’s registered address for correspondence as provided in the application for that leave and he accepts that he </w:t>
      </w:r>
      <w:r>
        <w:rPr>
          <w:rFonts w:ascii="Book Antiqua" w:hAnsi="Book Antiqua" w:cs="Arial"/>
        </w:rPr>
        <w:lastRenderedPageBreak/>
        <w:t xml:space="preserve">had both given that as his address for correspondence and failed to notify the respondent of any alternative address for correspondence.  </w:t>
      </w:r>
    </w:p>
    <w:p w14:paraId="245E3039" w14:textId="77777777" w:rsidR="00B617FC" w:rsidRDefault="00087222" w:rsidP="00284307">
      <w:pPr>
        <w:numPr>
          <w:ilvl w:val="0"/>
          <w:numId w:val="3"/>
        </w:numPr>
        <w:spacing w:before="240"/>
        <w:jc w:val="both"/>
        <w:rPr>
          <w:rFonts w:ascii="Book Antiqua" w:hAnsi="Book Antiqua" w:cs="Arial"/>
        </w:rPr>
      </w:pPr>
      <w:r>
        <w:rPr>
          <w:rFonts w:ascii="Book Antiqua" w:hAnsi="Book Antiqua" w:cs="Arial"/>
        </w:rPr>
        <w:t xml:space="preserve">As noted at paragraph 6 of the </w:t>
      </w:r>
      <w:r w:rsidR="00EF59CB">
        <w:rPr>
          <w:rFonts w:ascii="Book Antiqua" w:hAnsi="Book Antiqua" w:cs="Arial"/>
        </w:rPr>
        <w:t xml:space="preserve">First-tier Tribunal </w:t>
      </w:r>
      <w:r>
        <w:rPr>
          <w:rFonts w:ascii="Book Antiqua" w:hAnsi="Book Antiqua" w:cs="Arial"/>
        </w:rPr>
        <w:t>decision</w:t>
      </w:r>
      <w:r w:rsidR="00EF59CB">
        <w:rPr>
          <w:rFonts w:ascii="Book Antiqua" w:hAnsi="Book Antiqua" w:cs="Arial"/>
        </w:rPr>
        <w:t>,</w:t>
      </w:r>
      <w:r>
        <w:rPr>
          <w:rFonts w:ascii="Book Antiqua" w:hAnsi="Book Antiqua" w:cs="Arial"/>
        </w:rPr>
        <w:t xml:space="preserve"> an appeal may only be brought against this decision on human rights grounds.  The appellant’s challenge is in effect to the operation of the Rules following the curtailment and the interruption to that period of ten years’ lawful residence which w</w:t>
      </w:r>
      <w:r w:rsidR="00DE1B5F">
        <w:rPr>
          <w:rFonts w:ascii="Book Antiqua" w:hAnsi="Book Antiqua" w:cs="Arial"/>
        </w:rPr>
        <w:t>a</w:t>
      </w:r>
      <w:r>
        <w:rPr>
          <w:rFonts w:ascii="Book Antiqua" w:hAnsi="Book Antiqua" w:cs="Arial"/>
        </w:rPr>
        <w:t xml:space="preserve">s the effect of the curtailment of which he says he was completely oblivious.  </w:t>
      </w:r>
      <w:r w:rsidR="00EF59CB">
        <w:rPr>
          <w:rFonts w:ascii="Book Antiqua" w:hAnsi="Book Antiqua" w:cs="Arial"/>
        </w:rPr>
        <w:t>That</w:t>
      </w:r>
      <w:r>
        <w:rPr>
          <w:rFonts w:ascii="Book Antiqua" w:hAnsi="Book Antiqua" w:cs="Arial"/>
        </w:rPr>
        <w:t xml:space="preserve"> cannot be right because </w:t>
      </w:r>
      <w:r w:rsidR="00EF59CB">
        <w:rPr>
          <w:rFonts w:ascii="Book Antiqua" w:hAnsi="Book Antiqua" w:cs="Arial"/>
        </w:rPr>
        <w:t xml:space="preserve">on 26 March 2015, 8 days after the curtailment notice, </w:t>
      </w:r>
      <w:r>
        <w:rPr>
          <w:rFonts w:ascii="Book Antiqua" w:hAnsi="Book Antiqua" w:cs="Arial"/>
        </w:rPr>
        <w:t xml:space="preserve">the applicant received from the </w:t>
      </w:r>
      <w:r w:rsidR="00EF59CB">
        <w:rPr>
          <w:rFonts w:ascii="Book Antiqua" w:hAnsi="Book Antiqua" w:cs="Arial"/>
        </w:rPr>
        <w:t xml:space="preserve">College </w:t>
      </w:r>
      <w:r>
        <w:rPr>
          <w:rFonts w:ascii="Book Antiqua" w:hAnsi="Book Antiqua" w:cs="Arial"/>
        </w:rPr>
        <w:t>where he was studying an email saying this</w:t>
      </w:r>
      <w:r w:rsidR="00B617FC">
        <w:rPr>
          <w:rFonts w:ascii="Book Antiqua" w:hAnsi="Book Antiqua" w:cs="Arial"/>
        </w:rPr>
        <w:t>,</w:t>
      </w:r>
      <w:r>
        <w:rPr>
          <w:rFonts w:ascii="Book Antiqua" w:hAnsi="Book Antiqua" w:cs="Arial"/>
        </w:rPr>
        <w:t xml:space="preserve"> </w:t>
      </w:r>
    </w:p>
    <w:p w14:paraId="4C6CC3E9" w14:textId="77777777" w:rsidR="00B617FC" w:rsidRPr="00BA2CD4" w:rsidRDefault="00087222" w:rsidP="002472A9">
      <w:pPr>
        <w:spacing w:before="120"/>
        <w:ind w:left="1134"/>
        <w:jc w:val="both"/>
        <w:rPr>
          <w:rFonts w:ascii="Book Antiqua" w:hAnsi="Book Antiqua" w:cs="Arial"/>
          <w:sz w:val="22"/>
          <w:szCs w:val="22"/>
        </w:rPr>
      </w:pPr>
      <w:r w:rsidRPr="00BA2CD4">
        <w:rPr>
          <w:rFonts w:ascii="Book Antiqua" w:hAnsi="Book Antiqua" w:cs="Arial"/>
          <w:sz w:val="22"/>
          <w:szCs w:val="22"/>
        </w:rPr>
        <w:t>“This email is to confirm that UK</w:t>
      </w:r>
      <w:r w:rsidR="00B617FC" w:rsidRPr="00BA2CD4">
        <w:rPr>
          <w:rFonts w:ascii="Book Antiqua" w:hAnsi="Book Antiqua" w:cs="Arial"/>
          <w:sz w:val="22"/>
          <w:szCs w:val="22"/>
        </w:rPr>
        <w:t>VI</w:t>
      </w:r>
      <w:r w:rsidRPr="00BA2CD4">
        <w:rPr>
          <w:rFonts w:ascii="Book Antiqua" w:hAnsi="Book Antiqua" w:cs="Arial"/>
          <w:sz w:val="22"/>
          <w:szCs w:val="22"/>
        </w:rPr>
        <w:t xml:space="preserve"> have been notified of our decision to remove sponsorship as you have been reported as using a proxy test taker for your previous proof of English test.  </w:t>
      </w:r>
    </w:p>
    <w:p w14:paraId="03A4AD3F" w14:textId="77777777" w:rsidR="00B617FC" w:rsidRPr="00BA2CD4" w:rsidRDefault="00087222" w:rsidP="002472A9">
      <w:pPr>
        <w:spacing w:before="120"/>
        <w:ind w:left="1134"/>
        <w:jc w:val="both"/>
        <w:rPr>
          <w:rFonts w:ascii="Book Antiqua" w:hAnsi="Book Antiqua" w:cs="Arial"/>
          <w:sz w:val="22"/>
          <w:szCs w:val="22"/>
        </w:rPr>
      </w:pPr>
      <w:r w:rsidRPr="00BA2CD4">
        <w:rPr>
          <w:rFonts w:ascii="Book Antiqua" w:hAnsi="Book Antiqua" w:cs="Arial"/>
          <w:sz w:val="22"/>
          <w:szCs w:val="22"/>
        </w:rPr>
        <w:t>You should now make urgent ar</w:t>
      </w:r>
      <w:r w:rsidR="00DE1B5F" w:rsidRPr="00BA2CD4">
        <w:rPr>
          <w:rFonts w:ascii="Book Antiqua" w:hAnsi="Book Antiqua" w:cs="Arial"/>
          <w:sz w:val="22"/>
          <w:szCs w:val="22"/>
        </w:rPr>
        <w:t>r</w:t>
      </w:r>
      <w:r w:rsidRPr="00BA2CD4">
        <w:rPr>
          <w:rFonts w:ascii="Book Antiqua" w:hAnsi="Book Antiqua" w:cs="Arial"/>
          <w:sz w:val="22"/>
          <w:szCs w:val="22"/>
        </w:rPr>
        <w:t xml:space="preserve">angements to find a new sponsor or to leave the UK.  </w:t>
      </w:r>
    </w:p>
    <w:p w14:paraId="5F96F711" w14:textId="77777777" w:rsidR="00B617FC" w:rsidRPr="00BA2CD4" w:rsidRDefault="00087222" w:rsidP="002472A9">
      <w:pPr>
        <w:spacing w:before="120"/>
        <w:ind w:left="1134"/>
        <w:jc w:val="both"/>
        <w:rPr>
          <w:rFonts w:ascii="Book Antiqua" w:hAnsi="Book Antiqua" w:cs="Arial"/>
          <w:sz w:val="22"/>
          <w:szCs w:val="22"/>
        </w:rPr>
      </w:pPr>
      <w:r w:rsidRPr="00BA2CD4">
        <w:rPr>
          <w:rFonts w:ascii="Book Antiqua" w:hAnsi="Book Antiqua" w:cs="Arial"/>
          <w:sz w:val="22"/>
          <w:szCs w:val="22"/>
        </w:rPr>
        <w:t xml:space="preserve">If you have any queries regarding the above please do not hesitate to contact us.”  </w:t>
      </w:r>
    </w:p>
    <w:p w14:paraId="3D913552" w14:textId="77777777" w:rsidR="00EF59CB" w:rsidRDefault="00087222" w:rsidP="00EF59CB">
      <w:pPr>
        <w:spacing w:before="240"/>
        <w:ind w:left="567"/>
        <w:jc w:val="both"/>
        <w:rPr>
          <w:rFonts w:ascii="Book Antiqua" w:hAnsi="Book Antiqua" w:cs="Arial"/>
        </w:rPr>
      </w:pPr>
      <w:r w:rsidRPr="00BA2CD4">
        <w:rPr>
          <w:rFonts w:ascii="Book Antiqua" w:hAnsi="Book Antiqua" w:cs="Arial"/>
        </w:rPr>
        <w:t>The applicant did not take urgent steps</w:t>
      </w:r>
      <w:r w:rsidR="00EF59CB">
        <w:rPr>
          <w:rFonts w:ascii="Book Antiqua" w:hAnsi="Book Antiqua" w:cs="Arial"/>
        </w:rPr>
        <w:t>:</w:t>
      </w:r>
      <w:r w:rsidRPr="00BA2CD4">
        <w:rPr>
          <w:rFonts w:ascii="Book Antiqua" w:hAnsi="Book Antiqua" w:cs="Arial"/>
        </w:rPr>
        <w:t xml:space="preserve"> he did not whether any notice had been received by his </w:t>
      </w:r>
      <w:r w:rsidR="00EF59CB" w:rsidRPr="00BA2CD4">
        <w:rPr>
          <w:rFonts w:ascii="Book Antiqua" w:hAnsi="Book Antiqua" w:cs="Arial"/>
        </w:rPr>
        <w:t xml:space="preserve">Visa </w:t>
      </w:r>
      <w:r w:rsidRPr="00BA2CD4">
        <w:rPr>
          <w:rFonts w:ascii="Book Antiqua" w:hAnsi="Book Antiqua" w:cs="Arial"/>
        </w:rPr>
        <w:t>company</w:t>
      </w:r>
      <w:r w:rsidR="00EF59CB">
        <w:rPr>
          <w:rFonts w:ascii="Book Antiqua" w:hAnsi="Book Antiqua" w:cs="Arial"/>
        </w:rPr>
        <w:t xml:space="preserve">, </w:t>
      </w:r>
      <w:r w:rsidRPr="00BA2CD4">
        <w:rPr>
          <w:rFonts w:ascii="Book Antiqua" w:hAnsi="Book Antiqua" w:cs="Arial"/>
        </w:rPr>
        <w:t>the address for correspondence</w:t>
      </w:r>
      <w:r w:rsidR="00EF59CB">
        <w:rPr>
          <w:rFonts w:ascii="Book Antiqua" w:hAnsi="Book Antiqua" w:cs="Arial"/>
        </w:rPr>
        <w:t xml:space="preserve"> he had provided</w:t>
      </w:r>
      <w:r w:rsidRPr="00BA2CD4">
        <w:rPr>
          <w:rFonts w:ascii="Book Antiqua" w:hAnsi="Book Antiqua" w:cs="Arial"/>
        </w:rPr>
        <w:t xml:space="preserve">.  </w:t>
      </w:r>
    </w:p>
    <w:p w14:paraId="06B76515" w14:textId="77777777" w:rsidR="00BA2CD4" w:rsidRDefault="00087222" w:rsidP="00B617FC">
      <w:pPr>
        <w:numPr>
          <w:ilvl w:val="0"/>
          <w:numId w:val="3"/>
        </w:numPr>
        <w:spacing w:before="240"/>
        <w:jc w:val="both"/>
        <w:rPr>
          <w:rFonts w:ascii="Book Antiqua" w:hAnsi="Book Antiqua" w:cs="Arial"/>
        </w:rPr>
      </w:pPr>
      <w:r w:rsidRPr="00BA2CD4">
        <w:rPr>
          <w:rFonts w:ascii="Book Antiqua" w:hAnsi="Book Antiqua" w:cs="Arial"/>
        </w:rPr>
        <w:t xml:space="preserve">He waited for </w:t>
      </w:r>
      <w:r w:rsidR="000407EA" w:rsidRPr="00BA2CD4">
        <w:rPr>
          <w:rFonts w:ascii="Book Antiqua" w:hAnsi="Book Antiqua" w:cs="Arial"/>
        </w:rPr>
        <w:t xml:space="preserve">just under </w:t>
      </w:r>
      <w:r w:rsidR="00EF59CB">
        <w:rPr>
          <w:rFonts w:ascii="Book Antiqua" w:hAnsi="Book Antiqua" w:cs="Arial"/>
        </w:rPr>
        <w:t>10</w:t>
      </w:r>
      <w:r w:rsidR="000407EA" w:rsidRPr="00BA2CD4">
        <w:rPr>
          <w:rFonts w:ascii="Book Antiqua" w:hAnsi="Book Antiqua" w:cs="Arial"/>
        </w:rPr>
        <w:t xml:space="preserve"> weeks</w:t>
      </w:r>
      <w:r w:rsidR="00EF59CB">
        <w:rPr>
          <w:rFonts w:ascii="Book Antiqua" w:hAnsi="Book Antiqua" w:cs="Arial"/>
        </w:rPr>
        <w:t>,</w:t>
      </w:r>
      <w:r w:rsidR="000407EA" w:rsidRPr="00BA2CD4">
        <w:rPr>
          <w:rFonts w:ascii="Book Antiqua" w:hAnsi="Book Antiqua" w:cs="Arial"/>
        </w:rPr>
        <w:t xml:space="preserve"> before causing his solicitors to write to the respondent in the following terms, </w:t>
      </w:r>
    </w:p>
    <w:p w14:paraId="44AD8562" w14:textId="77777777" w:rsidR="00BA2CD4" w:rsidRDefault="00BA2CD4" w:rsidP="002472A9">
      <w:pPr>
        <w:pStyle w:val="ListParagraph"/>
        <w:spacing w:before="120"/>
        <w:ind w:left="1134"/>
        <w:contextualSpacing w:val="0"/>
        <w:jc w:val="both"/>
        <w:rPr>
          <w:rFonts w:ascii="Book Antiqua" w:hAnsi="Book Antiqua" w:cs="Arial"/>
          <w:sz w:val="22"/>
          <w:szCs w:val="22"/>
        </w:rPr>
      </w:pPr>
      <w:r w:rsidRPr="00BA2CD4">
        <w:rPr>
          <w:rFonts w:ascii="Book Antiqua" w:hAnsi="Book Antiqua" w:cs="Arial"/>
          <w:sz w:val="22"/>
          <w:szCs w:val="22"/>
        </w:rPr>
        <w:t>“We have been instructed by the above named client to deal with his immigration matter.  Please find the attached letter of authority ...  He had a valid leave until 10 10 2015 in which he was doing his ACCA at London School of Business and Finance however he was discontinued by his sponsor on 26 March 2015.  As a result he has been waiting for his visa Curtailment letter without that he won’t be able to find any suitable sponsor.</w:t>
      </w:r>
    </w:p>
    <w:p w14:paraId="4EDCDBF6" w14:textId="77777777" w:rsidR="00BA2CD4" w:rsidRDefault="00BA2CD4" w:rsidP="002472A9">
      <w:pPr>
        <w:pStyle w:val="ListParagraph"/>
        <w:spacing w:before="120"/>
        <w:ind w:left="1134"/>
        <w:contextualSpacing w:val="0"/>
        <w:jc w:val="both"/>
        <w:rPr>
          <w:rFonts w:ascii="Book Antiqua" w:hAnsi="Book Antiqua" w:cs="Arial"/>
        </w:rPr>
      </w:pPr>
      <w:r w:rsidRPr="00BA2CD4">
        <w:rPr>
          <w:rFonts w:ascii="Book Antiqua" w:hAnsi="Book Antiqua" w:cs="Arial"/>
          <w:sz w:val="22"/>
          <w:szCs w:val="22"/>
        </w:rPr>
        <w:t xml:space="preserve">We therefore hope that you will be kind enough to issue him a 60 days curtailment letter so that he can find a suitable sponsor.” </w:t>
      </w:r>
    </w:p>
    <w:p w14:paraId="09EF495B" w14:textId="77777777" w:rsidR="00EF59CB" w:rsidRDefault="000407EA" w:rsidP="00EF59CB">
      <w:pPr>
        <w:spacing w:before="240"/>
        <w:ind w:left="567"/>
        <w:jc w:val="both"/>
        <w:rPr>
          <w:rFonts w:ascii="Book Antiqua" w:hAnsi="Book Antiqua" w:cs="Arial"/>
        </w:rPr>
      </w:pPr>
      <w:r w:rsidRPr="00BA2CD4">
        <w:rPr>
          <w:rFonts w:ascii="Book Antiqua" w:hAnsi="Book Antiqua" w:cs="Arial"/>
        </w:rPr>
        <w:t xml:space="preserve">It does not appear that this was pursued thereafter.  </w:t>
      </w:r>
    </w:p>
    <w:p w14:paraId="3BDDEB7F" w14:textId="71248264" w:rsidR="00B617FC" w:rsidRPr="00BA2CD4" w:rsidRDefault="000407EA" w:rsidP="00EF59CB">
      <w:pPr>
        <w:numPr>
          <w:ilvl w:val="0"/>
          <w:numId w:val="3"/>
        </w:numPr>
        <w:spacing w:before="240"/>
        <w:jc w:val="both"/>
        <w:rPr>
          <w:rFonts w:ascii="Book Antiqua" w:hAnsi="Book Antiqua" w:cs="Arial"/>
        </w:rPr>
      </w:pPr>
      <w:r w:rsidRPr="00BA2CD4">
        <w:rPr>
          <w:rFonts w:ascii="Book Antiqua" w:hAnsi="Book Antiqua" w:cs="Arial"/>
        </w:rPr>
        <w:t xml:space="preserve">The broader human rights evidence before the First-tier Tribunal was that the appellant had a large extended family in the UK “to whom he had become very close” and that he had come to the United Kingdom </w:t>
      </w:r>
      <w:r w:rsidR="00EF59CB">
        <w:rPr>
          <w:rFonts w:ascii="Book Antiqua" w:hAnsi="Book Antiqua" w:cs="Arial"/>
        </w:rPr>
        <w:t>aged</w:t>
      </w:r>
      <w:r w:rsidRPr="00BA2CD4">
        <w:rPr>
          <w:rFonts w:ascii="Book Antiqua" w:hAnsi="Book Antiqua" w:cs="Arial"/>
        </w:rPr>
        <w:t xml:space="preserve"> 20 and spent at the date of hearing about </w:t>
      </w:r>
      <w:r w:rsidR="00EF59CB">
        <w:rPr>
          <w:rFonts w:ascii="Book Antiqua" w:hAnsi="Book Antiqua" w:cs="Arial"/>
        </w:rPr>
        <w:t>11</w:t>
      </w:r>
      <w:r w:rsidRPr="00BA2CD4">
        <w:rPr>
          <w:rFonts w:ascii="Book Antiqua" w:hAnsi="Book Antiqua" w:cs="Arial"/>
        </w:rPr>
        <w:t xml:space="preserve"> ye</w:t>
      </w:r>
      <w:r w:rsidR="00DE1B5F" w:rsidRPr="00BA2CD4">
        <w:rPr>
          <w:rFonts w:ascii="Book Antiqua" w:hAnsi="Book Antiqua" w:cs="Arial"/>
        </w:rPr>
        <w:t>a</w:t>
      </w:r>
      <w:r w:rsidRPr="00BA2CD4">
        <w:rPr>
          <w:rFonts w:ascii="Book Antiqua" w:hAnsi="Book Antiqua" w:cs="Arial"/>
        </w:rPr>
        <w:t xml:space="preserve">rs in the United Kingdom </w:t>
      </w:r>
      <w:r w:rsidR="00EF59CB">
        <w:rPr>
          <w:rFonts w:ascii="Book Antiqua" w:hAnsi="Book Antiqua" w:cs="Arial"/>
        </w:rPr>
        <w:t>but</w:t>
      </w:r>
      <w:r w:rsidRPr="00BA2CD4">
        <w:rPr>
          <w:rFonts w:ascii="Book Antiqua" w:hAnsi="Book Antiqua" w:cs="Arial"/>
        </w:rPr>
        <w:t xml:space="preserve"> less than </w:t>
      </w:r>
      <w:r w:rsidR="00EF59CB">
        <w:rPr>
          <w:rFonts w:ascii="Book Antiqua" w:hAnsi="Book Antiqua" w:cs="Arial"/>
        </w:rPr>
        <w:t>10</w:t>
      </w:r>
      <w:r w:rsidRPr="00BA2CD4">
        <w:rPr>
          <w:rFonts w:ascii="Book Antiqua" w:hAnsi="Book Antiqua" w:cs="Arial"/>
        </w:rPr>
        <w:t xml:space="preserve"> years with leave.  It is accepted that he can</w:t>
      </w:r>
      <w:r w:rsidR="00DE1B5F" w:rsidRPr="00BA2CD4">
        <w:rPr>
          <w:rFonts w:ascii="Book Antiqua" w:hAnsi="Book Antiqua" w:cs="Arial"/>
        </w:rPr>
        <w:t>n</w:t>
      </w:r>
      <w:r w:rsidRPr="00BA2CD4">
        <w:rPr>
          <w:rFonts w:ascii="Book Antiqua" w:hAnsi="Book Antiqua" w:cs="Arial"/>
        </w:rPr>
        <w:t xml:space="preserve">ot meet the requirements of the Rules.  </w:t>
      </w:r>
    </w:p>
    <w:p w14:paraId="4BA02CE5" w14:textId="0B98BC76" w:rsidR="00291D5F" w:rsidRDefault="000407EA" w:rsidP="00284307">
      <w:pPr>
        <w:numPr>
          <w:ilvl w:val="0"/>
          <w:numId w:val="3"/>
        </w:numPr>
        <w:spacing w:before="240"/>
        <w:jc w:val="both"/>
        <w:rPr>
          <w:rFonts w:ascii="Book Antiqua" w:hAnsi="Book Antiqua" w:cs="Arial"/>
        </w:rPr>
      </w:pPr>
      <w:r>
        <w:rPr>
          <w:rFonts w:ascii="Book Antiqua" w:hAnsi="Book Antiqua" w:cs="Arial"/>
        </w:rPr>
        <w:t xml:space="preserve">The </w:t>
      </w:r>
      <w:r w:rsidR="00EF59CB">
        <w:rPr>
          <w:rFonts w:ascii="Book Antiqua" w:hAnsi="Book Antiqua" w:cs="Arial"/>
        </w:rPr>
        <w:t>grounds of appeal do not challenge the First-tier Judge’s finding that the appellant had not shown that there were</w:t>
      </w:r>
      <w:r>
        <w:rPr>
          <w:rFonts w:ascii="Book Antiqua" w:hAnsi="Book Antiqua" w:cs="Arial"/>
        </w:rPr>
        <w:t xml:space="preserve"> significant obstacles to </w:t>
      </w:r>
      <w:r w:rsidR="00EF59CB">
        <w:rPr>
          <w:rFonts w:ascii="Book Antiqua" w:hAnsi="Book Antiqua" w:cs="Arial"/>
        </w:rPr>
        <w:t xml:space="preserve">his </w:t>
      </w:r>
      <w:r>
        <w:rPr>
          <w:rFonts w:ascii="Book Antiqua" w:hAnsi="Book Antiqua" w:cs="Arial"/>
        </w:rPr>
        <w:t>reintegration</w:t>
      </w:r>
      <w:r w:rsidR="00EF59CB">
        <w:rPr>
          <w:rFonts w:ascii="Book Antiqua" w:hAnsi="Book Antiqua" w:cs="Arial"/>
        </w:rPr>
        <w:t>, nor any</w:t>
      </w:r>
      <w:r>
        <w:rPr>
          <w:rFonts w:ascii="Book Antiqua" w:hAnsi="Book Antiqua" w:cs="Arial"/>
        </w:rPr>
        <w:t xml:space="preserve"> qualifying family relationships for the purposes of Appendix FM. </w:t>
      </w:r>
    </w:p>
    <w:p w14:paraId="5AE72B26" w14:textId="77777777" w:rsidR="00EF59CB" w:rsidRPr="00EF59CB" w:rsidRDefault="000407EA" w:rsidP="00EF59CB">
      <w:pPr>
        <w:numPr>
          <w:ilvl w:val="0"/>
          <w:numId w:val="3"/>
        </w:numPr>
        <w:spacing w:before="240"/>
        <w:jc w:val="both"/>
        <w:rPr>
          <w:rFonts w:ascii="Book Antiqua" w:hAnsi="Book Antiqua" w:cs="Arial"/>
        </w:rPr>
      </w:pPr>
      <w:r>
        <w:rPr>
          <w:rFonts w:ascii="Book Antiqua" w:hAnsi="Book Antiqua" w:cs="Arial"/>
        </w:rPr>
        <w:t>Under Article 8</w:t>
      </w:r>
      <w:r w:rsidR="00EF59CB">
        <w:rPr>
          <w:rFonts w:ascii="Book Antiqua" w:hAnsi="Book Antiqua" w:cs="Arial"/>
        </w:rPr>
        <w:t>,</w:t>
      </w:r>
      <w:r>
        <w:rPr>
          <w:rFonts w:ascii="Book Antiqua" w:hAnsi="Book Antiqua" w:cs="Arial"/>
        </w:rPr>
        <w:t xml:space="preserve"> the judge found that there were no good grounds for proceeding to a second stage Article 8 assessment and that this was not a case where the interest</w:t>
      </w:r>
      <w:r w:rsidR="00291D5F">
        <w:rPr>
          <w:rFonts w:ascii="Book Antiqua" w:hAnsi="Book Antiqua" w:cs="Arial"/>
        </w:rPr>
        <w:t>s</w:t>
      </w:r>
      <w:r>
        <w:rPr>
          <w:rFonts w:ascii="Book Antiqua" w:hAnsi="Book Antiqua" w:cs="Arial"/>
        </w:rPr>
        <w:t xml:space="preserve"> of the state and the community and the maintenance of effective immigration control </w:t>
      </w:r>
      <w:r w:rsidR="00EF59CB">
        <w:rPr>
          <w:rFonts w:ascii="Book Antiqua" w:hAnsi="Book Antiqua" w:cs="Arial"/>
        </w:rPr>
        <w:t>should</w:t>
      </w:r>
      <w:r>
        <w:rPr>
          <w:rFonts w:ascii="Book Antiqua" w:hAnsi="Book Antiqua" w:cs="Arial"/>
        </w:rPr>
        <w:t xml:space="preserve"> not be accorded their normally preponderant weight.  There is no direct </w:t>
      </w:r>
      <w:r>
        <w:rPr>
          <w:rFonts w:ascii="Book Antiqua" w:hAnsi="Book Antiqua" w:cs="Arial"/>
        </w:rPr>
        <w:lastRenderedPageBreak/>
        <w:t xml:space="preserve">reference to Part 5A of the </w:t>
      </w:r>
      <w:r w:rsidR="00EF59CB">
        <w:rPr>
          <w:rFonts w:ascii="Book Antiqua" w:hAnsi="Book Antiqua" w:cs="Arial"/>
        </w:rPr>
        <w:t>Nationality, Immigration and Asylum Act 2002 (as amended)</w:t>
      </w:r>
      <w:r>
        <w:rPr>
          <w:rFonts w:ascii="Book Antiqua" w:hAnsi="Book Antiqua" w:cs="Arial"/>
        </w:rPr>
        <w:t xml:space="preserve"> but it is plain that the judge had th</w:t>
      </w:r>
      <w:r w:rsidR="00EF59CB">
        <w:rPr>
          <w:rFonts w:ascii="Book Antiqua" w:hAnsi="Book Antiqua" w:cs="Arial"/>
        </w:rPr>
        <w:t xml:space="preserve">ose provisions </w:t>
      </w:r>
      <w:r>
        <w:rPr>
          <w:rFonts w:ascii="Book Antiqua" w:hAnsi="Book Antiqua" w:cs="Arial"/>
        </w:rPr>
        <w:t xml:space="preserve">in mind.  </w:t>
      </w:r>
    </w:p>
    <w:p w14:paraId="716F4876" w14:textId="77777777" w:rsidR="00291D5F" w:rsidRPr="00291D5F" w:rsidRDefault="000407EA" w:rsidP="00284307">
      <w:pPr>
        <w:numPr>
          <w:ilvl w:val="0"/>
          <w:numId w:val="3"/>
        </w:numPr>
        <w:spacing w:before="240"/>
        <w:jc w:val="both"/>
        <w:rPr>
          <w:rFonts w:ascii="Book Antiqua" w:hAnsi="Book Antiqua" w:cs="Arial"/>
          <w:b/>
          <w:u w:val="single"/>
        </w:rPr>
      </w:pPr>
      <w:r w:rsidRPr="00DE1B5F">
        <w:rPr>
          <w:rFonts w:ascii="Book Antiqua" w:hAnsi="Book Antiqua" w:cs="Arial"/>
        </w:rPr>
        <w:t>The appeal was advanced before me in three ways.  First, that following the curtailment decision</w:t>
      </w:r>
      <w:r w:rsidR="00EF59CB">
        <w:rPr>
          <w:rFonts w:ascii="Book Antiqua" w:hAnsi="Book Antiqua" w:cs="Arial"/>
        </w:rPr>
        <w:t>,</w:t>
      </w:r>
      <w:r w:rsidRPr="00DE1B5F">
        <w:rPr>
          <w:rFonts w:ascii="Book Antiqua" w:hAnsi="Book Antiqua" w:cs="Arial"/>
        </w:rPr>
        <w:t xml:space="preserve"> the Secretary of State had been made aware some </w:t>
      </w:r>
      <w:r w:rsidR="00EF59CB">
        <w:rPr>
          <w:rFonts w:ascii="Book Antiqua" w:hAnsi="Book Antiqua" w:cs="Arial"/>
        </w:rPr>
        <w:t>10</w:t>
      </w:r>
      <w:r w:rsidRPr="00DE1B5F">
        <w:rPr>
          <w:rFonts w:ascii="Book Antiqua" w:hAnsi="Book Antiqua" w:cs="Arial"/>
        </w:rPr>
        <w:t xml:space="preserve"> weeks later that the appellant claimed not to have received the curtailment notice from his previous representatives but that she did not respond to that letter.  The claimant considers that to be </w:t>
      </w:r>
      <w:r w:rsidRPr="00291D5F">
        <w:rPr>
          <w:rFonts w:ascii="Book Antiqua" w:hAnsi="Book Antiqua" w:cs="Arial"/>
          <w:i/>
        </w:rPr>
        <w:t>Wednesbury</w:t>
      </w:r>
      <w:r w:rsidRPr="00DE1B5F">
        <w:rPr>
          <w:rFonts w:ascii="Book Antiqua" w:hAnsi="Book Antiqua" w:cs="Arial"/>
        </w:rPr>
        <w:t xml:space="preserve"> unreasonable.  </w:t>
      </w:r>
      <w:r w:rsidR="00EF59CB">
        <w:rPr>
          <w:rFonts w:ascii="Book Antiqua" w:hAnsi="Book Antiqua" w:cs="Arial"/>
        </w:rPr>
        <w:t>I disagree: he was aware that there was a problem and the onus was on him to contact his notified address for service and see what had been received, promptly, not 10 weeks later when any 60-day extension would have already expired.</w:t>
      </w:r>
    </w:p>
    <w:p w14:paraId="553BDA24" w14:textId="77777777" w:rsidR="00B617FC" w:rsidRPr="00B617FC" w:rsidRDefault="000407EA" w:rsidP="00284307">
      <w:pPr>
        <w:numPr>
          <w:ilvl w:val="0"/>
          <w:numId w:val="3"/>
        </w:numPr>
        <w:spacing w:before="240"/>
        <w:jc w:val="both"/>
        <w:rPr>
          <w:rFonts w:ascii="Book Antiqua" w:hAnsi="Book Antiqua" w:cs="Arial"/>
          <w:b/>
          <w:u w:val="single"/>
        </w:rPr>
      </w:pPr>
      <w:r w:rsidRPr="00DE1B5F">
        <w:rPr>
          <w:rFonts w:ascii="Book Antiqua" w:hAnsi="Book Antiqua" w:cs="Arial"/>
        </w:rPr>
        <w:t>Secondly</w:t>
      </w:r>
      <w:r w:rsidR="00B617FC">
        <w:rPr>
          <w:rFonts w:ascii="Book Antiqua" w:hAnsi="Book Antiqua" w:cs="Arial"/>
        </w:rPr>
        <w:t>,</w:t>
      </w:r>
      <w:r w:rsidRPr="00DE1B5F">
        <w:rPr>
          <w:rFonts w:ascii="Book Antiqua" w:hAnsi="Book Antiqua" w:cs="Arial"/>
        </w:rPr>
        <w:t xml:space="preserve"> </w:t>
      </w:r>
      <w:r w:rsidR="00EF59CB">
        <w:rPr>
          <w:rFonts w:ascii="Book Antiqua" w:hAnsi="Book Antiqua" w:cs="Arial"/>
        </w:rPr>
        <w:t>the appellant contends that the respondent’s</w:t>
      </w:r>
      <w:r w:rsidRPr="00DE1B5F">
        <w:rPr>
          <w:rFonts w:ascii="Book Antiqua" w:hAnsi="Book Antiqua" w:cs="Arial"/>
        </w:rPr>
        <w:t xml:space="preserve"> failure to respond and re</w:t>
      </w:r>
      <w:r w:rsidR="00291D5F">
        <w:rPr>
          <w:rFonts w:ascii="Book Antiqua" w:hAnsi="Book Antiqua" w:cs="Arial"/>
        </w:rPr>
        <w:t>-</w:t>
      </w:r>
      <w:r w:rsidRPr="00DE1B5F">
        <w:rPr>
          <w:rFonts w:ascii="Book Antiqua" w:hAnsi="Book Antiqua" w:cs="Arial"/>
        </w:rPr>
        <w:t xml:space="preserve">serve on the appellant at his home address was a breach of the substance of </w:t>
      </w:r>
      <w:r w:rsidR="00EF59CB">
        <w:rPr>
          <w:rFonts w:ascii="Book Antiqua" w:hAnsi="Book Antiqua" w:cs="Arial"/>
        </w:rPr>
        <w:t>the respondent’s</w:t>
      </w:r>
      <w:r w:rsidRPr="00DE1B5F">
        <w:rPr>
          <w:rFonts w:ascii="Book Antiqua" w:hAnsi="Book Antiqua" w:cs="Arial"/>
        </w:rPr>
        <w:t xml:space="preserve"> then policy guidance.  I have examined the policy guidance and the parts thereof to which I have been taken and that argument is simply unsustainable.  The policy guidance provides for the </w:t>
      </w:r>
      <w:r w:rsidR="00DE1B5F" w:rsidRPr="00DE1B5F">
        <w:rPr>
          <w:rFonts w:ascii="Book Antiqua" w:hAnsi="Book Antiqua" w:cs="Arial"/>
        </w:rPr>
        <w:t>Secretary of State to do exactly what she did do</w:t>
      </w:r>
      <w:r w:rsidR="00EF59CB">
        <w:rPr>
          <w:rFonts w:ascii="Book Antiqua" w:hAnsi="Book Antiqua" w:cs="Arial"/>
        </w:rPr>
        <w:t>,</w:t>
      </w:r>
      <w:r w:rsidR="00DE1B5F" w:rsidRPr="00DE1B5F">
        <w:rPr>
          <w:rFonts w:ascii="Book Antiqua" w:hAnsi="Book Antiqua" w:cs="Arial"/>
        </w:rPr>
        <w:t xml:space="preserve"> which is to send the notice to the representative whose address was provided for correspondence and only to take further steps if it was returned by the postal service which in this case it was not.  Mr </w:t>
      </w:r>
      <w:r w:rsidR="00291D5F">
        <w:rPr>
          <w:rFonts w:ascii="Book Antiqua" w:hAnsi="Book Antiqua" w:cs="Arial"/>
        </w:rPr>
        <w:t>Benton</w:t>
      </w:r>
      <w:r w:rsidR="00EF59CB">
        <w:rPr>
          <w:rFonts w:ascii="Book Antiqua" w:hAnsi="Book Antiqua" w:cs="Arial"/>
        </w:rPr>
        <w:t>,</w:t>
      </w:r>
      <w:r w:rsidR="00DE1B5F" w:rsidRPr="00DE1B5F">
        <w:rPr>
          <w:rFonts w:ascii="Book Antiqua" w:hAnsi="Book Antiqua" w:cs="Arial"/>
        </w:rPr>
        <w:t xml:space="preserve"> the appellant’s representative</w:t>
      </w:r>
      <w:r w:rsidR="00EF59CB">
        <w:rPr>
          <w:rFonts w:ascii="Book Antiqua" w:hAnsi="Book Antiqua" w:cs="Arial"/>
        </w:rPr>
        <w:t>,</w:t>
      </w:r>
      <w:r w:rsidR="00DE1B5F" w:rsidRPr="00DE1B5F">
        <w:rPr>
          <w:rFonts w:ascii="Book Antiqua" w:hAnsi="Book Antiqua" w:cs="Arial"/>
        </w:rPr>
        <w:t xml:space="preserve"> signed for the curtailment notice in the normal way and the Secretary of State was entitled to </w:t>
      </w:r>
      <w:r w:rsidR="00EF59CB">
        <w:rPr>
          <w:rFonts w:ascii="Book Antiqua" w:hAnsi="Book Antiqua" w:cs="Arial"/>
        </w:rPr>
        <w:t>consider</w:t>
      </w:r>
      <w:r w:rsidR="00DE1B5F" w:rsidRPr="00DE1B5F">
        <w:rPr>
          <w:rFonts w:ascii="Book Antiqua" w:hAnsi="Book Antiqua" w:cs="Arial"/>
        </w:rPr>
        <w:t xml:space="preserve"> that it had been served. </w:t>
      </w:r>
    </w:p>
    <w:p w14:paraId="742C79E8" w14:textId="77777777" w:rsidR="00EF59CB" w:rsidRDefault="00DE1B5F" w:rsidP="001F2A30">
      <w:pPr>
        <w:numPr>
          <w:ilvl w:val="0"/>
          <w:numId w:val="3"/>
        </w:numPr>
        <w:spacing w:before="240"/>
        <w:jc w:val="both"/>
        <w:rPr>
          <w:rFonts w:ascii="Book Antiqua" w:hAnsi="Book Antiqua" w:cs="Arial"/>
        </w:rPr>
      </w:pPr>
      <w:r w:rsidRPr="00A7521C">
        <w:rPr>
          <w:rFonts w:ascii="Book Antiqua" w:hAnsi="Book Antiqua" w:cs="Arial"/>
        </w:rPr>
        <w:t>The third argument is that the correspondence address on an application form for a visa in 2012 could not reasonably be understood as the appellant’s correspondence address in 2015 for the purpose of a service of a curtailment notice</w:t>
      </w:r>
      <w:r w:rsidR="00EF59CB">
        <w:rPr>
          <w:rFonts w:ascii="Book Antiqua" w:hAnsi="Book Antiqua" w:cs="Arial"/>
        </w:rPr>
        <w:t>.  T</w:t>
      </w:r>
      <w:r w:rsidRPr="00A7521C">
        <w:rPr>
          <w:rFonts w:ascii="Book Antiqua" w:hAnsi="Book Antiqua" w:cs="Arial"/>
        </w:rPr>
        <w:t>hat again is an argument which cannot possibly succeed</w:t>
      </w:r>
      <w:r w:rsidR="00A7521C" w:rsidRPr="00A7521C">
        <w:rPr>
          <w:rFonts w:ascii="Book Antiqua" w:hAnsi="Book Antiqua" w:cs="Arial"/>
        </w:rPr>
        <w:t>.  T</w:t>
      </w:r>
      <w:r w:rsidRPr="00A7521C">
        <w:rPr>
          <w:rFonts w:ascii="Book Antiqua" w:hAnsi="Book Antiqua" w:cs="Arial"/>
        </w:rPr>
        <w:t xml:space="preserve">he responsibility is on the appellant to notify the Secretary of State if he wishes her to use a different address for service and it is common ground that he did not do so.  </w:t>
      </w:r>
    </w:p>
    <w:p w14:paraId="694DA986" w14:textId="77777777" w:rsidR="00EF59CB" w:rsidRDefault="00DE1B5F" w:rsidP="001F2A30">
      <w:pPr>
        <w:numPr>
          <w:ilvl w:val="0"/>
          <w:numId w:val="3"/>
        </w:numPr>
        <w:spacing w:before="240"/>
        <w:jc w:val="both"/>
        <w:rPr>
          <w:rFonts w:ascii="Book Antiqua" w:hAnsi="Book Antiqua" w:cs="Arial"/>
        </w:rPr>
      </w:pPr>
      <w:r w:rsidRPr="00A7521C">
        <w:rPr>
          <w:rFonts w:ascii="Book Antiqua" w:hAnsi="Book Antiqua" w:cs="Arial"/>
        </w:rPr>
        <w:t>The Secretary of State was entitled to use the address of service which the appellant had provided at the time of the application for the visa and accordingly there is no arguable error of law</w:t>
      </w:r>
      <w:r w:rsidR="00EF59CB">
        <w:rPr>
          <w:rFonts w:ascii="Book Antiqua" w:hAnsi="Book Antiqua" w:cs="Arial"/>
        </w:rPr>
        <w:t>,</w:t>
      </w:r>
      <w:r w:rsidRPr="00A7521C">
        <w:rPr>
          <w:rFonts w:ascii="Book Antiqua" w:hAnsi="Book Antiqua" w:cs="Arial"/>
        </w:rPr>
        <w:t xml:space="preserve"> material or otherwise in the decision of the First-tier Tribunal</w:t>
      </w:r>
      <w:r w:rsidR="00EF59CB">
        <w:rPr>
          <w:rFonts w:ascii="Book Antiqua" w:hAnsi="Book Antiqua" w:cs="Arial"/>
        </w:rPr>
        <w:t>.</w:t>
      </w:r>
    </w:p>
    <w:p w14:paraId="636D576A" w14:textId="77777777" w:rsidR="00EF59CB" w:rsidRPr="00EF59CB" w:rsidRDefault="00EF59CB" w:rsidP="00EF59CB">
      <w:pPr>
        <w:spacing w:before="240"/>
        <w:jc w:val="both"/>
        <w:rPr>
          <w:rFonts w:ascii="Book Antiqua" w:hAnsi="Book Antiqua" w:cs="Arial"/>
          <w:b/>
        </w:rPr>
      </w:pPr>
      <w:r>
        <w:rPr>
          <w:rFonts w:ascii="Book Antiqua" w:hAnsi="Book Antiqua" w:cs="Arial"/>
          <w:b/>
        </w:rPr>
        <w:t xml:space="preserve">Decision </w:t>
      </w:r>
    </w:p>
    <w:p w14:paraId="74BF6043" w14:textId="77777777" w:rsidR="00EF59CB" w:rsidRDefault="00EF59CB" w:rsidP="001F2A30">
      <w:pPr>
        <w:numPr>
          <w:ilvl w:val="0"/>
          <w:numId w:val="3"/>
        </w:numPr>
        <w:spacing w:before="240"/>
        <w:jc w:val="both"/>
        <w:rPr>
          <w:rFonts w:ascii="Book Antiqua" w:hAnsi="Book Antiqua" w:cs="Arial"/>
        </w:rPr>
      </w:pPr>
      <w:r>
        <w:rPr>
          <w:rFonts w:ascii="Book Antiqua" w:hAnsi="Book Antiqua" w:cs="Arial"/>
        </w:rPr>
        <w:t xml:space="preserve">The First-tier Tribunal did not make any material error of law in the decision to dismiss the appellant’s appeal. </w:t>
      </w:r>
    </w:p>
    <w:p w14:paraId="6CDCD39D" w14:textId="77777777" w:rsidR="00B705D9" w:rsidRPr="00A7521C" w:rsidRDefault="00EF59CB" w:rsidP="001F2A30">
      <w:pPr>
        <w:numPr>
          <w:ilvl w:val="0"/>
          <w:numId w:val="3"/>
        </w:numPr>
        <w:spacing w:before="240"/>
        <w:jc w:val="both"/>
        <w:rPr>
          <w:rFonts w:ascii="Book Antiqua" w:hAnsi="Book Antiqua" w:cs="Arial"/>
        </w:rPr>
      </w:pPr>
      <w:r>
        <w:rPr>
          <w:rFonts w:ascii="Book Antiqua" w:hAnsi="Book Antiqua" w:cs="Arial"/>
        </w:rPr>
        <w:t xml:space="preserve">I decline to set aside the First-tier Tribunal decision.  The decision of the First-tier Tribunal stands.  </w:t>
      </w:r>
    </w:p>
    <w:p w14:paraId="6EAF0FD0" w14:textId="66115082" w:rsidR="00B705D9" w:rsidRDefault="00B705D9" w:rsidP="000369F5">
      <w:pPr>
        <w:tabs>
          <w:tab w:val="left" w:pos="2520"/>
        </w:tabs>
        <w:jc w:val="both"/>
        <w:rPr>
          <w:rFonts w:ascii="Book Antiqua" w:hAnsi="Book Antiqua" w:cs="Arial"/>
        </w:rPr>
      </w:pPr>
    </w:p>
    <w:p w14:paraId="414A76F9" w14:textId="77777777" w:rsidR="002472A9" w:rsidRPr="00F5664C" w:rsidRDefault="002472A9" w:rsidP="000369F5">
      <w:pPr>
        <w:tabs>
          <w:tab w:val="left" w:pos="2520"/>
        </w:tabs>
        <w:jc w:val="both"/>
        <w:rPr>
          <w:rFonts w:ascii="Book Antiqua" w:hAnsi="Book Antiqua" w:cs="Arial"/>
        </w:rPr>
      </w:pPr>
    </w:p>
    <w:p w14:paraId="4CFEA06A" w14:textId="77777777" w:rsidR="00EF59CB" w:rsidRPr="00C6723A" w:rsidRDefault="00EF59CB" w:rsidP="00C6723A">
      <w:pPr>
        <w:ind w:left="357"/>
        <w:jc w:val="both"/>
        <w:rPr>
          <w:rFonts w:ascii="Book Antiqua" w:hAnsi="Book Antiqua" w:cs="Arial"/>
          <w:lang w:eastAsia="en-US"/>
        </w:rPr>
      </w:pPr>
      <w:r w:rsidRPr="00C6723A">
        <w:rPr>
          <w:lang w:eastAsia="en-US"/>
        </w:rPr>
        <w:t>Signed:</w:t>
      </w:r>
      <w:r w:rsidRPr="00C6723A">
        <w:rPr>
          <w:lang w:eastAsia="en-US"/>
        </w:rPr>
        <w:tab/>
      </w:r>
      <w:r>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sidRPr="00C6723A">
        <w:rPr>
          <w:rFonts w:ascii="Book Antiqua" w:hAnsi="Book Antiqua" w:cs="Arial"/>
          <w:lang w:eastAsia="en-US"/>
        </w:rPr>
        <w:t xml:space="preserve">Date:  </w:t>
      </w:r>
      <w:r>
        <w:rPr>
          <w:rFonts w:ascii="Book Antiqua" w:hAnsi="Book Antiqua" w:cs="Arial"/>
          <w:lang w:eastAsia="en-US"/>
        </w:rPr>
        <w:t>28 August 2018</w:t>
      </w:r>
    </w:p>
    <w:p w14:paraId="5F5CD41A" w14:textId="77777777" w:rsidR="00EF59CB" w:rsidRPr="00C6723A" w:rsidRDefault="00EF59CB" w:rsidP="00C6723A">
      <w:pPr>
        <w:ind w:left="357"/>
        <w:jc w:val="both"/>
        <w:rPr>
          <w:lang w:eastAsia="en-US"/>
        </w:rPr>
      </w:pPr>
      <w:r w:rsidRPr="00C6723A">
        <w:rPr>
          <w:rFonts w:ascii="Book Antiqua" w:hAnsi="Book Antiqua" w:cs="Arial"/>
          <w:lang w:eastAsia="en-US"/>
        </w:rPr>
        <w:tab/>
      </w:r>
      <w:r w:rsidRPr="00C6723A">
        <w:rPr>
          <w:rFonts w:ascii="Book Antiqua" w:hAnsi="Book Antiqua" w:cs="Arial"/>
          <w:lang w:eastAsia="en-US"/>
        </w:rPr>
        <w:tab/>
      </w:r>
      <w:r>
        <w:rPr>
          <w:rFonts w:ascii="Book Antiqua" w:hAnsi="Book Antiqua" w:cs="Arial"/>
          <w:lang w:eastAsia="en-US"/>
        </w:rPr>
        <w:tab/>
      </w:r>
      <w:r w:rsidRPr="00C6723A">
        <w:rPr>
          <w:rFonts w:ascii="Book Antiqua" w:hAnsi="Book Antiqua" w:cs="Arial"/>
          <w:lang w:eastAsia="en-US"/>
        </w:rPr>
        <w:t xml:space="preserve">Upper Tribunal Judge Gleeson  </w:t>
      </w:r>
    </w:p>
    <w:sectPr w:rsidR="00EF59CB" w:rsidRPr="00C6723A"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2DDCF" w14:textId="77777777" w:rsidR="000A2BD4" w:rsidRDefault="000A2BD4">
      <w:r>
        <w:separator/>
      </w:r>
    </w:p>
  </w:endnote>
  <w:endnote w:type="continuationSeparator" w:id="0">
    <w:p w14:paraId="33289B1E" w14:textId="77777777" w:rsidR="000A2BD4" w:rsidRDefault="000A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7174D" w14:textId="185F52D2" w:rsidR="00B705D9" w:rsidRPr="00F5664C" w:rsidRDefault="00B705D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11E63">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323F" w14:textId="77777777"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BDBF9" w14:textId="77777777" w:rsidR="000A2BD4" w:rsidRDefault="000A2BD4">
      <w:r>
        <w:separator/>
      </w:r>
    </w:p>
  </w:footnote>
  <w:footnote w:type="continuationSeparator" w:id="0">
    <w:p w14:paraId="4D6B7F16" w14:textId="77777777" w:rsidR="000A2BD4" w:rsidRDefault="000A2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B593" w14:textId="77777777" w:rsidR="00B705D9" w:rsidRPr="00F5664C"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E1B5F">
      <w:rPr>
        <w:rFonts w:ascii="Book Antiqua" w:hAnsi="Book Antiqua" w:cs="Arial"/>
        <w:sz w:val="16"/>
        <w:szCs w:val="16"/>
      </w:rPr>
      <w:t>HU/18752/2016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4A2FB" w14:textId="77777777"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C3FE761A"/>
    <w:lvl w:ilvl="0">
      <w:start w:val="1"/>
      <w:numFmt w:val="decimal"/>
      <w:lvlText w:val="%1."/>
      <w:lvlJc w:val="left"/>
      <w:pPr>
        <w:tabs>
          <w:tab w:val="num" w:pos="567"/>
        </w:tabs>
        <w:ind w:left="567" w:hanging="567"/>
      </w:pPr>
      <w:rPr>
        <w:rFonts w:cs="Times New Roman" w:hint="default"/>
        <w:b w:val="0"/>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AF"/>
    <w:rsid w:val="00000621"/>
    <w:rsid w:val="000036C2"/>
    <w:rsid w:val="0002205B"/>
    <w:rsid w:val="00033D3D"/>
    <w:rsid w:val="000369F5"/>
    <w:rsid w:val="000407EA"/>
    <w:rsid w:val="00071A7E"/>
    <w:rsid w:val="000746C0"/>
    <w:rsid w:val="00074D1D"/>
    <w:rsid w:val="00087222"/>
    <w:rsid w:val="00092580"/>
    <w:rsid w:val="000A2BD4"/>
    <w:rsid w:val="000A68E1"/>
    <w:rsid w:val="000D5D94"/>
    <w:rsid w:val="000E6D26"/>
    <w:rsid w:val="000F3EC5"/>
    <w:rsid w:val="001165A7"/>
    <w:rsid w:val="00120604"/>
    <w:rsid w:val="00121B67"/>
    <w:rsid w:val="00146D9C"/>
    <w:rsid w:val="00151BB7"/>
    <w:rsid w:val="00154E62"/>
    <w:rsid w:val="0016457F"/>
    <w:rsid w:val="00167D3A"/>
    <w:rsid w:val="001A1E2C"/>
    <w:rsid w:val="001B2B9C"/>
    <w:rsid w:val="001F2716"/>
    <w:rsid w:val="001F2A30"/>
    <w:rsid w:val="0020133A"/>
    <w:rsid w:val="00207617"/>
    <w:rsid w:val="002153CC"/>
    <w:rsid w:val="002472A9"/>
    <w:rsid w:val="00267403"/>
    <w:rsid w:val="00282D33"/>
    <w:rsid w:val="00283659"/>
    <w:rsid w:val="00284307"/>
    <w:rsid w:val="00284DB6"/>
    <w:rsid w:val="00291D5F"/>
    <w:rsid w:val="002964CE"/>
    <w:rsid w:val="002C4E73"/>
    <w:rsid w:val="002D68BF"/>
    <w:rsid w:val="002F26A8"/>
    <w:rsid w:val="003054BE"/>
    <w:rsid w:val="003126B9"/>
    <w:rsid w:val="00321493"/>
    <w:rsid w:val="00324C78"/>
    <w:rsid w:val="00336CBF"/>
    <w:rsid w:val="00341AC8"/>
    <w:rsid w:val="003546C8"/>
    <w:rsid w:val="003A7CF2"/>
    <w:rsid w:val="003B0789"/>
    <w:rsid w:val="003B1FE8"/>
    <w:rsid w:val="003C5CE5"/>
    <w:rsid w:val="003E267B"/>
    <w:rsid w:val="003E5936"/>
    <w:rsid w:val="003E7CD1"/>
    <w:rsid w:val="00401098"/>
    <w:rsid w:val="00402B9E"/>
    <w:rsid w:val="00410DA5"/>
    <w:rsid w:val="00423932"/>
    <w:rsid w:val="004249CB"/>
    <w:rsid w:val="0044127D"/>
    <w:rsid w:val="004448DB"/>
    <w:rsid w:val="00446C9A"/>
    <w:rsid w:val="00477193"/>
    <w:rsid w:val="004A1848"/>
    <w:rsid w:val="00507FEC"/>
    <w:rsid w:val="00510F0E"/>
    <w:rsid w:val="00511FD6"/>
    <w:rsid w:val="005479E1"/>
    <w:rsid w:val="005570FD"/>
    <w:rsid w:val="005575EA"/>
    <w:rsid w:val="0057790C"/>
    <w:rsid w:val="00593795"/>
    <w:rsid w:val="00596910"/>
    <w:rsid w:val="005A2625"/>
    <w:rsid w:val="005A75FF"/>
    <w:rsid w:val="005A7AF3"/>
    <w:rsid w:val="005B69AF"/>
    <w:rsid w:val="005B7789"/>
    <w:rsid w:val="00612745"/>
    <w:rsid w:val="00653924"/>
    <w:rsid w:val="0065791C"/>
    <w:rsid w:val="0067439B"/>
    <w:rsid w:val="00690B8A"/>
    <w:rsid w:val="006D1DFA"/>
    <w:rsid w:val="006D506B"/>
    <w:rsid w:val="006E3C90"/>
    <w:rsid w:val="00704B61"/>
    <w:rsid w:val="00726943"/>
    <w:rsid w:val="007416B4"/>
    <w:rsid w:val="00742A8D"/>
    <w:rsid w:val="007552A9"/>
    <w:rsid w:val="00757C67"/>
    <w:rsid w:val="00761858"/>
    <w:rsid w:val="00767D59"/>
    <w:rsid w:val="00771861"/>
    <w:rsid w:val="00776E97"/>
    <w:rsid w:val="00780FD7"/>
    <w:rsid w:val="00781544"/>
    <w:rsid w:val="007912AD"/>
    <w:rsid w:val="007A1F28"/>
    <w:rsid w:val="007B052E"/>
    <w:rsid w:val="007B0824"/>
    <w:rsid w:val="008303B8"/>
    <w:rsid w:val="00833DCE"/>
    <w:rsid w:val="00841426"/>
    <w:rsid w:val="00842418"/>
    <w:rsid w:val="00871D34"/>
    <w:rsid w:val="008B270C"/>
    <w:rsid w:val="008B7675"/>
    <w:rsid w:val="008C3D3D"/>
    <w:rsid w:val="008D2D39"/>
    <w:rsid w:val="008D4131"/>
    <w:rsid w:val="008D72EE"/>
    <w:rsid w:val="008F1932"/>
    <w:rsid w:val="008F294D"/>
    <w:rsid w:val="008F3478"/>
    <w:rsid w:val="00911E63"/>
    <w:rsid w:val="00916597"/>
    <w:rsid w:val="00921062"/>
    <w:rsid w:val="00923213"/>
    <w:rsid w:val="00925C4B"/>
    <w:rsid w:val="0093083E"/>
    <w:rsid w:val="00966ECF"/>
    <w:rsid w:val="009727A3"/>
    <w:rsid w:val="0098507A"/>
    <w:rsid w:val="00987774"/>
    <w:rsid w:val="00997F3F"/>
    <w:rsid w:val="009A11E8"/>
    <w:rsid w:val="009C5A94"/>
    <w:rsid w:val="009E4E62"/>
    <w:rsid w:val="009F5220"/>
    <w:rsid w:val="009F73A5"/>
    <w:rsid w:val="009F7C4D"/>
    <w:rsid w:val="00A15234"/>
    <w:rsid w:val="00A201AB"/>
    <w:rsid w:val="00A31BD8"/>
    <w:rsid w:val="00A31C8B"/>
    <w:rsid w:val="00A53BE8"/>
    <w:rsid w:val="00A7521C"/>
    <w:rsid w:val="00A845DC"/>
    <w:rsid w:val="00A86348"/>
    <w:rsid w:val="00A97AEE"/>
    <w:rsid w:val="00AA2E5B"/>
    <w:rsid w:val="00AC5CF6"/>
    <w:rsid w:val="00B144FA"/>
    <w:rsid w:val="00B16F58"/>
    <w:rsid w:val="00B30648"/>
    <w:rsid w:val="00B3524D"/>
    <w:rsid w:val="00B40F69"/>
    <w:rsid w:val="00B46616"/>
    <w:rsid w:val="00B54087"/>
    <w:rsid w:val="00B610E3"/>
    <w:rsid w:val="00B61205"/>
    <w:rsid w:val="00B617C4"/>
    <w:rsid w:val="00B617FC"/>
    <w:rsid w:val="00B626FA"/>
    <w:rsid w:val="00B65747"/>
    <w:rsid w:val="00B7040A"/>
    <w:rsid w:val="00B705D9"/>
    <w:rsid w:val="00B9106B"/>
    <w:rsid w:val="00B96FA0"/>
    <w:rsid w:val="00BA2CD4"/>
    <w:rsid w:val="00BD1E13"/>
    <w:rsid w:val="00BD4196"/>
    <w:rsid w:val="00BD74C9"/>
    <w:rsid w:val="00BF22CA"/>
    <w:rsid w:val="00C005C1"/>
    <w:rsid w:val="00C25034"/>
    <w:rsid w:val="00C26032"/>
    <w:rsid w:val="00C265B0"/>
    <w:rsid w:val="00C321B5"/>
    <w:rsid w:val="00C345E1"/>
    <w:rsid w:val="00C457BC"/>
    <w:rsid w:val="00C977BA"/>
    <w:rsid w:val="00CB6E35"/>
    <w:rsid w:val="00CE1A46"/>
    <w:rsid w:val="00CF253F"/>
    <w:rsid w:val="00CF56B4"/>
    <w:rsid w:val="00D20F09"/>
    <w:rsid w:val="00D22636"/>
    <w:rsid w:val="00D40FD9"/>
    <w:rsid w:val="00D527C9"/>
    <w:rsid w:val="00D53769"/>
    <w:rsid w:val="00D70775"/>
    <w:rsid w:val="00D85C13"/>
    <w:rsid w:val="00D91BE3"/>
    <w:rsid w:val="00D94AFC"/>
    <w:rsid w:val="00DA53F9"/>
    <w:rsid w:val="00DB70AE"/>
    <w:rsid w:val="00DB7231"/>
    <w:rsid w:val="00DD5071"/>
    <w:rsid w:val="00DD5C39"/>
    <w:rsid w:val="00DD6305"/>
    <w:rsid w:val="00DE1B5F"/>
    <w:rsid w:val="00DE26AF"/>
    <w:rsid w:val="00DE279E"/>
    <w:rsid w:val="00DE3F1C"/>
    <w:rsid w:val="00DE7DB7"/>
    <w:rsid w:val="00DF41E9"/>
    <w:rsid w:val="00E00A0A"/>
    <w:rsid w:val="00E05FCF"/>
    <w:rsid w:val="00E0621D"/>
    <w:rsid w:val="00E07F57"/>
    <w:rsid w:val="00E50BCE"/>
    <w:rsid w:val="00E51D71"/>
    <w:rsid w:val="00E61292"/>
    <w:rsid w:val="00E76309"/>
    <w:rsid w:val="00E77C4D"/>
    <w:rsid w:val="00E81D01"/>
    <w:rsid w:val="00EA4E94"/>
    <w:rsid w:val="00ED6C2F"/>
    <w:rsid w:val="00EE45D8"/>
    <w:rsid w:val="00EF59CB"/>
    <w:rsid w:val="00F004CD"/>
    <w:rsid w:val="00F22EDA"/>
    <w:rsid w:val="00F3224D"/>
    <w:rsid w:val="00F33E0E"/>
    <w:rsid w:val="00F436BD"/>
    <w:rsid w:val="00F5664C"/>
    <w:rsid w:val="00F82A85"/>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C1B6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 w:type="paragraph" w:styleId="ListParagraph">
    <w:name w:val="List Paragraph"/>
    <w:basedOn w:val="Normal"/>
    <w:uiPriority w:val="34"/>
    <w:qFormat/>
    <w:rsid w:val="00BA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5464</Characters>
  <Application>Microsoft Office Word</Application>
  <DocSecurity>0</DocSecurity>
  <Lines>45</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2018-09-18T14:47:00Z</dcterms:created>
  <dcterms:modified xsi:type="dcterms:W3CDTF">2018-09-18T14:47:00Z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