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BFC" w:rsidRPr="000704BB" w:rsidRDefault="00004FC6" w:rsidP="00643BFC">
      <w:pPr>
        <w:jc w:val="center"/>
        <w:rPr>
          <w:rFonts w:ascii="Book Antiqua" w:hAnsi="Book Antiqua" w:cs="Arial"/>
          <w:caps/>
          <w:color w:val="000000"/>
          <w:sz w:val="16"/>
          <w:szCs w:val="16"/>
        </w:rPr>
      </w:pPr>
      <w:r>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643BFC" w:rsidRPr="000704BB" w:rsidRDefault="00797649" w:rsidP="00780F86">
      <w:pPr>
        <w:tabs>
          <w:tab w:val="right" w:pos="9720"/>
        </w:tabs>
        <w:ind w:right="-82"/>
        <w:rPr>
          <w:rFonts w:ascii="Book Antiqua" w:hAnsi="Book Antiqua" w:cs="Arial"/>
          <w:b/>
          <w:color w:val="000000"/>
        </w:rPr>
      </w:pPr>
      <w:r w:rsidRPr="000704BB">
        <w:rPr>
          <w:rFonts w:ascii="Book Antiqua" w:hAnsi="Book Antiqua" w:cs="Arial"/>
          <w:b/>
          <w:color w:val="000000"/>
        </w:rPr>
        <w:t>Upper</w:t>
      </w:r>
      <w:r w:rsidR="00643BFC" w:rsidRPr="000704BB">
        <w:rPr>
          <w:rFonts w:ascii="Book Antiqua" w:hAnsi="Book Antiqua" w:cs="Arial"/>
          <w:b/>
          <w:color w:val="000000"/>
        </w:rPr>
        <w:t xml:space="preserve"> Tribunal</w:t>
      </w:r>
    </w:p>
    <w:p w:rsidR="007B0824" w:rsidRPr="002C7AEF" w:rsidRDefault="00643BFC" w:rsidP="00780F86">
      <w:pPr>
        <w:tabs>
          <w:tab w:val="right" w:pos="9720"/>
        </w:tabs>
        <w:ind w:right="-82"/>
        <w:rPr>
          <w:rFonts w:ascii="Book Antiqua" w:hAnsi="Book Antiqua" w:cs="Arial"/>
          <w:b/>
          <w:color w:val="000000"/>
        </w:rPr>
      </w:pPr>
      <w:r w:rsidRPr="000704BB">
        <w:rPr>
          <w:rFonts w:ascii="Book Antiqua" w:hAnsi="Book Antiqua" w:cs="Arial"/>
          <w:b/>
          <w:color w:val="000000"/>
        </w:rPr>
        <w:t xml:space="preserve">(Immigration and Asylum </w:t>
      </w:r>
      <w:proofErr w:type="gramStart"/>
      <w:r w:rsidRPr="000704BB">
        <w:rPr>
          <w:rFonts w:ascii="Book Antiqua" w:hAnsi="Book Antiqua" w:cs="Arial"/>
          <w:b/>
          <w:color w:val="000000"/>
        </w:rPr>
        <w:t>Chamber)</w:t>
      </w:r>
      <w:r w:rsidR="002C7AEF">
        <w:rPr>
          <w:rFonts w:ascii="Book Antiqua" w:hAnsi="Book Antiqua" w:cs="Arial"/>
          <w:b/>
          <w:color w:val="000000"/>
        </w:rPr>
        <w:t xml:space="preserve">   </w:t>
      </w:r>
      <w:proofErr w:type="gramEnd"/>
      <w:r w:rsidR="002C7AEF">
        <w:rPr>
          <w:rFonts w:ascii="Book Antiqua" w:hAnsi="Book Antiqua" w:cs="Arial"/>
          <w:b/>
          <w:color w:val="000000"/>
        </w:rPr>
        <w:t xml:space="preserve">                   </w:t>
      </w:r>
      <w:r w:rsidR="00B3524D" w:rsidRPr="002C7AEF">
        <w:rPr>
          <w:rFonts w:ascii="Book Antiqua" w:hAnsi="Book Antiqua" w:cs="Arial"/>
          <w:b/>
          <w:color w:val="000000"/>
        </w:rPr>
        <w:t>Appeal Number</w:t>
      </w:r>
      <w:r w:rsidR="0058562F" w:rsidRPr="002C7AEF">
        <w:rPr>
          <w:rFonts w:ascii="Book Antiqua" w:hAnsi="Book Antiqua" w:cs="Arial"/>
          <w:b/>
          <w:color w:val="000000"/>
        </w:rPr>
        <w:t>s</w:t>
      </w:r>
      <w:r w:rsidR="00D53769" w:rsidRPr="002C7AEF">
        <w:rPr>
          <w:rFonts w:ascii="Book Antiqua" w:hAnsi="Book Antiqua" w:cs="Arial"/>
          <w:b/>
          <w:color w:val="000000"/>
        </w:rPr>
        <w:t>:</w:t>
      </w:r>
      <w:r w:rsidR="00B3524D" w:rsidRPr="002C7AEF">
        <w:rPr>
          <w:rFonts w:ascii="Book Antiqua" w:hAnsi="Book Antiqua" w:cs="Arial"/>
          <w:b/>
          <w:color w:val="000000"/>
        </w:rPr>
        <w:t xml:space="preserve"> </w:t>
      </w:r>
      <w:r w:rsidR="0030347D" w:rsidRPr="002C7AEF">
        <w:rPr>
          <w:rFonts w:ascii="Book Antiqua" w:hAnsi="Book Antiqua" w:cs="Arial"/>
          <w:b/>
          <w:color w:val="000000"/>
        </w:rPr>
        <w:t>HU/</w:t>
      </w:r>
      <w:r w:rsidR="00256895" w:rsidRPr="002C7AEF">
        <w:rPr>
          <w:rFonts w:ascii="Book Antiqua" w:hAnsi="Book Antiqua" w:cs="Arial"/>
          <w:b/>
          <w:color w:val="000000"/>
        </w:rPr>
        <w:t>19209</w:t>
      </w:r>
      <w:r w:rsidR="0058562F" w:rsidRPr="002C7AEF">
        <w:rPr>
          <w:rFonts w:ascii="Book Antiqua" w:hAnsi="Book Antiqua" w:cs="Arial"/>
          <w:b/>
          <w:color w:val="000000"/>
        </w:rPr>
        <w:t>/2016</w:t>
      </w:r>
    </w:p>
    <w:p w:rsidR="00C345E1" w:rsidRPr="002C7AEF" w:rsidRDefault="002C7AEF" w:rsidP="00256895">
      <w:pPr>
        <w:tabs>
          <w:tab w:val="right" w:pos="9720"/>
        </w:tabs>
        <w:ind w:right="-82"/>
        <w:rPr>
          <w:rFonts w:ascii="Book Antiqua" w:hAnsi="Book Antiqua" w:cs="Arial"/>
          <w:b/>
          <w:color w:val="000000"/>
        </w:rPr>
      </w:pPr>
      <w:r>
        <w:rPr>
          <w:rFonts w:ascii="Book Antiqua" w:hAnsi="Book Antiqua" w:cs="Arial"/>
          <w:b/>
          <w:color w:val="000000"/>
        </w:rPr>
        <w:t xml:space="preserve">                                                                                                                          </w:t>
      </w:r>
      <w:r w:rsidR="00256895" w:rsidRPr="002C7AEF">
        <w:rPr>
          <w:rFonts w:ascii="Book Antiqua" w:hAnsi="Book Antiqua" w:cs="Arial"/>
          <w:b/>
          <w:color w:val="000000"/>
        </w:rPr>
        <w:t>HU/19212</w:t>
      </w:r>
      <w:r w:rsidR="0058562F" w:rsidRPr="002C7AEF">
        <w:rPr>
          <w:rFonts w:ascii="Book Antiqua" w:hAnsi="Book Antiqua" w:cs="Arial"/>
          <w:b/>
          <w:color w:val="000000"/>
        </w:rPr>
        <w:t>/2016</w:t>
      </w:r>
    </w:p>
    <w:p w:rsidR="00C345E1" w:rsidRPr="000704BB" w:rsidRDefault="00C345E1" w:rsidP="00C345E1">
      <w:pPr>
        <w:jc w:val="center"/>
        <w:rPr>
          <w:rFonts w:ascii="Book Antiqua" w:hAnsi="Book Antiqua" w:cs="Arial"/>
          <w:color w:val="000000"/>
        </w:rPr>
      </w:pPr>
    </w:p>
    <w:p w:rsidR="00C345E1" w:rsidRPr="000704BB" w:rsidRDefault="00C345E1"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rsidR="00C345E1" w:rsidRPr="000704BB"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103"/>
        <w:gridCol w:w="636"/>
        <w:gridCol w:w="3899"/>
      </w:tblGrid>
      <w:tr w:rsidR="00D22636" w:rsidRPr="004B488A" w:rsidTr="002C7AEF">
        <w:tc>
          <w:tcPr>
            <w:tcW w:w="5103" w:type="dxa"/>
            <w:shd w:val="clear" w:color="auto" w:fill="auto"/>
          </w:tcPr>
          <w:p w:rsidR="00D22636" w:rsidRPr="004B488A" w:rsidRDefault="00D22636" w:rsidP="004B488A">
            <w:pPr>
              <w:jc w:val="both"/>
              <w:rPr>
                <w:rFonts w:ascii="Book Antiqua" w:hAnsi="Book Antiqua" w:cs="Arial"/>
                <w:b/>
              </w:rPr>
            </w:pPr>
            <w:r w:rsidRPr="004B488A">
              <w:rPr>
                <w:rFonts w:ascii="Book Antiqua" w:hAnsi="Book Antiqua" w:cs="Arial"/>
                <w:b/>
              </w:rPr>
              <w:t xml:space="preserve">Heard at </w:t>
            </w:r>
            <w:r w:rsidR="0058562F" w:rsidRPr="004B488A">
              <w:rPr>
                <w:rFonts w:ascii="Book Antiqua" w:hAnsi="Book Antiqua" w:cs="Arial"/>
                <w:b/>
              </w:rPr>
              <w:t>Field House</w:t>
            </w:r>
          </w:p>
        </w:tc>
        <w:tc>
          <w:tcPr>
            <w:tcW w:w="4535" w:type="dxa"/>
            <w:gridSpan w:val="2"/>
            <w:shd w:val="clear" w:color="auto" w:fill="auto"/>
          </w:tcPr>
          <w:p w:rsidR="00D22636" w:rsidRPr="004B488A" w:rsidRDefault="002C7AEF" w:rsidP="004B488A">
            <w:pPr>
              <w:jc w:val="both"/>
              <w:rPr>
                <w:rFonts w:ascii="Book Antiqua" w:hAnsi="Book Antiqua" w:cs="Arial"/>
                <w:b/>
                <w:color w:val="000000"/>
              </w:rPr>
            </w:pPr>
            <w:r>
              <w:rPr>
                <w:rFonts w:ascii="Book Antiqua" w:hAnsi="Book Antiqua" w:cs="Arial"/>
                <w:b/>
                <w:color w:val="000000"/>
              </w:rPr>
              <w:t xml:space="preserve">  </w:t>
            </w:r>
            <w:r w:rsidR="00265B39" w:rsidRPr="004B488A">
              <w:rPr>
                <w:rFonts w:ascii="Book Antiqua" w:hAnsi="Book Antiqua" w:cs="Arial"/>
                <w:b/>
                <w:color w:val="000000"/>
              </w:rPr>
              <w:t>Decision &amp; Reasons</w:t>
            </w:r>
            <w:r w:rsidR="00283659" w:rsidRPr="004B488A">
              <w:rPr>
                <w:rFonts w:ascii="Book Antiqua" w:hAnsi="Book Antiqua" w:cs="Arial"/>
                <w:b/>
                <w:color w:val="000000"/>
              </w:rPr>
              <w:t xml:space="preserve"> Promulgated</w:t>
            </w:r>
          </w:p>
        </w:tc>
      </w:tr>
      <w:tr w:rsidR="00D22636" w:rsidRPr="004B488A" w:rsidTr="002C7AEF">
        <w:tc>
          <w:tcPr>
            <w:tcW w:w="5103" w:type="dxa"/>
            <w:shd w:val="clear" w:color="auto" w:fill="auto"/>
          </w:tcPr>
          <w:p w:rsidR="00D22636" w:rsidRPr="004B488A" w:rsidRDefault="00D22636" w:rsidP="004B488A">
            <w:pPr>
              <w:jc w:val="both"/>
              <w:rPr>
                <w:rFonts w:ascii="Book Antiqua" w:hAnsi="Book Antiqua" w:cs="Arial"/>
                <w:b/>
              </w:rPr>
            </w:pPr>
            <w:r w:rsidRPr="004B488A">
              <w:rPr>
                <w:rFonts w:ascii="Book Antiqua" w:hAnsi="Book Antiqua" w:cs="Arial"/>
                <w:b/>
              </w:rPr>
              <w:t xml:space="preserve">On </w:t>
            </w:r>
            <w:r w:rsidR="00256895" w:rsidRPr="004B488A">
              <w:rPr>
                <w:rFonts w:ascii="Book Antiqua" w:hAnsi="Book Antiqua" w:cs="Arial"/>
                <w:b/>
              </w:rPr>
              <w:t>25</w:t>
            </w:r>
            <w:r w:rsidR="00256895" w:rsidRPr="004B488A">
              <w:rPr>
                <w:rFonts w:ascii="Book Antiqua" w:hAnsi="Book Antiqua" w:cs="Arial"/>
                <w:b/>
                <w:vertAlign w:val="superscript"/>
              </w:rPr>
              <w:t>th</w:t>
            </w:r>
            <w:r w:rsidR="0058562F" w:rsidRPr="004B488A">
              <w:rPr>
                <w:rFonts w:ascii="Book Antiqua" w:hAnsi="Book Antiqua" w:cs="Arial"/>
                <w:b/>
              </w:rPr>
              <w:t xml:space="preserve"> May 2018</w:t>
            </w:r>
          </w:p>
        </w:tc>
        <w:tc>
          <w:tcPr>
            <w:tcW w:w="4535" w:type="dxa"/>
            <w:gridSpan w:val="2"/>
            <w:shd w:val="clear" w:color="auto" w:fill="auto"/>
          </w:tcPr>
          <w:p w:rsidR="00D22636" w:rsidRPr="004B488A" w:rsidRDefault="002C7AEF" w:rsidP="004B488A">
            <w:pPr>
              <w:jc w:val="both"/>
              <w:rPr>
                <w:rFonts w:ascii="Book Antiqua" w:hAnsi="Book Antiqua" w:cs="Arial"/>
                <w:b/>
              </w:rPr>
            </w:pPr>
            <w:r>
              <w:rPr>
                <w:rFonts w:ascii="Book Antiqua" w:hAnsi="Book Antiqua" w:cs="Arial"/>
                <w:b/>
              </w:rPr>
              <w:t xml:space="preserve">  </w:t>
            </w:r>
            <w:r w:rsidR="00004FC6">
              <w:rPr>
                <w:rFonts w:ascii="Book Antiqua" w:hAnsi="Book Antiqua" w:cs="Arial"/>
                <w:b/>
              </w:rPr>
              <w:t>On 11</w:t>
            </w:r>
            <w:r w:rsidR="00004FC6" w:rsidRPr="00004FC6">
              <w:rPr>
                <w:rFonts w:ascii="Book Antiqua" w:hAnsi="Book Antiqua" w:cs="Arial"/>
                <w:b/>
                <w:vertAlign w:val="superscript"/>
              </w:rPr>
              <w:t>th</w:t>
            </w:r>
            <w:r w:rsidR="00004FC6">
              <w:rPr>
                <w:rFonts w:ascii="Book Antiqua" w:hAnsi="Book Antiqua" w:cs="Arial"/>
                <w:b/>
              </w:rPr>
              <w:t xml:space="preserve"> June 2018</w:t>
            </w:r>
          </w:p>
        </w:tc>
      </w:tr>
      <w:tr w:rsidR="00D22636" w:rsidRPr="004B488A" w:rsidTr="002C7AEF">
        <w:tc>
          <w:tcPr>
            <w:tcW w:w="5739" w:type="dxa"/>
            <w:gridSpan w:val="2"/>
            <w:shd w:val="clear" w:color="auto" w:fill="auto"/>
          </w:tcPr>
          <w:p w:rsidR="00D22636" w:rsidRPr="004B488A" w:rsidRDefault="00D22636" w:rsidP="004B488A">
            <w:pPr>
              <w:jc w:val="both"/>
              <w:rPr>
                <w:rFonts w:ascii="Book Antiqua" w:hAnsi="Book Antiqua" w:cs="Arial"/>
                <w:b/>
              </w:rPr>
            </w:pPr>
          </w:p>
        </w:tc>
        <w:tc>
          <w:tcPr>
            <w:tcW w:w="3899" w:type="dxa"/>
            <w:shd w:val="clear" w:color="auto" w:fill="auto"/>
          </w:tcPr>
          <w:p w:rsidR="00D22636" w:rsidRPr="004B488A" w:rsidRDefault="00D22636" w:rsidP="004B488A">
            <w:pPr>
              <w:jc w:val="both"/>
              <w:rPr>
                <w:rFonts w:ascii="Book Antiqua" w:hAnsi="Book Antiqua" w:cs="Arial"/>
                <w:b/>
              </w:rPr>
            </w:pPr>
          </w:p>
        </w:tc>
      </w:tr>
    </w:tbl>
    <w:p w:rsidR="00A15234" w:rsidRPr="000704BB" w:rsidRDefault="00A15234" w:rsidP="00A15234">
      <w:pPr>
        <w:jc w:val="center"/>
        <w:rPr>
          <w:rFonts w:ascii="Book Antiqua" w:hAnsi="Book Antiqua" w:cs="Arial"/>
        </w:rPr>
      </w:pPr>
    </w:p>
    <w:p w:rsidR="002C7AEF" w:rsidRDefault="002C7AEF" w:rsidP="00A15234">
      <w:pPr>
        <w:jc w:val="center"/>
        <w:rPr>
          <w:rFonts w:ascii="Book Antiqua" w:hAnsi="Book Antiqua" w:cs="Arial"/>
          <w:b/>
        </w:rPr>
      </w:pPr>
    </w:p>
    <w:p w:rsidR="00A15234" w:rsidRPr="000704BB" w:rsidRDefault="00207617" w:rsidP="00A15234">
      <w:pPr>
        <w:jc w:val="center"/>
        <w:rPr>
          <w:rFonts w:ascii="Book Antiqua" w:hAnsi="Book Antiqua" w:cs="Arial"/>
          <w:b/>
        </w:rPr>
      </w:pPr>
      <w:r w:rsidRPr="000704BB">
        <w:rPr>
          <w:rFonts w:ascii="Book Antiqua" w:hAnsi="Book Antiqua" w:cs="Arial"/>
          <w:b/>
        </w:rPr>
        <w:t>Befo</w:t>
      </w:r>
      <w:r w:rsidR="00A15234" w:rsidRPr="000704BB">
        <w:rPr>
          <w:rFonts w:ascii="Book Antiqua" w:hAnsi="Book Antiqua" w:cs="Arial"/>
          <w:b/>
        </w:rPr>
        <w:t>re</w:t>
      </w:r>
    </w:p>
    <w:p w:rsidR="00A15234" w:rsidRPr="000704BB" w:rsidRDefault="00A15234" w:rsidP="00A15234">
      <w:pPr>
        <w:jc w:val="center"/>
        <w:rPr>
          <w:rFonts w:ascii="Book Antiqua" w:hAnsi="Book Antiqua" w:cs="Arial"/>
          <w:b/>
        </w:rPr>
      </w:pPr>
    </w:p>
    <w:p w:rsidR="00D20757" w:rsidRPr="000704BB" w:rsidRDefault="0014366D" w:rsidP="00A15234">
      <w:pPr>
        <w:jc w:val="center"/>
        <w:rPr>
          <w:rFonts w:ascii="Book Antiqua" w:hAnsi="Book Antiqua" w:cs="Arial"/>
          <w:b/>
          <w:color w:val="000000"/>
        </w:rPr>
      </w:pPr>
      <w:r w:rsidRPr="00D03807">
        <w:rPr>
          <w:rFonts w:ascii="Book Antiqua" w:hAnsi="Book Antiqua"/>
          <w:b/>
        </w:rPr>
        <w:t>UPPER TRIBUNAL JUDGE FRANCES</w:t>
      </w:r>
    </w:p>
    <w:p w:rsidR="00D20757" w:rsidRPr="000704BB" w:rsidRDefault="00D20757" w:rsidP="00A15234">
      <w:pPr>
        <w:jc w:val="center"/>
        <w:rPr>
          <w:rFonts w:ascii="Book Antiqua" w:hAnsi="Book Antiqua" w:cs="Arial"/>
          <w:b/>
        </w:rPr>
      </w:pPr>
    </w:p>
    <w:p w:rsidR="00A845DC" w:rsidRDefault="00A845DC" w:rsidP="00A15234">
      <w:pPr>
        <w:jc w:val="center"/>
        <w:rPr>
          <w:rFonts w:ascii="Book Antiqua" w:hAnsi="Book Antiqua" w:cs="Arial"/>
          <w:b/>
        </w:rPr>
      </w:pPr>
      <w:r w:rsidRPr="000704BB">
        <w:rPr>
          <w:rFonts w:ascii="Book Antiqua" w:hAnsi="Book Antiqua" w:cs="Arial"/>
          <w:b/>
        </w:rPr>
        <w:t>Between</w:t>
      </w:r>
    </w:p>
    <w:p w:rsidR="00256895" w:rsidRDefault="00256895" w:rsidP="00A15234">
      <w:pPr>
        <w:jc w:val="center"/>
        <w:rPr>
          <w:rFonts w:ascii="Book Antiqua" w:hAnsi="Book Antiqua" w:cs="Arial"/>
          <w:b/>
        </w:rPr>
      </w:pPr>
    </w:p>
    <w:p w:rsidR="00256895" w:rsidRDefault="00256895" w:rsidP="00A15234">
      <w:pPr>
        <w:jc w:val="center"/>
        <w:rPr>
          <w:rFonts w:ascii="Book Antiqua" w:hAnsi="Book Antiqua" w:cs="Arial"/>
          <w:b/>
        </w:rPr>
      </w:pPr>
      <w:r>
        <w:rPr>
          <w:rFonts w:ascii="Book Antiqua" w:hAnsi="Book Antiqua" w:cs="Arial"/>
          <w:b/>
        </w:rPr>
        <w:t>BHUWAN RAI</w:t>
      </w:r>
    </w:p>
    <w:p w:rsidR="00256895" w:rsidRPr="000704BB" w:rsidRDefault="00256895" w:rsidP="00A15234">
      <w:pPr>
        <w:jc w:val="center"/>
        <w:rPr>
          <w:rFonts w:ascii="Book Antiqua" w:hAnsi="Book Antiqua" w:cs="Arial"/>
          <w:b/>
        </w:rPr>
      </w:pPr>
      <w:r>
        <w:rPr>
          <w:rFonts w:ascii="Book Antiqua" w:hAnsi="Book Antiqua" w:cs="Arial"/>
          <w:b/>
        </w:rPr>
        <w:t>BHUPAL RAI</w:t>
      </w:r>
    </w:p>
    <w:p w:rsidR="00A845DC" w:rsidRPr="002C7AEF" w:rsidRDefault="00256895" w:rsidP="00256895">
      <w:pPr>
        <w:jc w:val="center"/>
        <w:rPr>
          <w:rFonts w:ascii="Book Antiqua" w:hAnsi="Book Antiqua" w:cs="Arial"/>
        </w:rPr>
      </w:pPr>
      <w:r w:rsidRPr="002C7AEF">
        <w:rPr>
          <w:rFonts w:ascii="Book Antiqua" w:hAnsi="Book Antiqua" w:cs="Arial"/>
          <w:caps/>
        </w:rPr>
        <w:t xml:space="preserve"> (anonymity direction not made)</w:t>
      </w:r>
    </w:p>
    <w:p w:rsidR="00704B61" w:rsidRPr="000704BB" w:rsidRDefault="0063673C" w:rsidP="00704B61">
      <w:pPr>
        <w:jc w:val="right"/>
        <w:rPr>
          <w:rFonts w:ascii="Book Antiqua" w:hAnsi="Book Antiqua" w:cs="Arial"/>
          <w:u w:val="single"/>
        </w:rPr>
      </w:pPr>
      <w:r>
        <w:rPr>
          <w:rFonts w:ascii="Book Antiqua" w:hAnsi="Book Antiqua" w:cs="Arial"/>
          <w:u w:val="single"/>
        </w:rPr>
        <w:t>Appellant</w:t>
      </w:r>
      <w:r w:rsidR="00256895">
        <w:rPr>
          <w:rFonts w:ascii="Book Antiqua" w:hAnsi="Book Antiqua" w:cs="Arial"/>
          <w:u w:val="single"/>
        </w:rPr>
        <w:t>s</w:t>
      </w:r>
    </w:p>
    <w:p w:rsidR="002C7AEF" w:rsidRDefault="002C7AEF" w:rsidP="00704B61">
      <w:pPr>
        <w:jc w:val="center"/>
        <w:rPr>
          <w:rFonts w:ascii="Book Antiqua" w:hAnsi="Book Antiqua" w:cs="Arial"/>
          <w:b/>
        </w:rPr>
      </w:pPr>
    </w:p>
    <w:p w:rsidR="00704B61" w:rsidRPr="000704BB" w:rsidRDefault="00DD5071" w:rsidP="00704B61">
      <w:pPr>
        <w:jc w:val="center"/>
        <w:rPr>
          <w:rFonts w:ascii="Book Antiqua" w:hAnsi="Book Antiqua" w:cs="Arial"/>
          <w:b/>
        </w:rPr>
      </w:pPr>
      <w:r w:rsidRPr="000704BB">
        <w:rPr>
          <w:rFonts w:ascii="Book Antiqua" w:hAnsi="Book Antiqua" w:cs="Arial"/>
          <w:b/>
        </w:rPr>
        <w:t>and</w:t>
      </w:r>
    </w:p>
    <w:p w:rsidR="00DD5071" w:rsidRPr="000704BB" w:rsidRDefault="00DD5071" w:rsidP="00704B61">
      <w:pPr>
        <w:jc w:val="center"/>
        <w:rPr>
          <w:rFonts w:ascii="Book Antiqua" w:hAnsi="Book Antiqua" w:cs="Arial"/>
          <w:b/>
        </w:rPr>
      </w:pPr>
    </w:p>
    <w:p w:rsidR="00256895" w:rsidRPr="00024D27" w:rsidRDefault="00256895" w:rsidP="00256895">
      <w:pPr>
        <w:jc w:val="center"/>
        <w:rPr>
          <w:rFonts w:ascii="Book Antiqua" w:hAnsi="Book Antiqua" w:cs="Arial"/>
          <w:b/>
          <w:caps/>
        </w:rPr>
      </w:pPr>
      <w:r>
        <w:rPr>
          <w:rFonts w:ascii="Book Antiqua" w:hAnsi="Book Antiqua" w:cs="Arial"/>
          <w:b/>
          <w:caps/>
        </w:rPr>
        <w:t xml:space="preserve">Secretary of State for the Home Department </w:t>
      </w:r>
    </w:p>
    <w:p w:rsidR="00DD5071" w:rsidRPr="000704BB" w:rsidRDefault="0063673C" w:rsidP="00256895">
      <w:pPr>
        <w:jc w:val="right"/>
        <w:rPr>
          <w:rFonts w:ascii="Book Antiqua" w:hAnsi="Book Antiqua" w:cs="Arial"/>
          <w:u w:val="single"/>
        </w:rPr>
      </w:pPr>
      <w:r>
        <w:rPr>
          <w:rFonts w:ascii="Book Antiqua" w:hAnsi="Book Antiqua" w:cs="Arial"/>
          <w:u w:val="single"/>
        </w:rPr>
        <w:t>Respondent</w:t>
      </w:r>
    </w:p>
    <w:p w:rsidR="00DD5071" w:rsidRPr="000704BB" w:rsidRDefault="00DD5071" w:rsidP="00DD5071">
      <w:pPr>
        <w:rPr>
          <w:rFonts w:ascii="Book Antiqua" w:hAnsi="Book Antiqua" w:cs="Arial"/>
          <w:u w:val="single"/>
        </w:rPr>
      </w:pPr>
    </w:p>
    <w:p w:rsidR="00DD5071" w:rsidRPr="000704BB" w:rsidRDefault="00DE7DB7"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rsidR="00DE7DB7" w:rsidRPr="000704BB" w:rsidRDefault="00DE7DB7" w:rsidP="00DD5071">
      <w:pPr>
        <w:rPr>
          <w:rFonts w:ascii="Book Antiqua" w:hAnsi="Book Antiqua" w:cs="Arial"/>
        </w:rPr>
      </w:pPr>
    </w:p>
    <w:p w:rsidR="00DE7DB7" w:rsidRPr="000704BB" w:rsidRDefault="00DE7DB7" w:rsidP="00DE7DB7">
      <w:pPr>
        <w:tabs>
          <w:tab w:val="left" w:pos="2520"/>
        </w:tabs>
        <w:rPr>
          <w:rFonts w:ascii="Book Antiqua" w:hAnsi="Book Antiqua" w:cs="Arial"/>
        </w:rPr>
      </w:pPr>
      <w:r w:rsidRPr="000704BB">
        <w:rPr>
          <w:rFonts w:ascii="Book Antiqua" w:hAnsi="Book Antiqua" w:cs="Arial"/>
        </w:rPr>
        <w:t xml:space="preserve">For the </w:t>
      </w:r>
      <w:r w:rsidR="0063673C">
        <w:rPr>
          <w:rFonts w:ascii="Book Antiqua" w:hAnsi="Book Antiqua" w:cs="Arial"/>
        </w:rPr>
        <w:t>Appellant</w:t>
      </w:r>
      <w:r w:rsidR="00256895">
        <w:rPr>
          <w:rFonts w:ascii="Book Antiqua" w:hAnsi="Book Antiqua" w:cs="Arial"/>
        </w:rPr>
        <w:t>s</w:t>
      </w:r>
      <w:r w:rsidRPr="000704BB">
        <w:rPr>
          <w:rFonts w:ascii="Book Antiqua" w:hAnsi="Book Antiqua" w:cs="Arial"/>
        </w:rPr>
        <w:t>:</w:t>
      </w:r>
      <w:r w:rsidRPr="000704BB">
        <w:rPr>
          <w:rFonts w:ascii="Book Antiqua" w:hAnsi="Book Antiqua" w:cs="Arial"/>
        </w:rPr>
        <w:tab/>
      </w:r>
      <w:r w:rsidR="00256895">
        <w:rPr>
          <w:rFonts w:ascii="Book Antiqua" w:hAnsi="Book Antiqua" w:cs="Arial"/>
        </w:rPr>
        <w:t>Mr T D C Jowett</w:t>
      </w:r>
      <w:r w:rsidR="0058562F">
        <w:rPr>
          <w:rFonts w:ascii="Book Antiqua" w:hAnsi="Book Antiqua" w:cs="Arial"/>
        </w:rPr>
        <w:t>,</w:t>
      </w:r>
      <w:r w:rsidR="00256895">
        <w:rPr>
          <w:rFonts w:ascii="Book Antiqua" w:hAnsi="Book Antiqua" w:cs="Arial"/>
        </w:rPr>
        <w:t xml:space="preserve"> instructed by N C Brothers &amp; Co Solicitors</w:t>
      </w:r>
      <w:r w:rsidR="0058562F">
        <w:rPr>
          <w:rFonts w:ascii="Book Antiqua" w:hAnsi="Book Antiqua" w:cs="Arial"/>
        </w:rPr>
        <w:t xml:space="preserve"> </w:t>
      </w:r>
    </w:p>
    <w:p w:rsidR="0063673C" w:rsidRPr="00256895" w:rsidRDefault="00DE7DB7" w:rsidP="00256895">
      <w:pPr>
        <w:tabs>
          <w:tab w:val="left" w:pos="2520"/>
        </w:tabs>
        <w:rPr>
          <w:rFonts w:ascii="Book Antiqua" w:hAnsi="Book Antiqua" w:cs="Arial"/>
        </w:rPr>
      </w:pPr>
      <w:r w:rsidRPr="000704BB">
        <w:rPr>
          <w:rFonts w:ascii="Book Antiqua" w:hAnsi="Book Antiqua" w:cs="Arial"/>
        </w:rPr>
        <w:t xml:space="preserve">For the </w:t>
      </w:r>
      <w:r w:rsidR="0063673C">
        <w:rPr>
          <w:rFonts w:ascii="Book Antiqua" w:hAnsi="Book Antiqua" w:cs="Arial"/>
        </w:rPr>
        <w:t>Respondent</w:t>
      </w:r>
      <w:r w:rsidRPr="000704BB">
        <w:rPr>
          <w:rFonts w:ascii="Book Antiqua" w:hAnsi="Book Antiqua" w:cs="Arial"/>
        </w:rPr>
        <w:t>:</w:t>
      </w:r>
      <w:r w:rsidRPr="000704BB">
        <w:rPr>
          <w:rFonts w:ascii="Book Antiqua" w:hAnsi="Book Antiqua" w:cs="Arial"/>
        </w:rPr>
        <w:tab/>
      </w:r>
      <w:r w:rsidR="00256895">
        <w:rPr>
          <w:rFonts w:ascii="Book Antiqua" w:hAnsi="Book Antiqua" w:cs="Arial"/>
        </w:rPr>
        <w:t>Mr S Walker</w:t>
      </w:r>
      <w:r w:rsidR="0058562F">
        <w:rPr>
          <w:rFonts w:ascii="Book Antiqua" w:hAnsi="Book Antiqua" w:cs="Arial"/>
        </w:rPr>
        <w:t xml:space="preserve">, </w:t>
      </w:r>
      <w:r w:rsidR="00256895">
        <w:rPr>
          <w:rFonts w:ascii="Book Antiqua" w:hAnsi="Book Antiqua" w:cs="Arial"/>
        </w:rPr>
        <w:t xml:space="preserve">Home Office Presenting Officer </w:t>
      </w:r>
    </w:p>
    <w:p w:rsidR="0063673C" w:rsidRDefault="0063673C" w:rsidP="00265B39">
      <w:pPr>
        <w:jc w:val="center"/>
        <w:rPr>
          <w:rFonts w:ascii="Book Antiqua" w:hAnsi="Book Antiqua" w:cs="Arial"/>
          <w:b/>
          <w:u w:val="single"/>
        </w:rPr>
      </w:pPr>
    </w:p>
    <w:p w:rsidR="0063673C" w:rsidRDefault="0063673C" w:rsidP="00265B39">
      <w:pPr>
        <w:jc w:val="center"/>
        <w:rPr>
          <w:rFonts w:ascii="Book Antiqua" w:hAnsi="Book Antiqua" w:cs="Arial"/>
          <w:b/>
          <w:u w:val="single"/>
        </w:rPr>
      </w:pPr>
    </w:p>
    <w:p w:rsidR="00DE7DB7" w:rsidRPr="000704BB" w:rsidRDefault="00265B39" w:rsidP="00265B39">
      <w:pPr>
        <w:jc w:val="center"/>
        <w:rPr>
          <w:rFonts w:ascii="Book Antiqua" w:hAnsi="Book Antiqua" w:cs="Arial"/>
        </w:rPr>
      </w:pPr>
      <w:r>
        <w:rPr>
          <w:rFonts w:ascii="Book Antiqua" w:hAnsi="Book Antiqua" w:cs="Arial"/>
          <w:b/>
          <w:u w:val="single"/>
        </w:rPr>
        <w:t>DECISION</w:t>
      </w:r>
      <w:r w:rsidR="00402B9E" w:rsidRPr="000704BB">
        <w:rPr>
          <w:rFonts w:ascii="Book Antiqua" w:hAnsi="Book Antiqua" w:cs="Arial"/>
          <w:b/>
          <w:u w:val="single"/>
        </w:rPr>
        <w:t xml:space="preserve"> AND REASONS</w:t>
      </w:r>
    </w:p>
    <w:p w:rsidR="00402B9E" w:rsidRPr="000704BB" w:rsidRDefault="00402B9E" w:rsidP="00265B39">
      <w:pPr>
        <w:jc w:val="both"/>
        <w:rPr>
          <w:rFonts w:ascii="Book Antiqua" w:hAnsi="Book Antiqua" w:cs="Arial"/>
        </w:rPr>
      </w:pPr>
    </w:p>
    <w:p w:rsidR="00402B9E" w:rsidRPr="000704BB" w:rsidRDefault="00402B9E" w:rsidP="00265B39">
      <w:pPr>
        <w:jc w:val="both"/>
        <w:rPr>
          <w:rFonts w:ascii="Book Antiqua" w:hAnsi="Book Antiqua" w:cs="Arial"/>
        </w:rPr>
      </w:pPr>
    </w:p>
    <w:p w:rsidR="00256895" w:rsidRDefault="00BD02B4" w:rsidP="00256895">
      <w:pPr>
        <w:ind w:left="567" w:hanging="567"/>
        <w:jc w:val="both"/>
        <w:rPr>
          <w:rFonts w:ascii="Book Antiqua" w:hAnsi="Book Antiqua" w:cs="Arial"/>
        </w:rPr>
      </w:pPr>
      <w:r>
        <w:rPr>
          <w:rFonts w:ascii="Book Antiqua" w:hAnsi="Book Antiqua" w:cs="Arial"/>
        </w:rPr>
        <w:t>1</w:t>
      </w:r>
      <w:r w:rsidR="00402B9E" w:rsidRPr="000704BB">
        <w:rPr>
          <w:rFonts w:ascii="Book Antiqua" w:hAnsi="Book Antiqua" w:cs="Arial"/>
        </w:rPr>
        <w:t>.</w:t>
      </w:r>
      <w:r w:rsidR="00402B9E" w:rsidRPr="004B6FC1">
        <w:rPr>
          <w:rFonts w:ascii="Book Antiqua" w:hAnsi="Book Antiqua" w:cs="Arial"/>
        </w:rPr>
        <w:tab/>
      </w:r>
      <w:bookmarkStart w:id="0" w:name="para54"/>
      <w:r w:rsidR="00256895">
        <w:rPr>
          <w:rFonts w:ascii="Book Antiqua" w:hAnsi="Book Antiqua" w:cs="Arial"/>
        </w:rPr>
        <w:t xml:space="preserve">The Appellants are citizens of Nepal born on 25 March 1990 and 30 November </w:t>
      </w:r>
      <w:r w:rsidR="00884846">
        <w:rPr>
          <w:rFonts w:ascii="Book Antiqua" w:hAnsi="Book Antiqua" w:cs="Arial"/>
        </w:rPr>
        <w:t>1992</w:t>
      </w:r>
      <w:r w:rsidR="003104BC">
        <w:rPr>
          <w:rFonts w:ascii="Book Antiqua" w:hAnsi="Book Antiqua" w:cs="Arial"/>
        </w:rPr>
        <w:t xml:space="preserve"> </w:t>
      </w:r>
      <w:r w:rsidR="00256895">
        <w:rPr>
          <w:rFonts w:ascii="Book Antiqua" w:hAnsi="Book Antiqua" w:cs="Arial"/>
        </w:rPr>
        <w:t xml:space="preserve">respectively. They appeal against the decision of First-tier Tribunal Judge Plumptre, dated 5 December 2017, dismissing their appeals </w:t>
      </w:r>
      <w:r w:rsidR="003E5F40">
        <w:rPr>
          <w:rFonts w:ascii="Book Antiqua" w:hAnsi="Book Antiqua" w:cs="Arial"/>
        </w:rPr>
        <w:t>against</w:t>
      </w:r>
      <w:r w:rsidR="00256895">
        <w:rPr>
          <w:rFonts w:ascii="Book Antiqua" w:hAnsi="Book Antiqua" w:cs="Arial"/>
        </w:rPr>
        <w:t xml:space="preserve"> the refusal o</w:t>
      </w:r>
      <w:r w:rsidR="003104BC">
        <w:rPr>
          <w:rFonts w:ascii="Book Antiqua" w:hAnsi="Book Antiqua" w:cs="Arial"/>
        </w:rPr>
        <w:t>f</w:t>
      </w:r>
      <w:r w:rsidR="00256895">
        <w:rPr>
          <w:rFonts w:ascii="Book Antiqua" w:hAnsi="Book Antiqua" w:cs="Arial"/>
        </w:rPr>
        <w:t xml:space="preserve"> entry clearance to settle as adult </w:t>
      </w:r>
      <w:r w:rsidR="003E5F40">
        <w:rPr>
          <w:rFonts w:ascii="Book Antiqua" w:hAnsi="Book Antiqua" w:cs="Arial"/>
        </w:rPr>
        <w:t>dependent</w:t>
      </w:r>
      <w:r w:rsidR="00256895">
        <w:rPr>
          <w:rFonts w:ascii="Book Antiqua" w:hAnsi="Book Antiqua" w:cs="Arial"/>
        </w:rPr>
        <w:t xml:space="preserve"> children</w:t>
      </w:r>
      <w:r w:rsidR="003104BC">
        <w:rPr>
          <w:rFonts w:ascii="Book Antiqua" w:hAnsi="Book Antiqua" w:cs="Arial"/>
        </w:rPr>
        <w:t>.</w:t>
      </w:r>
    </w:p>
    <w:p w:rsidR="003104BC" w:rsidRDefault="003104BC" w:rsidP="00256895">
      <w:pPr>
        <w:ind w:left="567" w:hanging="567"/>
        <w:jc w:val="both"/>
        <w:rPr>
          <w:rFonts w:ascii="Book Antiqua" w:hAnsi="Book Antiqua"/>
        </w:rPr>
      </w:pPr>
    </w:p>
    <w:p w:rsidR="003104BC" w:rsidRDefault="003104BC" w:rsidP="00256895">
      <w:pPr>
        <w:ind w:left="567" w:hanging="567"/>
        <w:jc w:val="both"/>
        <w:rPr>
          <w:rFonts w:ascii="Book Antiqua" w:hAnsi="Book Antiqua"/>
        </w:rPr>
      </w:pPr>
      <w:r>
        <w:rPr>
          <w:rFonts w:ascii="Book Antiqua" w:hAnsi="Book Antiqua"/>
        </w:rPr>
        <w:t>2.</w:t>
      </w:r>
      <w:r>
        <w:rPr>
          <w:rFonts w:ascii="Book Antiqua" w:hAnsi="Book Antiqua"/>
        </w:rPr>
        <w:tab/>
        <w:t xml:space="preserve">The Appellant’s father was an ex-Gurkha soldier who died in March 2008. The Appellant’s mother was granted a settlement visa in January 2014 and she came to the </w:t>
      </w:r>
      <w:r>
        <w:rPr>
          <w:rFonts w:ascii="Book Antiqua" w:hAnsi="Book Antiqua"/>
        </w:rPr>
        <w:lastRenderedPageBreak/>
        <w:t>UK in May 2014. The Appellants</w:t>
      </w:r>
      <w:r w:rsidR="004559B5">
        <w:rPr>
          <w:rFonts w:ascii="Book Antiqua" w:hAnsi="Book Antiqua"/>
        </w:rPr>
        <w:t>’</w:t>
      </w:r>
      <w:r>
        <w:rPr>
          <w:rFonts w:ascii="Book Antiqua" w:hAnsi="Book Antiqua"/>
        </w:rPr>
        <w:t xml:space="preserve"> application</w:t>
      </w:r>
      <w:r w:rsidR="004559B5">
        <w:rPr>
          <w:rFonts w:ascii="Book Antiqua" w:hAnsi="Book Antiqua"/>
        </w:rPr>
        <w:t>s</w:t>
      </w:r>
      <w:r>
        <w:rPr>
          <w:rFonts w:ascii="Book Antiqua" w:hAnsi="Book Antiqua"/>
        </w:rPr>
        <w:t xml:space="preserve"> for settlement</w:t>
      </w:r>
      <w:r w:rsidR="004559B5">
        <w:rPr>
          <w:rFonts w:ascii="Book Antiqua" w:hAnsi="Book Antiqua"/>
        </w:rPr>
        <w:t xml:space="preserve"> visas</w:t>
      </w:r>
      <w:r>
        <w:rPr>
          <w:rFonts w:ascii="Book Antiqua" w:hAnsi="Book Antiqua"/>
        </w:rPr>
        <w:t xml:space="preserve"> were refused under Appendix FM and Annex K of the Immigration Rules</w:t>
      </w:r>
    </w:p>
    <w:p w:rsidR="003104BC" w:rsidRDefault="003104BC" w:rsidP="00256895">
      <w:pPr>
        <w:ind w:left="567" w:hanging="567"/>
        <w:jc w:val="both"/>
        <w:rPr>
          <w:rFonts w:ascii="Book Antiqua" w:hAnsi="Book Antiqua"/>
        </w:rPr>
      </w:pPr>
    </w:p>
    <w:p w:rsidR="00884846" w:rsidRDefault="003104BC" w:rsidP="00256895">
      <w:pPr>
        <w:ind w:left="567" w:hanging="567"/>
        <w:jc w:val="both"/>
        <w:rPr>
          <w:rFonts w:ascii="Book Antiqua" w:hAnsi="Book Antiqua"/>
        </w:rPr>
      </w:pPr>
      <w:r>
        <w:rPr>
          <w:rFonts w:ascii="Book Antiqua" w:hAnsi="Book Antiqua"/>
        </w:rPr>
        <w:t>3.</w:t>
      </w:r>
      <w:r>
        <w:rPr>
          <w:rFonts w:ascii="Book Antiqua" w:hAnsi="Book Antiqua"/>
        </w:rPr>
        <w:tab/>
        <w:t>The First-tier Tribunal</w:t>
      </w:r>
      <w:r w:rsidR="00884846">
        <w:rPr>
          <w:rFonts w:ascii="Book Antiqua" w:hAnsi="Book Antiqua"/>
        </w:rPr>
        <w:t xml:space="preserve"> judge</w:t>
      </w:r>
      <w:r>
        <w:rPr>
          <w:rFonts w:ascii="Book Antiqua" w:hAnsi="Book Antiqua"/>
        </w:rPr>
        <w:t xml:space="preserve"> recorded the evidence of the Appellant’s mother that her late husband would have opted to settle in the UK if such an option had been available</w:t>
      </w:r>
      <w:r w:rsidR="004B35AD">
        <w:rPr>
          <w:rFonts w:ascii="Book Antiqua" w:hAnsi="Book Antiqua"/>
        </w:rPr>
        <w:t xml:space="preserve"> [16]</w:t>
      </w:r>
      <w:r>
        <w:rPr>
          <w:rFonts w:ascii="Book Antiqua" w:hAnsi="Book Antiqua"/>
        </w:rPr>
        <w:t xml:space="preserve">. </w:t>
      </w:r>
      <w:r w:rsidR="00884846">
        <w:rPr>
          <w:rFonts w:ascii="Book Antiqua" w:hAnsi="Book Antiqua"/>
        </w:rPr>
        <w:t>The judge acknowledged that it was only as a consequence of the policy introduced in 2009 which provided for the first time an opportunity for adult children of veterans to apply. The exceptionality requirement was removed in 2015 [34].</w:t>
      </w:r>
    </w:p>
    <w:p w:rsidR="00884846" w:rsidRDefault="00884846" w:rsidP="00256895">
      <w:pPr>
        <w:ind w:left="567" w:hanging="567"/>
        <w:jc w:val="both"/>
        <w:rPr>
          <w:rFonts w:ascii="Book Antiqua" w:hAnsi="Book Antiqua"/>
        </w:rPr>
      </w:pPr>
    </w:p>
    <w:p w:rsidR="003104BC" w:rsidRDefault="00884846" w:rsidP="00256895">
      <w:pPr>
        <w:ind w:left="567" w:hanging="567"/>
        <w:jc w:val="both"/>
        <w:rPr>
          <w:rFonts w:ascii="Book Antiqua" w:hAnsi="Book Antiqua"/>
        </w:rPr>
      </w:pPr>
      <w:r>
        <w:rPr>
          <w:rFonts w:ascii="Book Antiqua" w:hAnsi="Book Antiqua"/>
        </w:rPr>
        <w:t>4.</w:t>
      </w:r>
      <w:r>
        <w:rPr>
          <w:rFonts w:ascii="Book Antiqua" w:hAnsi="Book Antiqua"/>
        </w:rPr>
        <w:tab/>
      </w:r>
      <w:r w:rsidR="004559B5">
        <w:rPr>
          <w:rFonts w:ascii="Book Antiqua" w:hAnsi="Book Antiqua"/>
        </w:rPr>
        <w:t>T</w:t>
      </w:r>
      <w:r w:rsidR="004B35AD">
        <w:rPr>
          <w:rFonts w:ascii="Book Antiqua" w:hAnsi="Book Antiqua"/>
        </w:rPr>
        <w:t>he</w:t>
      </w:r>
      <w:r w:rsidR="003104BC">
        <w:rPr>
          <w:rFonts w:ascii="Book Antiqua" w:hAnsi="Book Antiqua"/>
        </w:rPr>
        <w:t xml:space="preserve"> </w:t>
      </w:r>
      <w:r w:rsidR="004559B5">
        <w:rPr>
          <w:rFonts w:ascii="Book Antiqua" w:hAnsi="Book Antiqua"/>
        </w:rPr>
        <w:t xml:space="preserve">judge </w:t>
      </w:r>
      <w:r w:rsidR="003104BC">
        <w:rPr>
          <w:rFonts w:ascii="Book Antiqua" w:hAnsi="Book Antiqua"/>
        </w:rPr>
        <w:t xml:space="preserve">concluded at </w:t>
      </w:r>
      <w:r w:rsidR="004B35AD">
        <w:rPr>
          <w:rFonts w:ascii="Book Antiqua" w:hAnsi="Book Antiqua"/>
        </w:rPr>
        <w:t>[</w:t>
      </w:r>
      <w:r w:rsidR="003104BC">
        <w:rPr>
          <w:rFonts w:ascii="Book Antiqua" w:hAnsi="Book Antiqua"/>
        </w:rPr>
        <w:t>35</w:t>
      </w:r>
      <w:r w:rsidR="004B35AD">
        <w:rPr>
          <w:rFonts w:ascii="Book Antiqua" w:hAnsi="Book Antiqua"/>
        </w:rPr>
        <w:t>]</w:t>
      </w:r>
      <w:r w:rsidR="003104BC">
        <w:rPr>
          <w:rFonts w:ascii="Book Antiqua" w:hAnsi="Book Antiqua"/>
        </w:rPr>
        <w:t xml:space="preserve">: </w:t>
      </w:r>
      <w:r w:rsidR="004B35AD">
        <w:rPr>
          <w:rFonts w:ascii="Book Antiqua" w:hAnsi="Book Antiqua"/>
        </w:rPr>
        <w:t>“I have some difficulty with accepting that the fa</w:t>
      </w:r>
      <w:r w:rsidR="004559B5">
        <w:rPr>
          <w:rFonts w:ascii="Book Antiqua" w:hAnsi="Book Antiqua"/>
        </w:rPr>
        <w:t>c</w:t>
      </w:r>
      <w:r w:rsidR="004B35AD">
        <w:rPr>
          <w:rFonts w:ascii="Book Antiqua" w:hAnsi="Book Antiqua"/>
        </w:rPr>
        <w:t xml:space="preserve">ts </w:t>
      </w:r>
      <w:r w:rsidR="003E5F40">
        <w:rPr>
          <w:rFonts w:ascii="Book Antiqua" w:hAnsi="Book Antiqua"/>
        </w:rPr>
        <w:t>of</w:t>
      </w:r>
      <w:r w:rsidR="004B35AD">
        <w:rPr>
          <w:rFonts w:ascii="Book Antiqua" w:hAnsi="Book Antiqua"/>
        </w:rPr>
        <w:t xml:space="preserve"> this appeal fall within the many </w:t>
      </w:r>
      <w:r w:rsidR="003E5F40">
        <w:rPr>
          <w:rFonts w:ascii="Book Antiqua" w:hAnsi="Book Antiqua"/>
        </w:rPr>
        <w:t xml:space="preserve">historic injustice cases because </w:t>
      </w:r>
      <w:r w:rsidR="004B35AD">
        <w:rPr>
          <w:rFonts w:ascii="Book Antiqua" w:hAnsi="Book Antiqua"/>
        </w:rPr>
        <w:t xml:space="preserve">although </w:t>
      </w:r>
      <w:r w:rsidR="003E5F40">
        <w:rPr>
          <w:rFonts w:ascii="Book Antiqua" w:hAnsi="Book Antiqua"/>
        </w:rPr>
        <w:t>it</w:t>
      </w:r>
      <w:r w:rsidR="004B35AD">
        <w:rPr>
          <w:rFonts w:ascii="Book Antiqua" w:hAnsi="Book Antiqua"/>
        </w:rPr>
        <w:t xml:space="preserve"> </w:t>
      </w:r>
      <w:r w:rsidR="003E5F40">
        <w:rPr>
          <w:rFonts w:ascii="Book Antiqua" w:hAnsi="Book Antiqua"/>
        </w:rPr>
        <w:t>is</w:t>
      </w:r>
      <w:r w:rsidR="004B35AD">
        <w:rPr>
          <w:rFonts w:ascii="Book Antiqua" w:hAnsi="Book Antiqua"/>
        </w:rPr>
        <w:t xml:space="preserve"> stated that the </w:t>
      </w:r>
      <w:r w:rsidR="004559B5">
        <w:rPr>
          <w:rFonts w:ascii="Book Antiqua" w:hAnsi="Book Antiqua"/>
        </w:rPr>
        <w:t>a</w:t>
      </w:r>
      <w:r w:rsidR="004B35AD">
        <w:rPr>
          <w:rFonts w:ascii="Book Antiqua" w:hAnsi="Book Antiqua"/>
        </w:rPr>
        <w:t>ppellants</w:t>
      </w:r>
      <w:r w:rsidR="004559B5">
        <w:rPr>
          <w:rFonts w:ascii="Book Antiqua" w:hAnsi="Book Antiqua"/>
        </w:rPr>
        <w:t>’</w:t>
      </w:r>
      <w:r w:rsidR="004B35AD">
        <w:rPr>
          <w:rFonts w:ascii="Book Antiqua" w:hAnsi="Book Antiqua"/>
        </w:rPr>
        <w:t xml:space="preserve"> father would </w:t>
      </w:r>
      <w:r w:rsidR="003E5F40">
        <w:rPr>
          <w:rFonts w:ascii="Book Antiqua" w:hAnsi="Book Antiqua"/>
        </w:rPr>
        <w:t>have</w:t>
      </w:r>
      <w:r w:rsidR="004B35AD">
        <w:rPr>
          <w:rFonts w:ascii="Book Antiqua" w:hAnsi="Book Antiqua"/>
        </w:rPr>
        <w:t xml:space="preserve"> settled in the UK on his retirement from the </w:t>
      </w:r>
      <w:r w:rsidR="003E5F40">
        <w:rPr>
          <w:rFonts w:ascii="Book Antiqua" w:hAnsi="Book Antiqua"/>
        </w:rPr>
        <w:t>British</w:t>
      </w:r>
      <w:r w:rsidR="004B35AD">
        <w:rPr>
          <w:rFonts w:ascii="Book Antiqua" w:hAnsi="Book Antiqua"/>
        </w:rPr>
        <w:t xml:space="preserve"> Army in 1977, this is now 40 years ago. I have no evidence or informatio</w:t>
      </w:r>
      <w:r w:rsidR="004559B5">
        <w:rPr>
          <w:rFonts w:ascii="Book Antiqua" w:hAnsi="Book Antiqua"/>
        </w:rPr>
        <w:t>n before me as to what the appe</w:t>
      </w:r>
      <w:r w:rsidR="004B35AD">
        <w:rPr>
          <w:rFonts w:ascii="Book Antiqua" w:hAnsi="Book Antiqua"/>
        </w:rPr>
        <w:t>l</w:t>
      </w:r>
      <w:r w:rsidR="004559B5">
        <w:rPr>
          <w:rFonts w:ascii="Book Antiqua" w:hAnsi="Book Antiqua"/>
        </w:rPr>
        <w:t>lant</w:t>
      </w:r>
      <w:r w:rsidR="004B35AD">
        <w:rPr>
          <w:rFonts w:ascii="Book Antiqua" w:hAnsi="Book Antiqua"/>
        </w:rPr>
        <w:t>s</w:t>
      </w:r>
      <w:r w:rsidR="004559B5">
        <w:rPr>
          <w:rFonts w:ascii="Book Antiqua" w:hAnsi="Book Antiqua"/>
        </w:rPr>
        <w:t>’</w:t>
      </w:r>
      <w:r w:rsidR="004B35AD">
        <w:rPr>
          <w:rFonts w:ascii="Book Antiqua" w:hAnsi="Book Antiqua"/>
        </w:rPr>
        <w:t xml:space="preserve"> late father did be</w:t>
      </w:r>
      <w:r w:rsidR="004559B5">
        <w:rPr>
          <w:rFonts w:ascii="Book Antiqua" w:hAnsi="Book Antiqua"/>
        </w:rPr>
        <w:t>tween retirement in</w:t>
      </w:r>
      <w:r w:rsidR="004B35AD">
        <w:rPr>
          <w:rFonts w:ascii="Book Antiqua" w:hAnsi="Book Antiqua"/>
        </w:rPr>
        <w:t xml:space="preserve"> 1977 and his death in March 2008, and more importantly no evidence as to what steps he took, if any, to settle in the UK in 2004 </w:t>
      </w:r>
      <w:r w:rsidR="003E5F40">
        <w:rPr>
          <w:rFonts w:ascii="Book Antiqua" w:hAnsi="Book Antiqua"/>
        </w:rPr>
        <w:t>when</w:t>
      </w:r>
      <w:r w:rsidR="004B35AD">
        <w:rPr>
          <w:rFonts w:ascii="Book Antiqua" w:hAnsi="Book Antiqua"/>
        </w:rPr>
        <w:t xml:space="preserve"> the policy was found to be too restrictive. I find the submission that the </w:t>
      </w:r>
      <w:r w:rsidR="003E5F40">
        <w:rPr>
          <w:rFonts w:ascii="Book Antiqua" w:hAnsi="Book Antiqua"/>
        </w:rPr>
        <w:t>appellants</w:t>
      </w:r>
      <w:r w:rsidR="004B35AD">
        <w:rPr>
          <w:rFonts w:ascii="Book Antiqua" w:hAnsi="Book Antiqua"/>
        </w:rPr>
        <w:t xml:space="preserve"> </w:t>
      </w:r>
      <w:r w:rsidR="003E5F40">
        <w:rPr>
          <w:rFonts w:ascii="Book Antiqua" w:hAnsi="Book Antiqua"/>
        </w:rPr>
        <w:t>would</w:t>
      </w:r>
      <w:r w:rsidR="004B35AD">
        <w:rPr>
          <w:rFonts w:ascii="Book Antiqua" w:hAnsi="Book Antiqua"/>
        </w:rPr>
        <w:t xml:space="preserve"> have been </w:t>
      </w:r>
      <w:r w:rsidR="003E5F40">
        <w:rPr>
          <w:rFonts w:ascii="Book Antiqua" w:hAnsi="Book Antiqua"/>
        </w:rPr>
        <w:t>British</w:t>
      </w:r>
      <w:r w:rsidR="004559B5">
        <w:rPr>
          <w:rFonts w:ascii="Book Antiqua" w:hAnsi="Book Antiqua"/>
        </w:rPr>
        <w:t xml:space="preserve"> born</w:t>
      </w:r>
      <w:r w:rsidR="004B35AD">
        <w:rPr>
          <w:rFonts w:ascii="Book Antiqua" w:hAnsi="Book Antiqua"/>
        </w:rPr>
        <w:t xml:space="preserve"> but for the historic injustice to ex-Gurkha sold</w:t>
      </w:r>
      <w:r>
        <w:rPr>
          <w:rFonts w:ascii="Book Antiqua" w:hAnsi="Book Antiqua"/>
        </w:rPr>
        <w:t>i</w:t>
      </w:r>
      <w:r w:rsidR="004B35AD">
        <w:rPr>
          <w:rFonts w:ascii="Book Antiqua" w:hAnsi="Book Antiqua"/>
        </w:rPr>
        <w:t>er</w:t>
      </w:r>
      <w:r>
        <w:rPr>
          <w:rFonts w:ascii="Book Antiqua" w:hAnsi="Book Antiqua"/>
        </w:rPr>
        <w:t>s</w:t>
      </w:r>
      <w:r w:rsidR="004B35AD">
        <w:rPr>
          <w:rFonts w:ascii="Book Antiqua" w:hAnsi="Book Antiqua"/>
        </w:rPr>
        <w:t xml:space="preserve"> too speculative.</w:t>
      </w:r>
      <w:r w:rsidR="004559B5">
        <w:rPr>
          <w:rFonts w:ascii="Book Antiqua" w:hAnsi="Book Antiqua"/>
        </w:rPr>
        <w:t>”</w:t>
      </w:r>
    </w:p>
    <w:p w:rsidR="003104BC" w:rsidRDefault="003104BC" w:rsidP="00256895">
      <w:pPr>
        <w:ind w:left="567" w:hanging="567"/>
        <w:jc w:val="both"/>
        <w:rPr>
          <w:rFonts w:ascii="Book Antiqua" w:hAnsi="Book Antiqua"/>
        </w:rPr>
      </w:pPr>
    </w:p>
    <w:p w:rsidR="00B1761F" w:rsidRDefault="00884846" w:rsidP="00B1761F">
      <w:pPr>
        <w:ind w:left="567" w:hanging="567"/>
        <w:jc w:val="both"/>
        <w:rPr>
          <w:rFonts w:ascii="Book Antiqua" w:hAnsi="Book Antiqua"/>
        </w:rPr>
      </w:pPr>
      <w:r>
        <w:rPr>
          <w:rFonts w:ascii="Book Antiqua" w:hAnsi="Book Antiqua"/>
        </w:rPr>
        <w:t>5</w:t>
      </w:r>
      <w:r w:rsidR="004B35AD">
        <w:rPr>
          <w:rFonts w:ascii="Book Antiqua" w:hAnsi="Book Antiqua"/>
        </w:rPr>
        <w:t>.</w:t>
      </w:r>
      <w:r w:rsidR="004B35AD">
        <w:rPr>
          <w:rFonts w:ascii="Book Antiqua" w:hAnsi="Book Antiqua"/>
        </w:rPr>
        <w:tab/>
      </w:r>
      <w:r w:rsidR="003104BC">
        <w:rPr>
          <w:rFonts w:ascii="Book Antiqua" w:hAnsi="Book Antiqua"/>
        </w:rPr>
        <w:t xml:space="preserve">Permission to appeal was granted by Upper Tribunal Judge Chalkley on 12 March 2018 </w:t>
      </w:r>
      <w:r w:rsidR="004559B5">
        <w:rPr>
          <w:rFonts w:ascii="Book Antiqua" w:hAnsi="Book Antiqua"/>
        </w:rPr>
        <w:t>on the grounds that</w:t>
      </w:r>
      <w:r w:rsidR="004B35AD">
        <w:rPr>
          <w:rFonts w:ascii="Book Antiqua" w:hAnsi="Book Antiqua"/>
        </w:rPr>
        <w:t>: “T</w:t>
      </w:r>
      <w:r w:rsidR="003104BC">
        <w:rPr>
          <w:rFonts w:ascii="Book Antiqua" w:hAnsi="Book Antiqua"/>
        </w:rPr>
        <w:t>he judge</w:t>
      </w:r>
      <w:r w:rsidR="004559B5">
        <w:rPr>
          <w:rFonts w:ascii="Book Antiqua" w:hAnsi="Book Antiqua"/>
        </w:rPr>
        <w:t xml:space="preserve"> does not appear</w:t>
      </w:r>
      <w:r w:rsidR="004B35AD">
        <w:rPr>
          <w:rFonts w:ascii="Book Antiqua" w:hAnsi="Book Antiqua"/>
        </w:rPr>
        <w:t xml:space="preserve"> to have mad</w:t>
      </w:r>
      <w:r w:rsidR="003104BC">
        <w:rPr>
          <w:rFonts w:ascii="Book Antiqua" w:hAnsi="Book Antiqua"/>
        </w:rPr>
        <w:t xml:space="preserve">e </w:t>
      </w:r>
      <w:r w:rsidR="004B35AD">
        <w:rPr>
          <w:rFonts w:ascii="Book Antiqua" w:hAnsi="Book Antiqua"/>
        </w:rPr>
        <w:t>a clear finding on whether the a</w:t>
      </w:r>
      <w:r w:rsidR="003104BC">
        <w:rPr>
          <w:rFonts w:ascii="Book Antiqua" w:hAnsi="Book Antiqua"/>
        </w:rPr>
        <w:t>ppellants</w:t>
      </w:r>
      <w:r w:rsidR="00BE75BE">
        <w:rPr>
          <w:rFonts w:ascii="Book Antiqua" w:hAnsi="Book Antiqua"/>
        </w:rPr>
        <w:t>’</w:t>
      </w:r>
      <w:r w:rsidR="003104BC">
        <w:rPr>
          <w:rFonts w:ascii="Book Antiqua" w:hAnsi="Book Antiqua"/>
        </w:rPr>
        <w:t xml:space="preserve"> father would have settled in the UK on retirement</w:t>
      </w:r>
      <w:r w:rsidR="004B35AD">
        <w:rPr>
          <w:rFonts w:ascii="Book Antiqua" w:hAnsi="Book Antiqua"/>
        </w:rPr>
        <w:t>, despite that being the claim of</w:t>
      </w:r>
      <w:r w:rsidR="003104BC">
        <w:rPr>
          <w:rFonts w:ascii="Book Antiqua" w:hAnsi="Book Antiqua"/>
        </w:rPr>
        <w:t xml:space="preserve"> the </w:t>
      </w:r>
      <w:r w:rsidR="004B35AD">
        <w:rPr>
          <w:rFonts w:ascii="Book Antiqua" w:hAnsi="Book Antiqua"/>
        </w:rPr>
        <w:t>a</w:t>
      </w:r>
      <w:r w:rsidR="003104BC">
        <w:rPr>
          <w:rFonts w:ascii="Book Antiqua" w:hAnsi="Book Antiqua"/>
        </w:rPr>
        <w:t>ppellant’s mother</w:t>
      </w:r>
      <w:r w:rsidR="004B35AD">
        <w:rPr>
          <w:rFonts w:ascii="Book Antiqua" w:hAnsi="Book Antiqua"/>
        </w:rPr>
        <w:t xml:space="preserve"> (see </w:t>
      </w:r>
      <w:r w:rsidR="003E5F40">
        <w:rPr>
          <w:rFonts w:ascii="Book Antiqua" w:hAnsi="Book Antiqua"/>
        </w:rPr>
        <w:t>paragraph</w:t>
      </w:r>
      <w:r w:rsidR="004B35AD">
        <w:rPr>
          <w:rFonts w:ascii="Book Antiqua" w:hAnsi="Book Antiqua"/>
        </w:rPr>
        <w:t xml:space="preserve"> 16), but what she says at paragraph 35 is </w:t>
      </w:r>
      <w:r w:rsidR="004559B5">
        <w:rPr>
          <w:rFonts w:ascii="Book Antiqua" w:hAnsi="Book Antiqua"/>
        </w:rPr>
        <w:t>difficult</w:t>
      </w:r>
      <w:r w:rsidR="004B35AD">
        <w:rPr>
          <w:rFonts w:ascii="Book Antiqua" w:hAnsi="Book Antiqua"/>
        </w:rPr>
        <w:t xml:space="preserve"> to understand: there was little the </w:t>
      </w:r>
      <w:r w:rsidR="004559B5">
        <w:rPr>
          <w:rFonts w:ascii="Book Antiqua" w:hAnsi="Book Antiqua"/>
        </w:rPr>
        <w:t>appellants’</w:t>
      </w:r>
      <w:r w:rsidR="004B35AD">
        <w:rPr>
          <w:rFonts w:ascii="Book Antiqua" w:hAnsi="Book Antiqua"/>
        </w:rPr>
        <w:t xml:space="preserve"> father could do, hence the historic injustice</w:t>
      </w:r>
      <w:r w:rsidR="003104BC">
        <w:rPr>
          <w:rFonts w:ascii="Book Antiqua" w:hAnsi="Book Antiqua"/>
        </w:rPr>
        <w:t>.</w:t>
      </w:r>
      <w:r w:rsidR="004B35AD">
        <w:rPr>
          <w:rFonts w:ascii="Book Antiqua" w:hAnsi="Book Antiqua"/>
        </w:rPr>
        <w:t>”</w:t>
      </w:r>
    </w:p>
    <w:p w:rsidR="00B1761F" w:rsidRDefault="00B1761F" w:rsidP="00B1761F">
      <w:pPr>
        <w:ind w:left="567" w:hanging="567"/>
        <w:jc w:val="both"/>
        <w:rPr>
          <w:rFonts w:ascii="Book Antiqua" w:hAnsi="Book Antiqua"/>
        </w:rPr>
      </w:pPr>
    </w:p>
    <w:p w:rsidR="00B1761F" w:rsidRDefault="00884846" w:rsidP="00B1761F">
      <w:pPr>
        <w:ind w:left="567" w:hanging="567"/>
        <w:jc w:val="both"/>
        <w:rPr>
          <w:rFonts w:ascii="Book Antiqua" w:hAnsi="Book Antiqua"/>
        </w:rPr>
      </w:pPr>
      <w:r>
        <w:rPr>
          <w:rFonts w:ascii="Book Antiqua" w:hAnsi="Book Antiqua"/>
        </w:rPr>
        <w:t>6</w:t>
      </w:r>
      <w:r w:rsidR="004B35AD">
        <w:rPr>
          <w:rFonts w:ascii="Book Antiqua" w:hAnsi="Book Antiqua"/>
        </w:rPr>
        <w:t>.</w:t>
      </w:r>
      <w:r w:rsidR="004B35AD">
        <w:rPr>
          <w:rFonts w:ascii="Book Antiqua" w:hAnsi="Book Antiqua"/>
        </w:rPr>
        <w:tab/>
        <w:t>Mr Jowett relie</w:t>
      </w:r>
      <w:r w:rsidR="008513DA">
        <w:rPr>
          <w:rFonts w:ascii="Book Antiqua" w:hAnsi="Book Antiqua"/>
        </w:rPr>
        <w:t>d</w:t>
      </w:r>
      <w:r w:rsidR="004B35AD">
        <w:rPr>
          <w:rFonts w:ascii="Book Antiqua" w:hAnsi="Book Antiqua"/>
        </w:rPr>
        <w:t xml:space="preserve"> on his skeleton argument and submitted that the </w:t>
      </w:r>
      <w:r w:rsidR="004F03CA">
        <w:rPr>
          <w:rFonts w:ascii="Book Antiqua" w:hAnsi="Book Antiqua"/>
        </w:rPr>
        <w:t xml:space="preserve">judge failed to properly apply Annex K which states: </w:t>
      </w:r>
    </w:p>
    <w:p w:rsidR="00B1761F" w:rsidRDefault="00B1761F" w:rsidP="00B1761F">
      <w:pPr>
        <w:ind w:left="567" w:hanging="567"/>
        <w:jc w:val="both"/>
        <w:rPr>
          <w:rFonts w:ascii="Book Antiqua" w:hAnsi="Book Antiqua"/>
        </w:rPr>
      </w:pPr>
    </w:p>
    <w:p w:rsidR="00B1761F" w:rsidRDefault="004F03CA" w:rsidP="00B1761F">
      <w:pPr>
        <w:ind w:left="1689" w:hanging="555"/>
        <w:jc w:val="both"/>
        <w:rPr>
          <w:rFonts w:ascii="Book Antiqua" w:hAnsi="Book Antiqua"/>
        </w:rPr>
      </w:pPr>
      <w:r>
        <w:rPr>
          <w:rFonts w:ascii="Book Antiqua" w:hAnsi="Book Antiqua"/>
        </w:rPr>
        <w:t>“17.</w:t>
      </w:r>
      <w:r w:rsidR="007A58C5">
        <w:rPr>
          <w:rFonts w:ascii="Book Antiqua" w:hAnsi="Book Antiqua"/>
        </w:rPr>
        <w:t xml:space="preserve"> </w:t>
      </w:r>
      <w:r w:rsidR="00B1761F">
        <w:rPr>
          <w:rFonts w:ascii="Book Antiqua" w:hAnsi="Book Antiqua"/>
        </w:rPr>
        <w:tab/>
      </w:r>
      <w:r w:rsidR="007A58C5">
        <w:rPr>
          <w:rFonts w:ascii="Book Antiqua" w:hAnsi="Book Antiqua"/>
        </w:rPr>
        <w:t xml:space="preserve">In order to qualify for settlement under this policy the Home Office needs to be satisfied that the former Gurkha would have applied to settle in the UK upon discharge with the </w:t>
      </w:r>
      <w:r w:rsidR="004559B5">
        <w:rPr>
          <w:rFonts w:ascii="Book Antiqua" w:hAnsi="Book Antiqua"/>
        </w:rPr>
        <w:t>dependent</w:t>
      </w:r>
      <w:r w:rsidR="007A58C5">
        <w:rPr>
          <w:rFonts w:ascii="Book Antiqua" w:hAnsi="Book Antiqua"/>
        </w:rPr>
        <w:t xml:space="preserve"> child if they </w:t>
      </w:r>
      <w:r w:rsidR="004559B5">
        <w:rPr>
          <w:rFonts w:ascii="Book Antiqua" w:hAnsi="Book Antiqua"/>
        </w:rPr>
        <w:t>had</w:t>
      </w:r>
      <w:r w:rsidR="007A58C5">
        <w:rPr>
          <w:rFonts w:ascii="Book Antiqua" w:hAnsi="Book Antiqua"/>
        </w:rPr>
        <w:t xml:space="preserve"> been born by then (</w:t>
      </w:r>
      <w:r w:rsidR="004559B5">
        <w:rPr>
          <w:rFonts w:ascii="Book Antiqua" w:hAnsi="Book Antiqua"/>
        </w:rPr>
        <w:t xml:space="preserve">but </w:t>
      </w:r>
      <w:r w:rsidR="007A58C5">
        <w:rPr>
          <w:rFonts w:ascii="Book Antiqua" w:hAnsi="Book Antiqua"/>
        </w:rPr>
        <w:t xml:space="preserve">otherwise the child would </w:t>
      </w:r>
      <w:r w:rsidR="004559B5">
        <w:rPr>
          <w:rFonts w:ascii="Book Antiqua" w:hAnsi="Book Antiqua"/>
        </w:rPr>
        <w:t>have been born here).</w:t>
      </w:r>
      <w:r w:rsidR="007A58C5">
        <w:rPr>
          <w:rFonts w:ascii="Book Antiqua" w:hAnsi="Book Antiqua"/>
        </w:rPr>
        <w:t xml:space="preserve"> I</w:t>
      </w:r>
      <w:r w:rsidR="004559B5">
        <w:rPr>
          <w:rFonts w:ascii="Book Antiqua" w:hAnsi="Book Antiqua"/>
        </w:rPr>
        <w:t>f</w:t>
      </w:r>
      <w:r w:rsidR="007A58C5">
        <w:rPr>
          <w:rFonts w:ascii="Book Antiqua" w:hAnsi="Book Antiqua"/>
        </w:rPr>
        <w:t xml:space="preserve"> a </w:t>
      </w:r>
      <w:r w:rsidR="004559B5">
        <w:rPr>
          <w:rFonts w:ascii="Book Antiqua" w:hAnsi="Book Antiqua"/>
        </w:rPr>
        <w:t>sponsor</w:t>
      </w:r>
      <w:r w:rsidR="007A58C5">
        <w:rPr>
          <w:rFonts w:ascii="Book Antiqua" w:hAnsi="Book Antiqua"/>
        </w:rPr>
        <w:t xml:space="preserve"> states that </w:t>
      </w:r>
      <w:r w:rsidR="004559B5">
        <w:rPr>
          <w:rFonts w:ascii="Book Antiqua" w:hAnsi="Book Antiqua"/>
        </w:rPr>
        <w:t>he</w:t>
      </w:r>
      <w:r w:rsidR="007A58C5">
        <w:rPr>
          <w:rFonts w:ascii="Book Antiqua" w:hAnsi="Book Antiqua"/>
        </w:rPr>
        <w:t xml:space="preserve"> </w:t>
      </w:r>
      <w:r w:rsidR="004559B5">
        <w:rPr>
          <w:rFonts w:ascii="Book Antiqua" w:hAnsi="Book Antiqua"/>
        </w:rPr>
        <w:t>intended to</w:t>
      </w:r>
      <w:r w:rsidR="007A58C5">
        <w:rPr>
          <w:rFonts w:ascii="Book Antiqua" w:hAnsi="Book Antiqua"/>
        </w:rPr>
        <w:t xml:space="preserve"> </w:t>
      </w:r>
      <w:r w:rsidR="004559B5">
        <w:rPr>
          <w:rFonts w:ascii="Book Antiqua" w:hAnsi="Book Antiqua"/>
        </w:rPr>
        <w:t>settle</w:t>
      </w:r>
      <w:r w:rsidR="007A58C5">
        <w:rPr>
          <w:rFonts w:ascii="Book Antiqua" w:hAnsi="Book Antiqua"/>
        </w:rPr>
        <w:t xml:space="preserve"> in the </w:t>
      </w:r>
      <w:r w:rsidR="00B1761F">
        <w:rPr>
          <w:rFonts w:ascii="Book Antiqua" w:hAnsi="Book Antiqua"/>
        </w:rPr>
        <w:t>U</w:t>
      </w:r>
      <w:r w:rsidR="007A58C5">
        <w:rPr>
          <w:rFonts w:ascii="Book Antiqua" w:hAnsi="Book Antiqua"/>
        </w:rPr>
        <w:t xml:space="preserve">K on </w:t>
      </w:r>
      <w:r w:rsidR="004559B5">
        <w:rPr>
          <w:rFonts w:ascii="Book Antiqua" w:hAnsi="Book Antiqua"/>
        </w:rPr>
        <w:t>discharge</w:t>
      </w:r>
      <w:r w:rsidR="007A58C5">
        <w:rPr>
          <w:rFonts w:ascii="Book Antiqua" w:hAnsi="Book Antiqua"/>
        </w:rPr>
        <w:t xml:space="preserve">, then, in the absence of any countervailing evidence, this requirement will </w:t>
      </w:r>
      <w:r w:rsidR="004559B5">
        <w:rPr>
          <w:rFonts w:ascii="Book Antiqua" w:hAnsi="Book Antiqua"/>
        </w:rPr>
        <w:t>normally</w:t>
      </w:r>
      <w:r w:rsidR="007A58C5">
        <w:rPr>
          <w:rFonts w:ascii="Book Antiqua" w:hAnsi="Book Antiqua"/>
        </w:rPr>
        <w:t xml:space="preserve"> have been met. </w:t>
      </w:r>
    </w:p>
    <w:p w:rsidR="00B1761F" w:rsidRDefault="00B1761F" w:rsidP="00B1761F">
      <w:pPr>
        <w:ind w:left="1689" w:hanging="555"/>
        <w:jc w:val="both"/>
        <w:rPr>
          <w:rFonts w:ascii="Book Antiqua" w:hAnsi="Book Antiqua"/>
        </w:rPr>
      </w:pPr>
    </w:p>
    <w:p w:rsidR="00B1761F" w:rsidRDefault="007A58C5" w:rsidP="00884846">
      <w:pPr>
        <w:ind w:left="1689" w:hanging="555"/>
        <w:jc w:val="both"/>
        <w:rPr>
          <w:rFonts w:ascii="Book Antiqua" w:hAnsi="Book Antiqua"/>
        </w:rPr>
      </w:pPr>
      <w:r>
        <w:rPr>
          <w:rFonts w:ascii="Book Antiqua" w:hAnsi="Book Antiqua"/>
        </w:rPr>
        <w:t>18.</w:t>
      </w:r>
      <w:r>
        <w:rPr>
          <w:rFonts w:ascii="Book Antiqua" w:hAnsi="Book Antiqua"/>
        </w:rPr>
        <w:tab/>
      </w:r>
      <w:r w:rsidR="004559B5">
        <w:rPr>
          <w:rFonts w:ascii="Book Antiqua" w:hAnsi="Book Antiqua"/>
        </w:rPr>
        <w:t>Examples</w:t>
      </w:r>
      <w:r>
        <w:rPr>
          <w:rFonts w:ascii="Book Antiqua" w:hAnsi="Book Antiqua"/>
        </w:rPr>
        <w:t xml:space="preserve"> of </w:t>
      </w:r>
      <w:r w:rsidR="004559B5">
        <w:rPr>
          <w:rFonts w:ascii="Book Antiqua" w:hAnsi="Book Antiqua"/>
        </w:rPr>
        <w:t>countervailing</w:t>
      </w:r>
      <w:r>
        <w:rPr>
          <w:rFonts w:ascii="Book Antiqua" w:hAnsi="Book Antiqua"/>
        </w:rPr>
        <w:t xml:space="preserve"> </w:t>
      </w:r>
      <w:r w:rsidR="004559B5">
        <w:rPr>
          <w:rFonts w:ascii="Book Antiqua" w:hAnsi="Book Antiqua"/>
        </w:rPr>
        <w:t>evidence</w:t>
      </w:r>
      <w:r>
        <w:rPr>
          <w:rFonts w:ascii="Book Antiqua" w:hAnsi="Book Antiqua"/>
        </w:rPr>
        <w:t xml:space="preserve"> might </w:t>
      </w:r>
      <w:r w:rsidR="004559B5">
        <w:rPr>
          <w:rFonts w:ascii="Book Antiqua" w:hAnsi="Book Antiqua"/>
        </w:rPr>
        <w:t>include</w:t>
      </w:r>
      <w:r>
        <w:rPr>
          <w:rFonts w:ascii="Book Antiqua" w:hAnsi="Book Antiqua"/>
        </w:rPr>
        <w:t xml:space="preserve"> </w:t>
      </w:r>
      <w:r w:rsidR="004559B5">
        <w:rPr>
          <w:rFonts w:ascii="Book Antiqua" w:hAnsi="Book Antiqua"/>
        </w:rPr>
        <w:t>situations</w:t>
      </w:r>
      <w:r>
        <w:rPr>
          <w:rFonts w:ascii="Book Antiqua" w:hAnsi="Book Antiqua"/>
        </w:rPr>
        <w:t xml:space="preserve"> </w:t>
      </w:r>
      <w:r w:rsidR="004559B5">
        <w:rPr>
          <w:rFonts w:ascii="Book Antiqua" w:hAnsi="Book Antiqua"/>
        </w:rPr>
        <w:t>where</w:t>
      </w:r>
      <w:r>
        <w:rPr>
          <w:rFonts w:ascii="Book Antiqua" w:hAnsi="Book Antiqua"/>
        </w:rPr>
        <w:t>:</w:t>
      </w:r>
      <w:r w:rsidR="00B1761F">
        <w:rPr>
          <w:rFonts w:ascii="Book Antiqua" w:hAnsi="Book Antiqua"/>
        </w:rPr>
        <w:t xml:space="preserve"> </w:t>
      </w:r>
    </w:p>
    <w:p w:rsidR="00B1761F" w:rsidRPr="00B1761F" w:rsidRDefault="007A58C5" w:rsidP="00B1761F">
      <w:pPr>
        <w:numPr>
          <w:ilvl w:val="0"/>
          <w:numId w:val="2"/>
        </w:numPr>
        <w:jc w:val="both"/>
        <w:rPr>
          <w:rFonts w:ascii="Book Antiqua" w:hAnsi="Book Antiqua"/>
        </w:rPr>
      </w:pPr>
      <w:r>
        <w:rPr>
          <w:rFonts w:ascii="Book Antiqua" w:hAnsi="Book Antiqua"/>
        </w:rPr>
        <w:t xml:space="preserve">the sponsor did not apply promptly when the </w:t>
      </w:r>
      <w:r w:rsidR="004559B5">
        <w:rPr>
          <w:rFonts w:ascii="Book Antiqua" w:hAnsi="Book Antiqua"/>
        </w:rPr>
        <w:t>discretionary</w:t>
      </w:r>
      <w:r>
        <w:rPr>
          <w:rFonts w:ascii="Book Antiqua" w:hAnsi="Book Antiqua"/>
        </w:rPr>
        <w:t xml:space="preserve"> policy </w:t>
      </w:r>
      <w:r w:rsidR="004559B5">
        <w:rPr>
          <w:rFonts w:ascii="Book Antiqua" w:hAnsi="Book Antiqua"/>
        </w:rPr>
        <w:t>was</w:t>
      </w:r>
      <w:r>
        <w:rPr>
          <w:rFonts w:ascii="Book Antiqua" w:hAnsi="Book Antiqua"/>
        </w:rPr>
        <w:t xml:space="preserve"> announced; or</w:t>
      </w:r>
      <w:r w:rsidR="00B1761F">
        <w:rPr>
          <w:rFonts w:ascii="Book Antiqua" w:hAnsi="Book Antiqua"/>
        </w:rPr>
        <w:t xml:space="preserve"> </w:t>
      </w:r>
    </w:p>
    <w:p w:rsidR="00B1761F" w:rsidRDefault="007A58C5" w:rsidP="00B1761F">
      <w:pPr>
        <w:numPr>
          <w:ilvl w:val="0"/>
          <w:numId w:val="2"/>
        </w:numPr>
        <w:jc w:val="both"/>
        <w:rPr>
          <w:rFonts w:ascii="Book Antiqua" w:hAnsi="Book Antiqua"/>
        </w:rPr>
      </w:pPr>
      <w:r>
        <w:rPr>
          <w:rFonts w:ascii="Book Antiqua" w:hAnsi="Book Antiqua"/>
        </w:rPr>
        <w:t xml:space="preserve">the </w:t>
      </w:r>
      <w:r w:rsidR="004559B5">
        <w:rPr>
          <w:rFonts w:ascii="Book Antiqua" w:hAnsi="Book Antiqua"/>
        </w:rPr>
        <w:t>sponsor</w:t>
      </w:r>
      <w:r>
        <w:rPr>
          <w:rFonts w:ascii="Book Antiqua" w:hAnsi="Book Antiqua"/>
        </w:rPr>
        <w:t xml:space="preserve"> has a history </w:t>
      </w:r>
      <w:r w:rsidR="004559B5">
        <w:rPr>
          <w:rFonts w:ascii="Book Antiqua" w:hAnsi="Book Antiqua"/>
        </w:rPr>
        <w:t>of</w:t>
      </w:r>
      <w:r>
        <w:rPr>
          <w:rFonts w:ascii="Book Antiqua" w:hAnsi="Book Antiqua"/>
        </w:rPr>
        <w:t xml:space="preserve"> dishonesty; or</w:t>
      </w:r>
    </w:p>
    <w:p w:rsidR="00B1761F" w:rsidRPr="00884846" w:rsidRDefault="007A58C5" w:rsidP="00884846">
      <w:pPr>
        <w:numPr>
          <w:ilvl w:val="0"/>
          <w:numId w:val="2"/>
        </w:numPr>
        <w:jc w:val="both"/>
        <w:rPr>
          <w:rFonts w:ascii="Book Antiqua" w:hAnsi="Book Antiqua"/>
        </w:rPr>
      </w:pPr>
      <w:r>
        <w:rPr>
          <w:rFonts w:ascii="Book Antiqua" w:hAnsi="Book Antiqua"/>
        </w:rPr>
        <w:t xml:space="preserve">the former </w:t>
      </w:r>
      <w:r w:rsidR="004559B5">
        <w:rPr>
          <w:rFonts w:ascii="Book Antiqua" w:hAnsi="Book Antiqua"/>
        </w:rPr>
        <w:t>Gurkha</w:t>
      </w:r>
      <w:r>
        <w:rPr>
          <w:rFonts w:ascii="Book Antiqua" w:hAnsi="Book Antiqua"/>
        </w:rPr>
        <w:t xml:space="preserve"> did not </w:t>
      </w:r>
      <w:r w:rsidR="004559B5">
        <w:rPr>
          <w:rFonts w:ascii="Book Antiqua" w:hAnsi="Book Antiqua"/>
        </w:rPr>
        <w:t>return</w:t>
      </w:r>
      <w:r>
        <w:rPr>
          <w:rFonts w:ascii="Book Antiqua" w:hAnsi="Book Antiqua"/>
        </w:rPr>
        <w:t xml:space="preserve"> to his family in Nepal on </w:t>
      </w:r>
      <w:r w:rsidR="004559B5">
        <w:rPr>
          <w:rFonts w:ascii="Book Antiqua" w:hAnsi="Book Antiqua"/>
        </w:rPr>
        <w:t>discharge (e.g. because</w:t>
      </w:r>
      <w:r>
        <w:rPr>
          <w:rFonts w:ascii="Book Antiqua" w:hAnsi="Book Antiqua"/>
        </w:rPr>
        <w:t xml:space="preserve"> he went to work elsewhere</w:t>
      </w:r>
      <w:r w:rsidR="004559B5">
        <w:rPr>
          <w:rFonts w:ascii="Book Antiqua" w:hAnsi="Book Antiqua"/>
        </w:rPr>
        <w:t>)</w:t>
      </w:r>
      <w:r>
        <w:rPr>
          <w:rFonts w:ascii="Book Antiqua" w:hAnsi="Book Antiqua"/>
        </w:rPr>
        <w:t>.”</w:t>
      </w:r>
    </w:p>
    <w:p w:rsidR="007A58C5" w:rsidRDefault="00884846" w:rsidP="007A58C5">
      <w:pPr>
        <w:keepNext/>
        <w:spacing w:before="100" w:beforeAutospacing="1" w:after="100" w:afterAutospacing="1"/>
        <w:ind w:left="567" w:hanging="567"/>
        <w:jc w:val="both"/>
        <w:rPr>
          <w:rFonts w:ascii="Book Antiqua" w:hAnsi="Book Antiqua"/>
        </w:rPr>
      </w:pPr>
      <w:r>
        <w:rPr>
          <w:rFonts w:ascii="Book Antiqua" w:hAnsi="Book Antiqua"/>
        </w:rPr>
        <w:t>7</w:t>
      </w:r>
      <w:r w:rsidR="007A58C5">
        <w:rPr>
          <w:rFonts w:ascii="Book Antiqua" w:hAnsi="Book Antiqua"/>
        </w:rPr>
        <w:t>.</w:t>
      </w:r>
      <w:r w:rsidR="007A58C5">
        <w:rPr>
          <w:rFonts w:ascii="Book Antiqua" w:hAnsi="Book Antiqua"/>
        </w:rPr>
        <w:tab/>
        <w:t xml:space="preserve">Mr Jowett </w:t>
      </w:r>
      <w:r w:rsidR="004559B5">
        <w:rPr>
          <w:rFonts w:ascii="Book Antiqua" w:hAnsi="Book Antiqua"/>
        </w:rPr>
        <w:t>submitted</w:t>
      </w:r>
      <w:r w:rsidR="007A58C5">
        <w:rPr>
          <w:rFonts w:ascii="Book Antiqua" w:hAnsi="Book Antiqua"/>
        </w:rPr>
        <w:t xml:space="preserve"> that the </w:t>
      </w:r>
      <w:r w:rsidR="004559B5">
        <w:rPr>
          <w:rFonts w:ascii="Book Antiqua" w:hAnsi="Book Antiqua"/>
        </w:rPr>
        <w:t>Appellants’</w:t>
      </w:r>
      <w:r w:rsidR="007A58C5">
        <w:rPr>
          <w:rFonts w:ascii="Book Antiqua" w:hAnsi="Book Antiqua"/>
        </w:rPr>
        <w:t xml:space="preserve"> father died before the </w:t>
      </w:r>
      <w:r w:rsidR="004559B5">
        <w:rPr>
          <w:rFonts w:ascii="Book Antiqua" w:hAnsi="Book Antiqua"/>
        </w:rPr>
        <w:t>Gurkha</w:t>
      </w:r>
      <w:r w:rsidR="007A58C5">
        <w:rPr>
          <w:rFonts w:ascii="Book Antiqua" w:hAnsi="Book Antiqua"/>
        </w:rPr>
        <w:t xml:space="preserve"> policy came into force. </w:t>
      </w:r>
      <w:r w:rsidR="004559B5">
        <w:rPr>
          <w:rFonts w:ascii="Book Antiqua" w:hAnsi="Book Antiqua"/>
        </w:rPr>
        <w:t>There</w:t>
      </w:r>
      <w:r w:rsidR="007A58C5">
        <w:rPr>
          <w:rFonts w:ascii="Book Antiqua" w:hAnsi="Book Antiqua"/>
        </w:rPr>
        <w:t xml:space="preserve"> was evidence </w:t>
      </w:r>
      <w:r w:rsidR="004559B5">
        <w:rPr>
          <w:rFonts w:ascii="Book Antiqua" w:hAnsi="Book Antiqua"/>
        </w:rPr>
        <w:t>from the</w:t>
      </w:r>
      <w:r w:rsidR="007A58C5">
        <w:rPr>
          <w:rFonts w:ascii="Book Antiqua" w:hAnsi="Book Antiqua"/>
        </w:rPr>
        <w:t xml:space="preserve"> </w:t>
      </w:r>
      <w:r w:rsidR="004559B5">
        <w:rPr>
          <w:rFonts w:ascii="Book Antiqua" w:hAnsi="Book Antiqua"/>
        </w:rPr>
        <w:t>Appellants’</w:t>
      </w:r>
      <w:r w:rsidR="007A58C5">
        <w:rPr>
          <w:rFonts w:ascii="Book Antiqua" w:hAnsi="Book Antiqua"/>
        </w:rPr>
        <w:t xml:space="preserve"> mother that he would have applied for settlement in the UK. There was no countervailing </w:t>
      </w:r>
      <w:r w:rsidR="004559B5">
        <w:rPr>
          <w:rFonts w:ascii="Book Antiqua" w:hAnsi="Book Antiqua"/>
        </w:rPr>
        <w:t>evidence</w:t>
      </w:r>
      <w:r w:rsidR="007A58C5">
        <w:rPr>
          <w:rFonts w:ascii="Book Antiqua" w:hAnsi="Book Antiqua"/>
        </w:rPr>
        <w:t xml:space="preserve"> and the requirement was satisfied. There was </w:t>
      </w:r>
      <w:r w:rsidR="004559B5">
        <w:rPr>
          <w:rFonts w:ascii="Book Antiqua" w:hAnsi="Book Antiqua"/>
        </w:rPr>
        <w:t>historic</w:t>
      </w:r>
      <w:r w:rsidR="007A58C5">
        <w:rPr>
          <w:rFonts w:ascii="Book Antiqua" w:hAnsi="Book Antiqua"/>
        </w:rPr>
        <w:t xml:space="preserve"> injustice in this case </w:t>
      </w:r>
      <w:r w:rsidR="004559B5">
        <w:rPr>
          <w:rFonts w:ascii="Book Antiqua" w:hAnsi="Book Antiqua"/>
        </w:rPr>
        <w:t>such</w:t>
      </w:r>
      <w:r w:rsidR="007A58C5">
        <w:rPr>
          <w:rFonts w:ascii="Book Antiqua" w:hAnsi="Book Antiqua"/>
        </w:rPr>
        <w:t xml:space="preserve"> that it would </w:t>
      </w:r>
      <w:r w:rsidR="007A58C5">
        <w:rPr>
          <w:rFonts w:ascii="Book Antiqua" w:hAnsi="Book Antiqua"/>
        </w:rPr>
        <w:lastRenderedPageBreak/>
        <w:t xml:space="preserve">ordinarily have decided the </w:t>
      </w:r>
      <w:r w:rsidR="004559B5">
        <w:rPr>
          <w:rFonts w:ascii="Book Antiqua" w:hAnsi="Book Antiqua"/>
        </w:rPr>
        <w:t>proportionality</w:t>
      </w:r>
      <w:r w:rsidR="007A58C5">
        <w:rPr>
          <w:rFonts w:ascii="Book Antiqua" w:hAnsi="Book Antiqua"/>
        </w:rPr>
        <w:t xml:space="preserve"> assessment in the </w:t>
      </w:r>
      <w:r w:rsidR="004559B5">
        <w:rPr>
          <w:rFonts w:ascii="Book Antiqua" w:hAnsi="Book Antiqua"/>
        </w:rPr>
        <w:t>Appellants’</w:t>
      </w:r>
      <w:r w:rsidR="007A58C5">
        <w:rPr>
          <w:rFonts w:ascii="Book Antiqua" w:hAnsi="Book Antiqua"/>
        </w:rPr>
        <w:t xml:space="preserve"> </w:t>
      </w:r>
      <w:r w:rsidR="004559B5">
        <w:rPr>
          <w:rFonts w:ascii="Book Antiqua" w:hAnsi="Book Antiqua"/>
        </w:rPr>
        <w:t>favour</w:t>
      </w:r>
      <w:r w:rsidR="007A58C5">
        <w:rPr>
          <w:rFonts w:ascii="Book Antiqua" w:hAnsi="Book Antiqua"/>
        </w:rPr>
        <w:t xml:space="preserve"> (</w:t>
      </w:r>
      <w:r w:rsidR="007A58C5" w:rsidRPr="004559B5">
        <w:rPr>
          <w:rFonts w:ascii="Book Antiqua" w:hAnsi="Book Antiqua"/>
          <w:u w:val="single"/>
        </w:rPr>
        <w:t>R (Gurung) v SSHD</w:t>
      </w:r>
      <w:r w:rsidR="007A58C5">
        <w:rPr>
          <w:rFonts w:ascii="Book Antiqua" w:hAnsi="Book Antiqua"/>
        </w:rPr>
        <w:t xml:space="preserve"> [2013] EWCA Civ 8 and </w:t>
      </w:r>
      <w:r w:rsidR="007A58C5" w:rsidRPr="004559B5">
        <w:rPr>
          <w:rFonts w:ascii="Book Antiqua" w:hAnsi="Book Antiqua"/>
          <w:u w:val="single"/>
        </w:rPr>
        <w:t xml:space="preserve">Ghising (Gurkhas/BOCs historic wrong: </w:t>
      </w:r>
      <w:r w:rsidR="004559B5" w:rsidRPr="004559B5">
        <w:rPr>
          <w:rFonts w:ascii="Book Antiqua" w:hAnsi="Book Antiqua"/>
          <w:u w:val="single"/>
        </w:rPr>
        <w:t>weight)</w:t>
      </w:r>
      <w:r w:rsidR="007A58C5">
        <w:rPr>
          <w:rFonts w:ascii="Book Antiqua" w:hAnsi="Book Antiqua"/>
        </w:rPr>
        <w:t xml:space="preserve"> [2013] UKUT 00567 IAC). The judge’s approach to the historic injustice at </w:t>
      </w:r>
      <w:r w:rsidR="004559B5">
        <w:rPr>
          <w:rFonts w:ascii="Book Antiqua" w:hAnsi="Book Antiqua"/>
        </w:rPr>
        <w:t xml:space="preserve">paragraph </w:t>
      </w:r>
      <w:r w:rsidR="007A58C5">
        <w:rPr>
          <w:rFonts w:ascii="Book Antiqua" w:hAnsi="Book Antiqua"/>
        </w:rPr>
        <w:t xml:space="preserve">35 was incorrect. </w:t>
      </w:r>
    </w:p>
    <w:p w:rsidR="00B1761F" w:rsidRDefault="00884846" w:rsidP="00884846">
      <w:pPr>
        <w:keepNext/>
        <w:spacing w:before="100" w:beforeAutospacing="1" w:after="100" w:afterAutospacing="1"/>
        <w:ind w:left="567" w:hanging="567"/>
        <w:jc w:val="both"/>
        <w:rPr>
          <w:rFonts w:ascii="Book Antiqua" w:hAnsi="Book Antiqua"/>
        </w:rPr>
      </w:pPr>
      <w:r>
        <w:rPr>
          <w:rFonts w:ascii="Book Antiqua" w:hAnsi="Book Antiqua"/>
        </w:rPr>
        <w:t>8</w:t>
      </w:r>
      <w:r w:rsidR="004B4D49">
        <w:rPr>
          <w:rFonts w:ascii="Book Antiqua" w:hAnsi="Book Antiqua"/>
        </w:rPr>
        <w:t>.</w:t>
      </w:r>
      <w:r w:rsidR="004B4D49">
        <w:rPr>
          <w:rFonts w:ascii="Book Antiqua" w:hAnsi="Book Antiqua"/>
        </w:rPr>
        <w:tab/>
        <w:t>Mr Walker conceded that the judge’s failure to consider historic injustice</w:t>
      </w:r>
      <w:r w:rsidR="00B1761F">
        <w:rPr>
          <w:rFonts w:ascii="Book Antiqua" w:hAnsi="Book Antiqua"/>
        </w:rPr>
        <w:t xml:space="preserve"> in the assessment of proportionality</w:t>
      </w:r>
      <w:r w:rsidR="004B4D49">
        <w:rPr>
          <w:rFonts w:ascii="Book Antiqua" w:hAnsi="Book Antiqua"/>
        </w:rPr>
        <w:t xml:space="preserve"> was an error of law. The evidence of the Appellants</w:t>
      </w:r>
      <w:r>
        <w:rPr>
          <w:rFonts w:ascii="Book Antiqua" w:hAnsi="Book Antiqua"/>
        </w:rPr>
        <w:t>’</w:t>
      </w:r>
      <w:r w:rsidR="004B4D49">
        <w:rPr>
          <w:rFonts w:ascii="Book Antiqua" w:hAnsi="Book Antiqua"/>
        </w:rPr>
        <w:t xml:space="preserve"> mother that their father would have settled was sufficient and the balance should fall in favour of the Appellant</w:t>
      </w:r>
      <w:r w:rsidR="00B1761F">
        <w:rPr>
          <w:rFonts w:ascii="Book Antiqua" w:hAnsi="Book Antiqua"/>
        </w:rPr>
        <w:t>s</w:t>
      </w:r>
      <w:r w:rsidR="004B4D49">
        <w:rPr>
          <w:rFonts w:ascii="Book Antiqua" w:hAnsi="Book Antiqua"/>
        </w:rPr>
        <w:t>.</w:t>
      </w:r>
    </w:p>
    <w:p w:rsidR="004B4D49" w:rsidRPr="00B1761F" w:rsidRDefault="004559B5" w:rsidP="007A58C5">
      <w:pPr>
        <w:keepNext/>
        <w:spacing w:before="100" w:beforeAutospacing="1" w:after="100" w:afterAutospacing="1"/>
        <w:ind w:left="567" w:hanging="567"/>
        <w:jc w:val="both"/>
        <w:rPr>
          <w:rFonts w:ascii="Book Antiqua" w:hAnsi="Book Antiqua"/>
          <w:b/>
          <w:u w:val="single"/>
        </w:rPr>
      </w:pPr>
      <w:bookmarkStart w:id="1" w:name="_GoBack"/>
      <w:bookmarkEnd w:id="1"/>
      <w:r w:rsidRPr="00B1761F">
        <w:rPr>
          <w:rFonts w:ascii="Book Antiqua" w:hAnsi="Book Antiqua"/>
          <w:b/>
          <w:u w:val="single"/>
        </w:rPr>
        <w:t>Discussion</w:t>
      </w:r>
      <w:r w:rsidR="00B1761F" w:rsidRPr="00B1761F">
        <w:rPr>
          <w:rFonts w:ascii="Book Antiqua" w:hAnsi="Book Antiqua"/>
          <w:b/>
          <w:u w:val="single"/>
        </w:rPr>
        <w:t xml:space="preserve"> and</w:t>
      </w:r>
      <w:r w:rsidR="004B4D49" w:rsidRPr="00B1761F">
        <w:rPr>
          <w:rFonts w:ascii="Book Antiqua" w:hAnsi="Book Antiqua"/>
          <w:b/>
          <w:u w:val="single"/>
        </w:rPr>
        <w:t xml:space="preserve"> conclusions</w:t>
      </w:r>
    </w:p>
    <w:p w:rsidR="004B4D49" w:rsidRDefault="00884846" w:rsidP="00B1761F">
      <w:pPr>
        <w:keepNext/>
        <w:spacing w:before="100" w:beforeAutospacing="1" w:after="100" w:afterAutospacing="1"/>
        <w:ind w:left="567" w:hanging="567"/>
        <w:jc w:val="both"/>
        <w:rPr>
          <w:rFonts w:ascii="Book Antiqua" w:hAnsi="Book Antiqua"/>
        </w:rPr>
      </w:pPr>
      <w:r>
        <w:rPr>
          <w:rFonts w:ascii="Book Antiqua" w:hAnsi="Book Antiqua"/>
        </w:rPr>
        <w:t>9</w:t>
      </w:r>
      <w:r w:rsidR="004B4D49">
        <w:rPr>
          <w:rFonts w:ascii="Book Antiqua" w:hAnsi="Book Antiqua"/>
        </w:rPr>
        <w:t>.</w:t>
      </w:r>
      <w:r w:rsidR="004B4D49">
        <w:rPr>
          <w:rFonts w:ascii="Book Antiqua" w:hAnsi="Book Antiqua"/>
        </w:rPr>
        <w:tab/>
        <w:t xml:space="preserve">I find that the judge erred in </w:t>
      </w:r>
      <w:r w:rsidR="004559B5">
        <w:rPr>
          <w:rFonts w:ascii="Book Antiqua" w:hAnsi="Book Antiqua"/>
        </w:rPr>
        <w:t>law</w:t>
      </w:r>
      <w:r w:rsidR="004B4D49">
        <w:rPr>
          <w:rFonts w:ascii="Book Antiqua" w:hAnsi="Book Antiqua"/>
        </w:rPr>
        <w:t xml:space="preserve"> in failing to have regard to </w:t>
      </w:r>
      <w:r w:rsidR="004559B5">
        <w:rPr>
          <w:rFonts w:ascii="Book Antiqua" w:hAnsi="Book Antiqua"/>
        </w:rPr>
        <w:t>paragraphs</w:t>
      </w:r>
      <w:r w:rsidR="004B4D49">
        <w:rPr>
          <w:rFonts w:ascii="Book Antiqua" w:hAnsi="Book Antiqua"/>
        </w:rPr>
        <w:t xml:space="preserve"> 17 and 18 of Annex K. Had the judge properly applied these paragraphs to the </w:t>
      </w:r>
      <w:r w:rsidR="004559B5">
        <w:rPr>
          <w:rFonts w:ascii="Book Antiqua" w:hAnsi="Book Antiqua"/>
        </w:rPr>
        <w:t>unchallenged</w:t>
      </w:r>
      <w:r w:rsidR="004B4D49">
        <w:rPr>
          <w:rFonts w:ascii="Book Antiqua" w:hAnsi="Book Antiqua"/>
        </w:rPr>
        <w:t xml:space="preserve"> </w:t>
      </w:r>
      <w:r w:rsidR="004559B5">
        <w:rPr>
          <w:rFonts w:ascii="Book Antiqua" w:hAnsi="Book Antiqua"/>
        </w:rPr>
        <w:t>evidence</w:t>
      </w:r>
      <w:r w:rsidR="004B4D49">
        <w:rPr>
          <w:rFonts w:ascii="Book Antiqua" w:hAnsi="Book Antiqua"/>
        </w:rPr>
        <w:t xml:space="preserve"> of the </w:t>
      </w:r>
      <w:r w:rsidR="004559B5">
        <w:rPr>
          <w:rFonts w:ascii="Book Antiqua" w:hAnsi="Book Antiqua"/>
        </w:rPr>
        <w:t>Appellant</w:t>
      </w:r>
      <w:r w:rsidR="004B4D49">
        <w:rPr>
          <w:rFonts w:ascii="Book Antiqua" w:hAnsi="Book Antiqua"/>
        </w:rPr>
        <w:t xml:space="preserve">’ </w:t>
      </w:r>
      <w:r w:rsidR="004559B5">
        <w:rPr>
          <w:rFonts w:ascii="Book Antiqua" w:hAnsi="Book Antiqua"/>
        </w:rPr>
        <w:t>mother</w:t>
      </w:r>
      <w:r w:rsidR="00B1761F">
        <w:rPr>
          <w:rFonts w:ascii="Book Antiqua" w:hAnsi="Book Antiqua"/>
        </w:rPr>
        <w:t>,</w:t>
      </w:r>
      <w:r w:rsidR="004B4D49">
        <w:rPr>
          <w:rFonts w:ascii="Book Antiqua" w:hAnsi="Book Antiqua"/>
        </w:rPr>
        <w:t xml:space="preserve"> that their father would have settle</w:t>
      </w:r>
      <w:r w:rsidR="00B1761F">
        <w:rPr>
          <w:rFonts w:ascii="Book Antiqua" w:hAnsi="Book Antiqua"/>
        </w:rPr>
        <w:t>d</w:t>
      </w:r>
      <w:r w:rsidR="004B4D49">
        <w:rPr>
          <w:rFonts w:ascii="Book Antiqua" w:hAnsi="Book Antiqua"/>
        </w:rPr>
        <w:t xml:space="preserve"> in the UK on </w:t>
      </w:r>
      <w:r w:rsidR="004559B5">
        <w:rPr>
          <w:rFonts w:ascii="Book Antiqua" w:hAnsi="Book Antiqua"/>
        </w:rPr>
        <w:t>retirement</w:t>
      </w:r>
      <w:r w:rsidR="00B1761F">
        <w:rPr>
          <w:rFonts w:ascii="Book Antiqua" w:hAnsi="Book Antiqua"/>
        </w:rPr>
        <w:t xml:space="preserve"> f</w:t>
      </w:r>
      <w:r w:rsidR="004B4D49">
        <w:rPr>
          <w:rFonts w:ascii="Book Antiqua" w:hAnsi="Book Antiqua"/>
        </w:rPr>
        <w:t>r</w:t>
      </w:r>
      <w:r w:rsidR="00B1761F">
        <w:rPr>
          <w:rFonts w:ascii="Book Antiqua" w:hAnsi="Book Antiqua"/>
        </w:rPr>
        <w:t>o</w:t>
      </w:r>
      <w:r w:rsidR="004B4D49">
        <w:rPr>
          <w:rFonts w:ascii="Book Antiqua" w:hAnsi="Book Antiqua"/>
        </w:rPr>
        <w:t xml:space="preserve">m the army, then she would have concluded that there was historic </w:t>
      </w:r>
      <w:r w:rsidR="004559B5">
        <w:rPr>
          <w:rFonts w:ascii="Book Antiqua" w:hAnsi="Book Antiqua"/>
        </w:rPr>
        <w:t>injustice</w:t>
      </w:r>
      <w:r w:rsidR="004B4D49">
        <w:rPr>
          <w:rFonts w:ascii="Book Antiqua" w:hAnsi="Book Antiqua"/>
        </w:rPr>
        <w:t xml:space="preserve"> in this case. Her </w:t>
      </w:r>
      <w:r w:rsidR="004559B5">
        <w:rPr>
          <w:rFonts w:ascii="Book Antiqua" w:hAnsi="Book Antiqua"/>
        </w:rPr>
        <w:t>conclusions</w:t>
      </w:r>
      <w:r w:rsidR="004B4D49">
        <w:rPr>
          <w:rFonts w:ascii="Book Antiqua" w:hAnsi="Book Antiqua"/>
        </w:rPr>
        <w:t xml:space="preserve"> at paragraph 35 demon</w:t>
      </w:r>
      <w:r w:rsidR="00B1761F">
        <w:rPr>
          <w:rFonts w:ascii="Book Antiqua" w:hAnsi="Book Antiqua"/>
        </w:rPr>
        <w:t>strated</w:t>
      </w:r>
      <w:r w:rsidR="004B4D49">
        <w:rPr>
          <w:rFonts w:ascii="Book Antiqua" w:hAnsi="Book Antiqua"/>
        </w:rPr>
        <w:t xml:space="preserve"> a </w:t>
      </w:r>
      <w:r w:rsidR="004559B5">
        <w:rPr>
          <w:rFonts w:ascii="Book Antiqua" w:hAnsi="Book Antiqua"/>
        </w:rPr>
        <w:t>misapplication</w:t>
      </w:r>
      <w:r w:rsidR="004B4D49">
        <w:rPr>
          <w:rFonts w:ascii="Book Antiqua" w:hAnsi="Book Antiqua"/>
        </w:rPr>
        <w:t xml:space="preserve"> of Annex K</w:t>
      </w:r>
      <w:r w:rsidR="00B1761F">
        <w:rPr>
          <w:rFonts w:ascii="Book Antiqua" w:hAnsi="Book Antiqua"/>
        </w:rPr>
        <w:t xml:space="preserve"> or a failure to consider</w:t>
      </w:r>
      <w:r w:rsidR="004B4D49">
        <w:rPr>
          <w:rFonts w:ascii="Book Antiqua" w:hAnsi="Book Antiqua"/>
        </w:rPr>
        <w:t xml:space="preserve"> </w:t>
      </w:r>
      <w:r w:rsidR="004559B5">
        <w:rPr>
          <w:rFonts w:ascii="Book Antiqua" w:hAnsi="Book Antiqua"/>
        </w:rPr>
        <w:t>paragraphs</w:t>
      </w:r>
      <w:r w:rsidR="004B4D49">
        <w:rPr>
          <w:rFonts w:ascii="Book Antiqua" w:hAnsi="Book Antiqua"/>
        </w:rPr>
        <w:t xml:space="preserve"> 17 and 18. The </w:t>
      </w:r>
      <w:r w:rsidR="004559B5">
        <w:rPr>
          <w:rFonts w:ascii="Book Antiqua" w:hAnsi="Book Antiqua"/>
        </w:rPr>
        <w:t>judge</w:t>
      </w:r>
      <w:r>
        <w:rPr>
          <w:rFonts w:ascii="Book Antiqua" w:hAnsi="Book Antiqua"/>
        </w:rPr>
        <w:t xml:space="preserve"> did</w:t>
      </w:r>
      <w:r w:rsidR="004B4D49">
        <w:rPr>
          <w:rFonts w:ascii="Book Antiqua" w:hAnsi="Book Antiqua"/>
        </w:rPr>
        <w:t xml:space="preserve"> not doubt the credibility of the </w:t>
      </w:r>
      <w:r w:rsidR="004559B5">
        <w:rPr>
          <w:rFonts w:ascii="Book Antiqua" w:hAnsi="Book Antiqua"/>
        </w:rPr>
        <w:t>Appellants’</w:t>
      </w:r>
      <w:r w:rsidR="00B1761F">
        <w:rPr>
          <w:rFonts w:ascii="Book Antiqua" w:hAnsi="Book Antiqua"/>
        </w:rPr>
        <w:t xml:space="preserve"> mother. There was no</w:t>
      </w:r>
      <w:r w:rsidR="004B4D49">
        <w:rPr>
          <w:rFonts w:ascii="Book Antiqua" w:hAnsi="Book Antiqua"/>
        </w:rPr>
        <w:t xml:space="preserve"> countervailing </w:t>
      </w:r>
      <w:r w:rsidR="004559B5">
        <w:rPr>
          <w:rFonts w:ascii="Book Antiqua" w:hAnsi="Book Antiqua"/>
        </w:rPr>
        <w:t xml:space="preserve">evidence </w:t>
      </w:r>
      <w:r w:rsidR="004B4D49">
        <w:rPr>
          <w:rFonts w:ascii="Book Antiqua" w:hAnsi="Book Antiqua"/>
        </w:rPr>
        <w:t xml:space="preserve">in this case. </w:t>
      </w:r>
    </w:p>
    <w:p w:rsidR="00B1761F" w:rsidRDefault="00884846" w:rsidP="004B4D49">
      <w:pPr>
        <w:keepNext/>
        <w:spacing w:before="100" w:beforeAutospacing="1" w:after="100" w:afterAutospacing="1"/>
        <w:ind w:left="567" w:hanging="567"/>
        <w:jc w:val="both"/>
        <w:rPr>
          <w:rFonts w:ascii="Book Antiqua" w:hAnsi="Book Antiqua"/>
        </w:rPr>
      </w:pPr>
      <w:r>
        <w:rPr>
          <w:rFonts w:ascii="Book Antiqua" w:hAnsi="Book Antiqua"/>
        </w:rPr>
        <w:t>10</w:t>
      </w:r>
      <w:r w:rsidR="004B4D49">
        <w:rPr>
          <w:rFonts w:ascii="Book Antiqua" w:hAnsi="Book Antiqua"/>
        </w:rPr>
        <w:t>.</w:t>
      </w:r>
      <w:r w:rsidR="004B4D49">
        <w:rPr>
          <w:rFonts w:ascii="Book Antiqua" w:hAnsi="Book Antiqua"/>
        </w:rPr>
        <w:tab/>
        <w:t xml:space="preserve">I find that the judge erred in law in failing to </w:t>
      </w:r>
      <w:r w:rsidR="004559B5">
        <w:rPr>
          <w:rFonts w:ascii="Book Antiqua" w:hAnsi="Book Antiqua"/>
        </w:rPr>
        <w:t>consider</w:t>
      </w:r>
      <w:r w:rsidR="004B4D49">
        <w:rPr>
          <w:rFonts w:ascii="Book Antiqua" w:hAnsi="Book Antiqua"/>
        </w:rPr>
        <w:t xml:space="preserve"> the historic injustice in assessing proportionality. I set aside the decision to dismiss the appeal and remake the </w:t>
      </w:r>
      <w:r w:rsidR="004559B5">
        <w:rPr>
          <w:rFonts w:ascii="Book Antiqua" w:hAnsi="Book Antiqua"/>
        </w:rPr>
        <w:t>decision</w:t>
      </w:r>
      <w:r w:rsidR="004B4D49">
        <w:rPr>
          <w:rFonts w:ascii="Book Antiqua" w:hAnsi="Book Antiqua"/>
        </w:rPr>
        <w:t xml:space="preserve"> as follows. </w:t>
      </w:r>
    </w:p>
    <w:p w:rsidR="004B35AD" w:rsidRDefault="00884846" w:rsidP="004B4D49">
      <w:pPr>
        <w:keepNext/>
        <w:spacing w:before="100" w:beforeAutospacing="1" w:after="100" w:afterAutospacing="1"/>
        <w:ind w:left="567" w:hanging="567"/>
        <w:jc w:val="both"/>
        <w:rPr>
          <w:rFonts w:ascii="Book Antiqua" w:hAnsi="Book Antiqua"/>
        </w:rPr>
      </w:pPr>
      <w:r>
        <w:rPr>
          <w:rFonts w:ascii="Book Antiqua" w:hAnsi="Book Antiqua"/>
        </w:rPr>
        <w:t>11</w:t>
      </w:r>
      <w:r w:rsidR="00B1761F">
        <w:rPr>
          <w:rFonts w:ascii="Book Antiqua" w:hAnsi="Book Antiqua"/>
        </w:rPr>
        <w:t>.</w:t>
      </w:r>
      <w:r w:rsidR="00B1761F">
        <w:rPr>
          <w:rFonts w:ascii="Book Antiqua" w:hAnsi="Book Antiqua"/>
        </w:rPr>
        <w:tab/>
        <w:t xml:space="preserve">The evidence of the Appellants’ mother was sufficient to satisfy paragraph 17 of Annex K and there was no countervailing evidence. I find that the Appellants’ father would have applied for settlement on retirement from the army had that option been available to him. The Appellants would have been born in the UK. </w:t>
      </w:r>
      <w:r w:rsidR="004B4D49">
        <w:rPr>
          <w:rFonts w:ascii="Book Antiqua" w:hAnsi="Book Antiqua"/>
        </w:rPr>
        <w:t>Apply</w:t>
      </w:r>
      <w:r w:rsidR="00B1761F">
        <w:rPr>
          <w:rFonts w:ascii="Book Antiqua" w:hAnsi="Book Antiqua"/>
        </w:rPr>
        <w:t>ing</w:t>
      </w:r>
      <w:r w:rsidR="004B4D49">
        <w:rPr>
          <w:rFonts w:ascii="Book Antiqua" w:hAnsi="Book Antiqua"/>
        </w:rPr>
        <w:t xml:space="preserve"> </w:t>
      </w:r>
      <w:r w:rsidR="004559B5" w:rsidRPr="00B1761F">
        <w:rPr>
          <w:rFonts w:ascii="Book Antiqua" w:hAnsi="Book Antiqua"/>
          <w:u w:val="single"/>
        </w:rPr>
        <w:t>Gurung</w:t>
      </w:r>
      <w:r w:rsidR="004B4D49">
        <w:rPr>
          <w:rFonts w:ascii="Book Antiqua" w:hAnsi="Book Antiqua"/>
        </w:rPr>
        <w:t xml:space="preserve"> and </w:t>
      </w:r>
      <w:r w:rsidR="004559B5" w:rsidRPr="00B1761F">
        <w:rPr>
          <w:rFonts w:ascii="Book Antiqua" w:hAnsi="Book Antiqua"/>
          <w:u w:val="single"/>
        </w:rPr>
        <w:t>Ghis</w:t>
      </w:r>
      <w:r w:rsidR="004B4D49" w:rsidRPr="00B1761F">
        <w:rPr>
          <w:rFonts w:ascii="Book Antiqua" w:hAnsi="Book Antiqua"/>
          <w:u w:val="single"/>
        </w:rPr>
        <w:t>ing</w:t>
      </w:r>
      <w:r w:rsidR="004B4D49">
        <w:rPr>
          <w:rFonts w:ascii="Book Antiqua" w:hAnsi="Book Antiqua"/>
        </w:rPr>
        <w:t xml:space="preserve"> to the facts of the Appellants</w:t>
      </w:r>
      <w:r w:rsidR="00B1761F">
        <w:rPr>
          <w:rFonts w:ascii="Book Antiqua" w:hAnsi="Book Antiqua"/>
        </w:rPr>
        <w:t>’</w:t>
      </w:r>
      <w:r w:rsidR="004B4D49">
        <w:rPr>
          <w:rFonts w:ascii="Book Antiqua" w:hAnsi="Book Antiqua"/>
        </w:rPr>
        <w:t xml:space="preserve"> case, the refusal of entry </w:t>
      </w:r>
      <w:r w:rsidR="004559B5">
        <w:rPr>
          <w:rFonts w:ascii="Book Antiqua" w:hAnsi="Book Antiqua"/>
        </w:rPr>
        <w:t>clearance</w:t>
      </w:r>
      <w:r w:rsidR="004B4D49">
        <w:rPr>
          <w:rFonts w:ascii="Book Antiqua" w:hAnsi="Book Antiqua"/>
        </w:rPr>
        <w:t xml:space="preserve"> was </w:t>
      </w:r>
      <w:r w:rsidR="004559B5">
        <w:rPr>
          <w:rFonts w:ascii="Book Antiqua" w:hAnsi="Book Antiqua"/>
        </w:rPr>
        <w:t>disproportionate</w:t>
      </w:r>
      <w:r w:rsidR="00B1761F">
        <w:rPr>
          <w:rFonts w:ascii="Book Antiqua" w:hAnsi="Book Antiqua"/>
        </w:rPr>
        <w:t>.</w:t>
      </w:r>
      <w:r w:rsidR="004B4D49">
        <w:rPr>
          <w:rFonts w:ascii="Book Antiqua" w:hAnsi="Book Antiqua"/>
        </w:rPr>
        <w:t xml:space="preserve"> I allow the Appellants’ appeals on Article 8 </w:t>
      </w:r>
      <w:r w:rsidR="004559B5">
        <w:rPr>
          <w:rFonts w:ascii="Book Antiqua" w:hAnsi="Book Antiqua"/>
        </w:rPr>
        <w:t>grounds</w:t>
      </w:r>
      <w:r w:rsidR="004B4D49">
        <w:rPr>
          <w:rFonts w:ascii="Book Antiqua" w:hAnsi="Book Antiqua"/>
        </w:rPr>
        <w:t>.</w:t>
      </w:r>
    </w:p>
    <w:p w:rsidR="004B4D49" w:rsidRPr="004B4D49" w:rsidRDefault="004B4D49" w:rsidP="004B4D49">
      <w:pPr>
        <w:keepNext/>
        <w:spacing w:before="100" w:beforeAutospacing="1" w:after="100" w:afterAutospacing="1"/>
        <w:ind w:left="567" w:hanging="567"/>
        <w:jc w:val="both"/>
        <w:rPr>
          <w:rFonts w:ascii="Book Antiqua" w:hAnsi="Book Antiqua"/>
        </w:rPr>
      </w:pPr>
    </w:p>
    <w:bookmarkEnd w:id="0"/>
    <w:p w:rsidR="00265B39" w:rsidRPr="004B6FC1" w:rsidRDefault="00265B39" w:rsidP="00265B39">
      <w:pPr>
        <w:jc w:val="both"/>
        <w:rPr>
          <w:rFonts w:ascii="Book Antiqua" w:hAnsi="Book Antiqua" w:cs="Arial"/>
          <w:b/>
          <w:u w:val="single"/>
        </w:rPr>
      </w:pPr>
      <w:r w:rsidRPr="004B6FC1">
        <w:rPr>
          <w:rFonts w:ascii="Book Antiqua" w:hAnsi="Book Antiqua" w:cs="Arial"/>
          <w:b/>
          <w:u w:val="single"/>
        </w:rPr>
        <w:t>Notice of Decision</w:t>
      </w:r>
    </w:p>
    <w:p w:rsidR="00265B39" w:rsidRPr="004B6FC1" w:rsidRDefault="00265B39" w:rsidP="00265B39">
      <w:pPr>
        <w:jc w:val="both"/>
        <w:rPr>
          <w:rFonts w:ascii="Book Antiqua" w:hAnsi="Book Antiqua" w:cs="Arial"/>
        </w:rPr>
      </w:pPr>
    </w:p>
    <w:p w:rsidR="00913820" w:rsidRPr="004B6FC1" w:rsidRDefault="00913820" w:rsidP="00913820">
      <w:pPr>
        <w:jc w:val="both"/>
        <w:rPr>
          <w:rFonts w:ascii="Book Antiqua" w:hAnsi="Book Antiqua"/>
        </w:rPr>
      </w:pPr>
      <w:r w:rsidRPr="004B6FC1">
        <w:rPr>
          <w:rFonts w:ascii="Book Antiqua" w:hAnsi="Book Antiqua" w:cs="Arial"/>
        </w:rPr>
        <w:t>The appeal</w:t>
      </w:r>
      <w:r w:rsidR="00393577">
        <w:rPr>
          <w:rFonts w:ascii="Book Antiqua" w:hAnsi="Book Antiqua" w:cs="Arial"/>
        </w:rPr>
        <w:t>s are</w:t>
      </w:r>
      <w:r w:rsidRPr="004B6FC1">
        <w:rPr>
          <w:rFonts w:ascii="Book Antiqua" w:hAnsi="Book Antiqua" w:cs="Arial"/>
        </w:rPr>
        <w:t xml:space="preserve"> </w:t>
      </w:r>
      <w:r w:rsidR="004B4D49">
        <w:rPr>
          <w:rFonts w:ascii="Book Antiqua" w:hAnsi="Book Antiqua" w:cs="Arial"/>
        </w:rPr>
        <w:t>allowed on human rights grounds</w:t>
      </w:r>
    </w:p>
    <w:p w:rsidR="00913820" w:rsidRPr="004B6FC1" w:rsidRDefault="00913820" w:rsidP="00913820">
      <w:pPr>
        <w:jc w:val="both"/>
        <w:rPr>
          <w:rFonts w:ascii="Book Antiqua" w:hAnsi="Book Antiqua" w:cs="Arial"/>
        </w:rPr>
      </w:pPr>
    </w:p>
    <w:p w:rsidR="00265B39" w:rsidRPr="004B6FC1" w:rsidRDefault="00265B39" w:rsidP="00265B39">
      <w:pPr>
        <w:jc w:val="both"/>
        <w:rPr>
          <w:rFonts w:ascii="Book Antiqua" w:hAnsi="Book Antiqua" w:cs="Arial"/>
        </w:rPr>
      </w:pPr>
      <w:r w:rsidRPr="004B6FC1">
        <w:rPr>
          <w:rFonts w:ascii="Book Antiqua" w:hAnsi="Book Antiqua" w:cs="Arial"/>
        </w:rPr>
        <w:t>No anonymity direction is made.</w:t>
      </w:r>
    </w:p>
    <w:p w:rsidR="00265B39" w:rsidRPr="004B6FC1" w:rsidRDefault="00265B39" w:rsidP="00265B39">
      <w:pPr>
        <w:jc w:val="both"/>
        <w:rPr>
          <w:rFonts w:ascii="Book Antiqua" w:hAnsi="Book Antiqua" w:cs="Arial"/>
        </w:rPr>
      </w:pPr>
    </w:p>
    <w:p w:rsidR="008616F5" w:rsidRDefault="008616F5" w:rsidP="00265B39">
      <w:pPr>
        <w:jc w:val="both"/>
        <w:rPr>
          <w:rFonts w:ascii="Book Antiqua" w:hAnsi="Book Antiqua" w:cs="Arial"/>
        </w:rPr>
      </w:pPr>
    </w:p>
    <w:p w:rsidR="00B1761F" w:rsidRPr="004B6FC1" w:rsidRDefault="00B1761F" w:rsidP="00265B39">
      <w:pPr>
        <w:jc w:val="both"/>
        <w:rPr>
          <w:rFonts w:ascii="Book Antiqua" w:hAnsi="Book Antiqua" w:cs="Arial"/>
        </w:rPr>
      </w:pPr>
    </w:p>
    <w:p w:rsidR="00A509FA" w:rsidRPr="004B4D49" w:rsidRDefault="004B4D49" w:rsidP="00265B39">
      <w:pPr>
        <w:jc w:val="both"/>
        <w:rPr>
          <w:rFonts w:ascii="Lucida Handwriting" w:hAnsi="Lucida Handwriting" w:cs="Arial"/>
          <w:b/>
          <w:sz w:val="28"/>
          <w:szCs w:val="28"/>
        </w:rPr>
      </w:pPr>
      <w:r>
        <w:rPr>
          <w:rFonts w:ascii="Book Antiqua" w:hAnsi="Book Antiqua" w:cs="Arial"/>
        </w:rPr>
        <w:tab/>
      </w:r>
      <w:r>
        <w:rPr>
          <w:rFonts w:ascii="Book Antiqua" w:hAnsi="Book Antiqua" w:cs="Arial"/>
        </w:rPr>
        <w:tab/>
      </w:r>
      <w:r>
        <w:rPr>
          <w:rFonts w:ascii="Book Antiqua" w:hAnsi="Book Antiqua" w:cs="Arial"/>
        </w:rPr>
        <w:tab/>
      </w:r>
      <w:r>
        <w:rPr>
          <w:rFonts w:ascii="Lucida Handwriting" w:hAnsi="Lucida Handwriting" w:cs="Arial"/>
          <w:b/>
          <w:sz w:val="28"/>
          <w:szCs w:val="28"/>
        </w:rPr>
        <w:t>J Frances</w:t>
      </w:r>
    </w:p>
    <w:p w:rsidR="00884846" w:rsidRDefault="00884846" w:rsidP="00265B39">
      <w:pPr>
        <w:jc w:val="both"/>
        <w:rPr>
          <w:rFonts w:ascii="Book Antiqua" w:hAnsi="Book Antiqua" w:cs="Arial"/>
        </w:rPr>
      </w:pPr>
    </w:p>
    <w:p w:rsidR="001F2716" w:rsidRPr="000704BB" w:rsidRDefault="00780F86" w:rsidP="00265B39">
      <w:pPr>
        <w:jc w:val="both"/>
        <w:rPr>
          <w:rFonts w:ascii="Book Antiqua" w:hAnsi="Book Antiqua" w:cs="Arial"/>
        </w:rPr>
      </w:pPr>
      <w:r w:rsidRPr="000704BB">
        <w:rPr>
          <w:rFonts w:ascii="Book Antiqua" w:hAnsi="Book Antiqua" w:cs="Arial"/>
        </w:rPr>
        <w:t>Signed</w:t>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001F2716" w:rsidRPr="000704BB">
        <w:rPr>
          <w:rFonts w:ascii="Book Antiqua" w:hAnsi="Book Antiqua" w:cs="Arial"/>
        </w:rPr>
        <w:t>Date</w:t>
      </w:r>
      <w:r w:rsidR="004B4D49">
        <w:rPr>
          <w:rFonts w:ascii="Book Antiqua" w:hAnsi="Book Antiqua" w:cs="Arial"/>
        </w:rPr>
        <w:t>: 25 May 2018</w:t>
      </w:r>
    </w:p>
    <w:p w:rsidR="00B1761F" w:rsidRDefault="00B1761F" w:rsidP="00265B39">
      <w:pPr>
        <w:jc w:val="both"/>
        <w:rPr>
          <w:rFonts w:ascii="Book Antiqua" w:hAnsi="Book Antiqua" w:cs="Arial"/>
        </w:rPr>
      </w:pPr>
    </w:p>
    <w:p w:rsidR="00B95326" w:rsidRDefault="0014366D" w:rsidP="00265B39">
      <w:pPr>
        <w:jc w:val="both"/>
        <w:rPr>
          <w:rFonts w:ascii="Book Antiqua" w:hAnsi="Book Antiqua" w:cs="Arial"/>
          <w:color w:val="000000"/>
        </w:rPr>
      </w:pPr>
      <w:r w:rsidRPr="00D03807">
        <w:rPr>
          <w:rFonts w:ascii="Book Antiqua" w:hAnsi="Book Antiqua" w:cs="Arial"/>
        </w:rPr>
        <w:t>Upper Tribunal Judge Frances</w:t>
      </w:r>
    </w:p>
    <w:p w:rsidR="004B4D49" w:rsidRDefault="004B4D49" w:rsidP="00265B39">
      <w:pPr>
        <w:jc w:val="both"/>
        <w:rPr>
          <w:rFonts w:ascii="Book Antiqua" w:hAnsi="Book Antiqua" w:cs="Arial"/>
          <w:color w:val="000000"/>
        </w:rPr>
      </w:pPr>
    </w:p>
    <w:p w:rsidR="004B4D49" w:rsidRDefault="004B4D49" w:rsidP="00265B39">
      <w:pPr>
        <w:jc w:val="both"/>
        <w:rPr>
          <w:rFonts w:ascii="Book Antiqua" w:hAnsi="Book Antiqua" w:cs="Arial"/>
          <w:color w:val="000000"/>
        </w:rPr>
      </w:pPr>
    </w:p>
    <w:p w:rsidR="00265B39" w:rsidRDefault="00265B39" w:rsidP="00FD7AE5">
      <w:pPr>
        <w:jc w:val="both"/>
        <w:rPr>
          <w:rFonts w:ascii="Book Antiqua" w:hAnsi="Book Antiqua" w:cs="Arial"/>
          <w:b/>
          <w:u w:val="single"/>
        </w:rPr>
      </w:pPr>
      <w:r>
        <w:rPr>
          <w:rFonts w:ascii="Book Antiqua" w:hAnsi="Book Antiqua" w:cs="Arial"/>
          <w:b/>
          <w:u w:val="single"/>
        </w:rPr>
        <w:t xml:space="preserve">TO THE </w:t>
      </w:r>
      <w:r w:rsidR="0063673C">
        <w:rPr>
          <w:rFonts w:ascii="Book Antiqua" w:hAnsi="Book Antiqua" w:cs="Arial"/>
          <w:b/>
          <w:u w:val="single"/>
        </w:rPr>
        <w:t>RESPONDENT</w:t>
      </w:r>
    </w:p>
    <w:p w:rsidR="00FD7AE5" w:rsidRDefault="00265B39" w:rsidP="00FD7AE5">
      <w:pPr>
        <w:jc w:val="both"/>
        <w:rPr>
          <w:rFonts w:ascii="Book Antiqua" w:hAnsi="Book Antiqua" w:cs="Arial"/>
        </w:rPr>
      </w:pPr>
      <w:r>
        <w:rPr>
          <w:rFonts w:ascii="Book Antiqua" w:hAnsi="Book Antiqua" w:cs="Arial"/>
          <w:b/>
          <w:u w:val="single"/>
        </w:rPr>
        <w:t>FEE AWARD</w:t>
      </w:r>
    </w:p>
    <w:p w:rsidR="00FD7AE5" w:rsidRDefault="00FD7AE5" w:rsidP="00FD7AE5">
      <w:pPr>
        <w:jc w:val="both"/>
        <w:rPr>
          <w:rFonts w:ascii="Book Antiqua" w:hAnsi="Book Antiqua" w:cs="Arial"/>
        </w:rPr>
      </w:pPr>
    </w:p>
    <w:p w:rsidR="00265B39" w:rsidRDefault="00265B39" w:rsidP="00FD7AE5">
      <w:pPr>
        <w:jc w:val="both"/>
        <w:rPr>
          <w:rFonts w:ascii="Book Antiqua" w:hAnsi="Book Antiqua" w:cs="Arial"/>
        </w:rPr>
      </w:pPr>
      <w:r>
        <w:rPr>
          <w:rFonts w:ascii="Book Antiqua" w:hAnsi="Book Antiqua" w:cs="Arial"/>
        </w:rPr>
        <w:t>As I have allowed the appeal and because a fee has been paid or is payable, I have considered making a fee award and have decided to make a whole fee award of £</w:t>
      </w:r>
      <w:r w:rsidR="004B4D49">
        <w:rPr>
          <w:rFonts w:ascii="Book Antiqua" w:hAnsi="Book Antiqua" w:cs="Arial"/>
        </w:rPr>
        <w:t>140.</w:t>
      </w:r>
    </w:p>
    <w:p w:rsidR="00265B39" w:rsidRDefault="00265B39" w:rsidP="00265B39">
      <w:pPr>
        <w:jc w:val="both"/>
        <w:rPr>
          <w:rFonts w:ascii="Book Antiqua" w:hAnsi="Book Antiqua" w:cs="Arial"/>
        </w:rPr>
      </w:pPr>
    </w:p>
    <w:p w:rsidR="00265B39" w:rsidRDefault="00265B39" w:rsidP="00265B39">
      <w:pPr>
        <w:jc w:val="both"/>
        <w:rPr>
          <w:rFonts w:ascii="Book Antiqua" w:hAnsi="Book Antiqua" w:cs="Arial"/>
        </w:rPr>
      </w:pPr>
    </w:p>
    <w:p w:rsidR="004B4D49" w:rsidRPr="004B4D49" w:rsidRDefault="004B4D49" w:rsidP="004B4D49">
      <w:pPr>
        <w:jc w:val="both"/>
        <w:rPr>
          <w:rFonts w:ascii="Lucida Handwriting" w:hAnsi="Lucida Handwriting" w:cs="Arial"/>
          <w:b/>
          <w:sz w:val="28"/>
          <w:szCs w:val="28"/>
        </w:rPr>
      </w:pPr>
      <w:r>
        <w:rPr>
          <w:rFonts w:ascii="Book Antiqua" w:hAnsi="Book Antiqua" w:cs="Arial"/>
        </w:rPr>
        <w:tab/>
      </w:r>
      <w:r>
        <w:rPr>
          <w:rFonts w:ascii="Book Antiqua" w:hAnsi="Book Antiqua" w:cs="Arial"/>
        </w:rPr>
        <w:tab/>
      </w:r>
      <w:r>
        <w:rPr>
          <w:rFonts w:ascii="Book Antiqua" w:hAnsi="Book Antiqua" w:cs="Arial"/>
        </w:rPr>
        <w:tab/>
      </w:r>
      <w:r>
        <w:rPr>
          <w:rFonts w:ascii="Lucida Handwriting" w:hAnsi="Lucida Handwriting" w:cs="Arial"/>
          <w:b/>
          <w:sz w:val="28"/>
          <w:szCs w:val="28"/>
        </w:rPr>
        <w:t>J Frances</w:t>
      </w:r>
    </w:p>
    <w:p w:rsidR="004B4D49" w:rsidRPr="000704BB" w:rsidRDefault="004B4D49" w:rsidP="004B4D49">
      <w:pPr>
        <w:jc w:val="both"/>
        <w:rPr>
          <w:rFonts w:ascii="Book Antiqua" w:hAnsi="Book Antiqua" w:cs="Arial"/>
        </w:rPr>
      </w:pPr>
      <w:r w:rsidRPr="000704BB">
        <w:rPr>
          <w:rFonts w:ascii="Book Antiqua" w:hAnsi="Book Antiqua" w:cs="Arial"/>
        </w:rPr>
        <w:t>Signed</w:t>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t>Date</w:t>
      </w:r>
      <w:r>
        <w:rPr>
          <w:rFonts w:ascii="Book Antiqua" w:hAnsi="Book Antiqua" w:cs="Arial"/>
        </w:rPr>
        <w:t>: 25 May 2018</w:t>
      </w:r>
    </w:p>
    <w:p w:rsidR="004B4D49" w:rsidRDefault="004B4D49" w:rsidP="004B4D49">
      <w:pPr>
        <w:jc w:val="both"/>
        <w:rPr>
          <w:rFonts w:ascii="Book Antiqua" w:hAnsi="Book Antiqua" w:cs="Arial"/>
        </w:rPr>
      </w:pPr>
    </w:p>
    <w:p w:rsidR="004B4D49" w:rsidRDefault="004B4D49" w:rsidP="004B4D49">
      <w:pPr>
        <w:jc w:val="both"/>
        <w:rPr>
          <w:rFonts w:ascii="Book Antiqua" w:hAnsi="Book Antiqua" w:cs="Arial"/>
          <w:color w:val="000000"/>
        </w:rPr>
      </w:pPr>
      <w:r w:rsidRPr="00D03807">
        <w:rPr>
          <w:rFonts w:ascii="Book Antiqua" w:hAnsi="Book Antiqua" w:cs="Arial"/>
        </w:rPr>
        <w:t>Upper Tribunal Judge Frances</w:t>
      </w:r>
    </w:p>
    <w:p w:rsidR="00B95326" w:rsidRPr="000704BB" w:rsidRDefault="00B95326" w:rsidP="00847320">
      <w:pPr>
        <w:jc w:val="both"/>
      </w:pPr>
    </w:p>
    <w:sectPr w:rsidR="00B95326" w:rsidRPr="000704BB" w:rsidSect="002C7AEF">
      <w:headerReference w:type="default" r:id="rId8"/>
      <w:footerReference w:type="default" r:id="rId9"/>
      <w:headerReference w:type="first" r:id="rId10"/>
      <w:footerReference w:type="first" r:id="rId11"/>
      <w:pgSz w:w="11906" w:h="16838"/>
      <w:pgMar w:top="56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65EF" w:rsidRDefault="00E965EF">
      <w:r>
        <w:separator/>
      </w:r>
    </w:p>
  </w:endnote>
  <w:endnote w:type="continuationSeparator" w:id="0">
    <w:p w:rsidR="00E965EF" w:rsidRDefault="00E965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2F03" w:rsidRPr="002C7AEF" w:rsidRDefault="001B2F03" w:rsidP="00593795">
    <w:pPr>
      <w:pStyle w:val="Footer"/>
      <w:jc w:val="center"/>
      <w:rPr>
        <w:rFonts w:ascii="Book Antiqua" w:hAnsi="Book Antiqua" w:cs="Arial"/>
      </w:rPr>
    </w:pPr>
    <w:r w:rsidRPr="002C7AEF">
      <w:rPr>
        <w:rStyle w:val="PageNumber"/>
        <w:rFonts w:ascii="Book Antiqua" w:hAnsi="Book Antiqua" w:cs="Arial"/>
      </w:rPr>
      <w:fldChar w:fldCharType="begin"/>
    </w:r>
    <w:r w:rsidRPr="002C7AEF">
      <w:rPr>
        <w:rStyle w:val="PageNumber"/>
        <w:rFonts w:ascii="Book Antiqua" w:hAnsi="Book Antiqua" w:cs="Arial"/>
      </w:rPr>
      <w:instrText xml:space="preserve"> PAGE </w:instrText>
    </w:r>
    <w:r w:rsidRPr="002C7AEF">
      <w:rPr>
        <w:rStyle w:val="PageNumber"/>
        <w:rFonts w:ascii="Book Antiqua" w:hAnsi="Book Antiqua" w:cs="Arial"/>
      </w:rPr>
      <w:fldChar w:fldCharType="separate"/>
    </w:r>
    <w:r w:rsidR="00EA640E">
      <w:rPr>
        <w:rStyle w:val="PageNumber"/>
        <w:rFonts w:ascii="Book Antiqua" w:hAnsi="Book Antiqua" w:cs="Arial"/>
        <w:noProof/>
      </w:rPr>
      <w:t>4</w:t>
    </w:r>
    <w:r w:rsidRPr="002C7AEF">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2F03" w:rsidRPr="002C7AEF" w:rsidRDefault="001B2F03" w:rsidP="00DE5E10">
    <w:pPr>
      <w:jc w:val="center"/>
      <w:rPr>
        <w:rFonts w:ascii="Book Antiqua" w:hAnsi="Book Antiqua" w:cs="Arial"/>
        <w:b/>
      </w:rPr>
    </w:pPr>
    <w:r w:rsidRPr="002C7AEF">
      <w:rPr>
        <w:rFonts w:ascii="Book Antiqua" w:hAnsi="Book Antiqua" w:cs="Arial"/>
        <w:b/>
        <w:spacing w:val="-6"/>
      </w:rPr>
      <w:t>©</w:t>
    </w:r>
    <w:r w:rsidRPr="002C7AEF">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65EF" w:rsidRDefault="00E965EF">
      <w:r>
        <w:separator/>
      </w:r>
    </w:p>
  </w:footnote>
  <w:footnote w:type="continuationSeparator" w:id="0">
    <w:p w:rsidR="00E965EF" w:rsidRDefault="00E965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2F03" w:rsidRDefault="001B2F03" w:rsidP="00593795">
    <w:pPr>
      <w:pStyle w:val="Header"/>
      <w:jc w:val="right"/>
      <w:rPr>
        <w:rFonts w:ascii="Book Antiqua" w:hAnsi="Book Antiqua" w:cs="Arial"/>
        <w:sz w:val="16"/>
        <w:szCs w:val="16"/>
      </w:rPr>
    </w:pPr>
    <w:r w:rsidRPr="000704BB">
      <w:rPr>
        <w:rFonts w:ascii="Book Antiqua" w:hAnsi="Book Antiqua" w:cs="Arial"/>
        <w:sz w:val="16"/>
        <w:szCs w:val="16"/>
      </w:rPr>
      <w:t>Appeal Number</w:t>
    </w:r>
    <w:r>
      <w:rPr>
        <w:rFonts w:ascii="Book Antiqua" w:hAnsi="Book Antiqua" w:cs="Arial"/>
        <w:sz w:val="16"/>
        <w:szCs w:val="16"/>
      </w:rPr>
      <w:t>s:</w:t>
    </w:r>
    <w:r w:rsidRPr="000704BB">
      <w:rPr>
        <w:rFonts w:ascii="Book Antiqua" w:hAnsi="Book Antiqua" w:cs="Arial"/>
        <w:sz w:val="16"/>
        <w:szCs w:val="16"/>
      </w:rPr>
      <w:t xml:space="preserve"> </w:t>
    </w:r>
    <w:r w:rsidR="003104BC">
      <w:rPr>
        <w:rFonts w:ascii="Book Antiqua" w:hAnsi="Book Antiqua" w:cs="Arial"/>
        <w:sz w:val="16"/>
        <w:szCs w:val="16"/>
      </w:rPr>
      <w:t xml:space="preserve"> HU/19209</w:t>
    </w:r>
    <w:r>
      <w:rPr>
        <w:rFonts w:ascii="Book Antiqua" w:hAnsi="Book Antiqua" w:cs="Arial"/>
        <w:sz w:val="16"/>
        <w:szCs w:val="16"/>
      </w:rPr>
      <w:t>/2016</w:t>
    </w:r>
  </w:p>
  <w:p w:rsidR="001B2F03" w:rsidRDefault="003104BC" w:rsidP="00593795">
    <w:pPr>
      <w:pStyle w:val="Header"/>
      <w:jc w:val="right"/>
      <w:rPr>
        <w:rFonts w:ascii="Book Antiqua" w:hAnsi="Book Antiqua" w:cs="Arial"/>
        <w:sz w:val="16"/>
        <w:szCs w:val="16"/>
      </w:rPr>
    </w:pPr>
    <w:r>
      <w:rPr>
        <w:rFonts w:ascii="Book Antiqua" w:hAnsi="Book Antiqua" w:cs="Arial"/>
        <w:sz w:val="16"/>
        <w:szCs w:val="16"/>
      </w:rPr>
      <w:t>HU/19212</w:t>
    </w:r>
    <w:r w:rsidR="001B2F03">
      <w:rPr>
        <w:rFonts w:ascii="Book Antiqua" w:hAnsi="Book Antiqua" w:cs="Arial"/>
        <w:sz w:val="16"/>
        <w:szCs w:val="16"/>
      </w:rPr>
      <w:t>/2016</w:t>
    </w:r>
  </w:p>
  <w:p w:rsidR="001B2F03" w:rsidRPr="00024D27" w:rsidRDefault="001B2F03"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2F03" w:rsidRPr="000704BB" w:rsidRDefault="001B2F03">
    <w:pPr>
      <w:pStyle w:val="Header"/>
      <w:rPr>
        <w:rFonts w:ascii="Book Antiqua" w:hAnsi="Book Antiqua"/>
      </w:rPr>
    </w:pPr>
    <w:r w:rsidRPr="000704BB">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4225B3"/>
    <w:multiLevelType w:val="hybridMultilevel"/>
    <w:tmpl w:val="0B32D3E0"/>
    <w:lvl w:ilvl="0" w:tplc="08090001">
      <w:start w:val="1"/>
      <w:numFmt w:val="bullet"/>
      <w:lvlText w:val=""/>
      <w:lvlJc w:val="left"/>
      <w:pPr>
        <w:ind w:left="2423" w:hanging="360"/>
      </w:pPr>
      <w:rPr>
        <w:rFonts w:ascii="Symbol" w:hAnsi="Symbol" w:hint="default"/>
      </w:rPr>
    </w:lvl>
    <w:lvl w:ilvl="1" w:tplc="08090003" w:tentative="1">
      <w:start w:val="1"/>
      <w:numFmt w:val="bullet"/>
      <w:lvlText w:val="o"/>
      <w:lvlJc w:val="left"/>
      <w:pPr>
        <w:ind w:left="3143" w:hanging="360"/>
      </w:pPr>
      <w:rPr>
        <w:rFonts w:ascii="Courier New" w:hAnsi="Courier New" w:cs="Courier New" w:hint="default"/>
      </w:rPr>
    </w:lvl>
    <w:lvl w:ilvl="2" w:tplc="08090005" w:tentative="1">
      <w:start w:val="1"/>
      <w:numFmt w:val="bullet"/>
      <w:lvlText w:val=""/>
      <w:lvlJc w:val="left"/>
      <w:pPr>
        <w:ind w:left="3863" w:hanging="360"/>
      </w:pPr>
      <w:rPr>
        <w:rFonts w:ascii="Wingdings" w:hAnsi="Wingdings" w:hint="default"/>
      </w:rPr>
    </w:lvl>
    <w:lvl w:ilvl="3" w:tplc="08090001" w:tentative="1">
      <w:start w:val="1"/>
      <w:numFmt w:val="bullet"/>
      <w:lvlText w:val=""/>
      <w:lvlJc w:val="left"/>
      <w:pPr>
        <w:ind w:left="4583" w:hanging="360"/>
      </w:pPr>
      <w:rPr>
        <w:rFonts w:ascii="Symbol" w:hAnsi="Symbol" w:hint="default"/>
      </w:rPr>
    </w:lvl>
    <w:lvl w:ilvl="4" w:tplc="08090003" w:tentative="1">
      <w:start w:val="1"/>
      <w:numFmt w:val="bullet"/>
      <w:lvlText w:val="o"/>
      <w:lvlJc w:val="left"/>
      <w:pPr>
        <w:ind w:left="5303" w:hanging="360"/>
      </w:pPr>
      <w:rPr>
        <w:rFonts w:ascii="Courier New" w:hAnsi="Courier New" w:cs="Courier New" w:hint="default"/>
      </w:rPr>
    </w:lvl>
    <w:lvl w:ilvl="5" w:tplc="08090005" w:tentative="1">
      <w:start w:val="1"/>
      <w:numFmt w:val="bullet"/>
      <w:lvlText w:val=""/>
      <w:lvlJc w:val="left"/>
      <w:pPr>
        <w:ind w:left="6023" w:hanging="360"/>
      </w:pPr>
      <w:rPr>
        <w:rFonts w:ascii="Wingdings" w:hAnsi="Wingdings" w:hint="default"/>
      </w:rPr>
    </w:lvl>
    <w:lvl w:ilvl="6" w:tplc="08090001" w:tentative="1">
      <w:start w:val="1"/>
      <w:numFmt w:val="bullet"/>
      <w:lvlText w:val=""/>
      <w:lvlJc w:val="left"/>
      <w:pPr>
        <w:ind w:left="6743" w:hanging="360"/>
      </w:pPr>
      <w:rPr>
        <w:rFonts w:ascii="Symbol" w:hAnsi="Symbol" w:hint="default"/>
      </w:rPr>
    </w:lvl>
    <w:lvl w:ilvl="7" w:tplc="08090003" w:tentative="1">
      <w:start w:val="1"/>
      <w:numFmt w:val="bullet"/>
      <w:lvlText w:val="o"/>
      <w:lvlJc w:val="left"/>
      <w:pPr>
        <w:ind w:left="7463" w:hanging="360"/>
      </w:pPr>
      <w:rPr>
        <w:rFonts w:ascii="Courier New" w:hAnsi="Courier New" w:cs="Courier New" w:hint="default"/>
      </w:rPr>
    </w:lvl>
    <w:lvl w:ilvl="8" w:tplc="08090005" w:tentative="1">
      <w:start w:val="1"/>
      <w:numFmt w:val="bullet"/>
      <w:lvlText w:val=""/>
      <w:lvlJc w:val="left"/>
      <w:pPr>
        <w:ind w:left="8183" w:hanging="360"/>
      </w:pPr>
      <w:rPr>
        <w:rFonts w:ascii="Wingdings" w:hAnsi="Wingdings" w:hint="default"/>
      </w:rPr>
    </w:lvl>
  </w:abstractNum>
  <w:abstractNum w:abstractNumId="1" w15:restartNumberingAfterBreak="0">
    <w:nsid w:val="576912A6"/>
    <w:multiLevelType w:val="hybridMultilevel"/>
    <w:tmpl w:val="29C494C8"/>
    <w:lvl w:ilvl="0" w:tplc="08090001">
      <w:start w:val="1"/>
      <w:numFmt w:val="bullet"/>
      <w:lvlText w:val=""/>
      <w:lvlJc w:val="left"/>
      <w:pPr>
        <w:ind w:left="2409" w:hanging="360"/>
      </w:pPr>
      <w:rPr>
        <w:rFonts w:ascii="Symbol" w:hAnsi="Symbol" w:hint="default"/>
      </w:rPr>
    </w:lvl>
    <w:lvl w:ilvl="1" w:tplc="08090003" w:tentative="1">
      <w:start w:val="1"/>
      <w:numFmt w:val="bullet"/>
      <w:lvlText w:val="o"/>
      <w:lvlJc w:val="left"/>
      <w:pPr>
        <w:ind w:left="3129" w:hanging="360"/>
      </w:pPr>
      <w:rPr>
        <w:rFonts w:ascii="Courier New" w:hAnsi="Courier New" w:cs="Courier New" w:hint="default"/>
      </w:rPr>
    </w:lvl>
    <w:lvl w:ilvl="2" w:tplc="08090005" w:tentative="1">
      <w:start w:val="1"/>
      <w:numFmt w:val="bullet"/>
      <w:lvlText w:val=""/>
      <w:lvlJc w:val="left"/>
      <w:pPr>
        <w:ind w:left="3849" w:hanging="360"/>
      </w:pPr>
      <w:rPr>
        <w:rFonts w:ascii="Wingdings" w:hAnsi="Wingdings" w:hint="default"/>
      </w:rPr>
    </w:lvl>
    <w:lvl w:ilvl="3" w:tplc="08090001" w:tentative="1">
      <w:start w:val="1"/>
      <w:numFmt w:val="bullet"/>
      <w:lvlText w:val=""/>
      <w:lvlJc w:val="left"/>
      <w:pPr>
        <w:ind w:left="4569" w:hanging="360"/>
      </w:pPr>
      <w:rPr>
        <w:rFonts w:ascii="Symbol" w:hAnsi="Symbol" w:hint="default"/>
      </w:rPr>
    </w:lvl>
    <w:lvl w:ilvl="4" w:tplc="08090003" w:tentative="1">
      <w:start w:val="1"/>
      <w:numFmt w:val="bullet"/>
      <w:lvlText w:val="o"/>
      <w:lvlJc w:val="left"/>
      <w:pPr>
        <w:ind w:left="5289" w:hanging="360"/>
      </w:pPr>
      <w:rPr>
        <w:rFonts w:ascii="Courier New" w:hAnsi="Courier New" w:cs="Courier New" w:hint="default"/>
      </w:rPr>
    </w:lvl>
    <w:lvl w:ilvl="5" w:tplc="08090005" w:tentative="1">
      <w:start w:val="1"/>
      <w:numFmt w:val="bullet"/>
      <w:lvlText w:val=""/>
      <w:lvlJc w:val="left"/>
      <w:pPr>
        <w:ind w:left="6009" w:hanging="360"/>
      </w:pPr>
      <w:rPr>
        <w:rFonts w:ascii="Wingdings" w:hAnsi="Wingdings" w:hint="default"/>
      </w:rPr>
    </w:lvl>
    <w:lvl w:ilvl="6" w:tplc="08090001" w:tentative="1">
      <w:start w:val="1"/>
      <w:numFmt w:val="bullet"/>
      <w:lvlText w:val=""/>
      <w:lvlJc w:val="left"/>
      <w:pPr>
        <w:ind w:left="6729" w:hanging="360"/>
      </w:pPr>
      <w:rPr>
        <w:rFonts w:ascii="Symbol" w:hAnsi="Symbol" w:hint="default"/>
      </w:rPr>
    </w:lvl>
    <w:lvl w:ilvl="7" w:tplc="08090003" w:tentative="1">
      <w:start w:val="1"/>
      <w:numFmt w:val="bullet"/>
      <w:lvlText w:val="o"/>
      <w:lvlJc w:val="left"/>
      <w:pPr>
        <w:ind w:left="7449" w:hanging="360"/>
      </w:pPr>
      <w:rPr>
        <w:rFonts w:ascii="Courier New" w:hAnsi="Courier New" w:cs="Courier New" w:hint="default"/>
      </w:rPr>
    </w:lvl>
    <w:lvl w:ilvl="8" w:tplc="08090005" w:tentative="1">
      <w:start w:val="1"/>
      <w:numFmt w:val="bullet"/>
      <w:lvlText w:val=""/>
      <w:lvlJc w:val="left"/>
      <w:pPr>
        <w:ind w:left="816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16F"/>
    <w:rsid w:val="00000621"/>
    <w:rsid w:val="000036C2"/>
    <w:rsid w:val="00004FC6"/>
    <w:rsid w:val="00024D27"/>
    <w:rsid w:val="00033D3D"/>
    <w:rsid w:val="00046259"/>
    <w:rsid w:val="000472AC"/>
    <w:rsid w:val="000553C8"/>
    <w:rsid w:val="00062F02"/>
    <w:rsid w:val="000704BB"/>
    <w:rsid w:val="00071A7E"/>
    <w:rsid w:val="000746C0"/>
    <w:rsid w:val="00074D1D"/>
    <w:rsid w:val="00081737"/>
    <w:rsid w:val="00092580"/>
    <w:rsid w:val="00093D4D"/>
    <w:rsid w:val="000A2B4E"/>
    <w:rsid w:val="000B5144"/>
    <w:rsid w:val="000D5D94"/>
    <w:rsid w:val="000F1A0E"/>
    <w:rsid w:val="00112EC1"/>
    <w:rsid w:val="00113556"/>
    <w:rsid w:val="001165A7"/>
    <w:rsid w:val="00117E31"/>
    <w:rsid w:val="001361F9"/>
    <w:rsid w:val="0014065D"/>
    <w:rsid w:val="0014366D"/>
    <w:rsid w:val="00144C70"/>
    <w:rsid w:val="00150C5F"/>
    <w:rsid w:val="00160536"/>
    <w:rsid w:val="00163E87"/>
    <w:rsid w:val="00167D3A"/>
    <w:rsid w:val="0018549B"/>
    <w:rsid w:val="00185FD1"/>
    <w:rsid w:val="00190911"/>
    <w:rsid w:val="001A07E6"/>
    <w:rsid w:val="001A3082"/>
    <w:rsid w:val="001A346A"/>
    <w:rsid w:val="001A68A3"/>
    <w:rsid w:val="001B186A"/>
    <w:rsid w:val="001B2F03"/>
    <w:rsid w:val="001B2F75"/>
    <w:rsid w:val="001C2D96"/>
    <w:rsid w:val="001C5B44"/>
    <w:rsid w:val="001D78DF"/>
    <w:rsid w:val="001F2716"/>
    <w:rsid w:val="00207617"/>
    <w:rsid w:val="0021721E"/>
    <w:rsid w:val="0022369D"/>
    <w:rsid w:val="0023134B"/>
    <w:rsid w:val="00256895"/>
    <w:rsid w:val="00265B39"/>
    <w:rsid w:val="00283659"/>
    <w:rsid w:val="002A0895"/>
    <w:rsid w:val="002A661D"/>
    <w:rsid w:val="002C6BD4"/>
    <w:rsid w:val="002C7AEF"/>
    <w:rsid w:val="002D5312"/>
    <w:rsid w:val="002D68BF"/>
    <w:rsid w:val="002E2FF1"/>
    <w:rsid w:val="002F4FF0"/>
    <w:rsid w:val="002F6B98"/>
    <w:rsid w:val="0030347D"/>
    <w:rsid w:val="00305E86"/>
    <w:rsid w:val="003104BC"/>
    <w:rsid w:val="00316F3F"/>
    <w:rsid w:val="0033240F"/>
    <w:rsid w:val="00336CBF"/>
    <w:rsid w:val="00343FE3"/>
    <w:rsid w:val="003546C8"/>
    <w:rsid w:val="00356224"/>
    <w:rsid w:val="003710D6"/>
    <w:rsid w:val="0039262C"/>
    <w:rsid w:val="00393577"/>
    <w:rsid w:val="003A194F"/>
    <w:rsid w:val="003A67A4"/>
    <w:rsid w:val="003A7CF2"/>
    <w:rsid w:val="003C5CE5"/>
    <w:rsid w:val="003E267B"/>
    <w:rsid w:val="003E530F"/>
    <w:rsid w:val="003E5F40"/>
    <w:rsid w:val="003E7CD1"/>
    <w:rsid w:val="00402B9E"/>
    <w:rsid w:val="004249CB"/>
    <w:rsid w:val="0044127D"/>
    <w:rsid w:val="004448DB"/>
    <w:rsid w:val="00446C9A"/>
    <w:rsid w:val="00452F2B"/>
    <w:rsid w:val="004559B5"/>
    <w:rsid w:val="00462C42"/>
    <w:rsid w:val="00477193"/>
    <w:rsid w:val="004A107D"/>
    <w:rsid w:val="004A1848"/>
    <w:rsid w:val="004A3A42"/>
    <w:rsid w:val="004A6F4A"/>
    <w:rsid w:val="004B35AD"/>
    <w:rsid w:val="004B488A"/>
    <w:rsid w:val="004B4D49"/>
    <w:rsid w:val="004B6FC1"/>
    <w:rsid w:val="004C731A"/>
    <w:rsid w:val="004D3ACC"/>
    <w:rsid w:val="004D5558"/>
    <w:rsid w:val="004E0F3D"/>
    <w:rsid w:val="004E4717"/>
    <w:rsid w:val="004F03CA"/>
    <w:rsid w:val="00507FEC"/>
    <w:rsid w:val="00510F0E"/>
    <w:rsid w:val="00535861"/>
    <w:rsid w:val="005479E1"/>
    <w:rsid w:val="00553E0A"/>
    <w:rsid w:val="005570FD"/>
    <w:rsid w:val="005575EA"/>
    <w:rsid w:val="0057790C"/>
    <w:rsid w:val="00580FC5"/>
    <w:rsid w:val="0058562F"/>
    <w:rsid w:val="00593795"/>
    <w:rsid w:val="005A75FF"/>
    <w:rsid w:val="005C2522"/>
    <w:rsid w:val="005D10AB"/>
    <w:rsid w:val="00601D8F"/>
    <w:rsid w:val="0062519A"/>
    <w:rsid w:val="0063673C"/>
    <w:rsid w:val="00643BFC"/>
    <w:rsid w:val="00647A89"/>
    <w:rsid w:val="00653E97"/>
    <w:rsid w:val="006701F7"/>
    <w:rsid w:val="00684A74"/>
    <w:rsid w:val="00690B8A"/>
    <w:rsid w:val="006D7E96"/>
    <w:rsid w:val="006F2CF1"/>
    <w:rsid w:val="007038ED"/>
    <w:rsid w:val="00703BC3"/>
    <w:rsid w:val="00704B61"/>
    <w:rsid w:val="0071355E"/>
    <w:rsid w:val="00715828"/>
    <w:rsid w:val="00750E2B"/>
    <w:rsid w:val="00754932"/>
    <w:rsid w:val="007552A9"/>
    <w:rsid w:val="00761858"/>
    <w:rsid w:val="00767D59"/>
    <w:rsid w:val="00776E97"/>
    <w:rsid w:val="0077715E"/>
    <w:rsid w:val="00780F86"/>
    <w:rsid w:val="007912AD"/>
    <w:rsid w:val="007952AC"/>
    <w:rsid w:val="00797649"/>
    <w:rsid w:val="007A58C5"/>
    <w:rsid w:val="007B0824"/>
    <w:rsid w:val="007B1310"/>
    <w:rsid w:val="007B5D3C"/>
    <w:rsid w:val="007F2A46"/>
    <w:rsid w:val="00806249"/>
    <w:rsid w:val="00821B72"/>
    <w:rsid w:val="00823EF2"/>
    <w:rsid w:val="008303B8"/>
    <w:rsid w:val="00830442"/>
    <w:rsid w:val="00833DCE"/>
    <w:rsid w:val="00847320"/>
    <w:rsid w:val="008513DA"/>
    <w:rsid w:val="008616F5"/>
    <w:rsid w:val="00871D34"/>
    <w:rsid w:val="00884846"/>
    <w:rsid w:val="008A5D70"/>
    <w:rsid w:val="008B1ACE"/>
    <w:rsid w:val="008B270C"/>
    <w:rsid w:val="008B5078"/>
    <w:rsid w:val="008C095E"/>
    <w:rsid w:val="008C2148"/>
    <w:rsid w:val="008C3D3D"/>
    <w:rsid w:val="008C61E2"/>
    <w:rsid w:val="008D4131"/>
    <w:rsid w:val="008E45AC"/>
    <w:rsid w:val="008F1932"/>
    <w:rsid w:val="008F341C"/>
    <w:rsid w:val="0090339A"/>
    <w:rsid w:val="00913820"/>
    <w:rsid w:val="00921062"/>
    <w:rsid w:val="00922C55"/>
    <w:rsid w:val="00937A36"/>
    <w:rsid w:val="00951CD0"/>
    <w:rsid w:val="00963566"/>
    <w:rsid w:val="009722BC"/>
    <w:rsid w:val="009727A3"/>
    <w:rsid w:val="00977FC0"/>
    <w:rsid w:val="00987774"/>
    <w:rsid w:val="00994E23"/>
    <w:rsid w:val="009A11E8"/>
    <w:rsid w:val="009C16B5"/>
    <w:rsid w:val="009D3D00"/>
    <w:rsid w:val="009E21C5"/>
    <w:rsid w:val="009E78DF"/>
    <w:rsid w:val="009F1FDF"/>
    <w:rsid w:val="009F4A7D"/>
    <w:rsid w:val="009F5220"/>
    <w:rsid w:val="00A15234"/>
    <w:rsid w:val="00A201AB"/>
    <w:rsid w:val="00A24F4E"/>
    <w:rsid w:val="00A31C8B"/>
    <w:rsid w:val="00A509FA"/>
    <w:rsid w:val="00A71C11"/>
    <w:rsid w:val="00A845DC"/>
    <w:rsid w:val="00AC6977"/>
    <w:rsid w:val="00AD159E"/>
    <w:rsid w:val="00B1111A"/>
    <w:rsid w:val="00B1761F"/>
    <w:rsid w:val="00B26AA2"/>
    <w:rsid w:val="00B3524D"/>
    <w:rsid w:val="00B40F69"/>
    <w:rsid w:val="00B46616"/>
    <w:rsid w:val="00B50B64"/>
    <w:rsid w:val="00B65D5C"/>
    <w:rsid w:val="00B7040A"/>
    <w:rsid w:val="00B75883"/>
    <w:rsid w:val="00B83391"/>
    <w:rsid w:val="00B95326"/>
    <w:rsid w:val="00BD02B4"/>
    <w:rsid w:val="00BD4196"/>
    <w:rsid w:val="00BE5645"/>
    <w:rsid w:val="00BE75BE"/>
    <w:rsid w:val="00BF22CA"/>
    <w:rsid w:val="00BF23BB"/>
    <w:rsid w:val="00C033F5"/>
    <w:rsid w:val="00C20139"/>
    <w:rsid w:val="00C26032"/>
    <w:rsid w:val="00C30E3C"/>
    <w:rsid w:val="00C345E1"/>
    <w:rsid w:val="00C43BFD"/>
    <w:rsid w:val="00C50D86"/>
    <w:rsid w:val="00C643A0"/>
    <w:rsid w:val="00C77BDD"/>
    <w:rsid w:val="00C84C83"/>
    <w:rsid w:val="00C86051"/>
    <w:rsid w:val="00C93A95"/>
    <w:rsid w:val="00CA76FD"/>
    <w:rsid w:val="00CB6E35"/>
    <w:rsid w:val="00CE1A46"/>
    <w:rsid w:val="00CE2D36"/>
    <w:rsid w:val="00D14641"/>
    <w:rsid w:val="00D17CC5"/>
    <w:rsid w:val="00D20757"/>
    <w:rsid w:val="00D22636"/>
    <w:rsid w:val="00D32962"/>
    <w:rsid w:val="00D40FD9"/>
    <w:rsid w:val="00D41C8C"/>
    <w:rsid w:val="00D51E34"/>
    <w:rsid w:val="00D53769"/>
    <w:rsid w:val="00D6169E"/>
    <w:rsid w:val="00D85C13"/>
    <w:rsid w:val="00D90090"/>
    <w:rsid w:val="00D9111A"/>
    <w:rsid w:val="00D91BE3"/>
    <w:rsid w:val="00D94AFC"/>
    <w:rsid w:val="00DB70AE"/>
    <w:rsid w:val="00DC4FF6"/>
    <w:rsid w:val="00DD5071"/>
    <w:rsid w:val="00DD5C39"/>
    <w:rsid w:val="00DE5E10"/>
    <w:rsid w:val="00DE616F"/>
    <w:rsid w:val="00DE7DB7"/>
    <w:rsid w:val="00E00A0A"/>
    <w:rsid w:val="00E066DE"/>
    <w:rsid w:val="00E07F57"/>
    <w:rsid w:val="00E21F28"/>
    <w:rsid w:val="00E30683"/>
    <w:rsid w:val="00E30EA5"/>
    <w:rsid w:val="00E31173"/>
    <w:rsid w:val="00E453D8"/>
    <w:rsid w:val="00E458EF"/>
    <w:rsid w:val="00E50813"/>
    <w:rsid w:val="00E50BCE"/>
    <w:rsid w:val="00E574BF"/>
    <w:rsid w:val="00E61292"/>
    <w:rsid w:val="00E65853"/>
    <w:rsid w:val="00E77C4D"/>
    <w:rsid w:val="00E81D01"/>
    <w:rsid w:val="00E82DA7"/>
    <w:rsid w:val="00E870EF"/>
    <w:rsid w:val="00E902D9"/>
    <w:rsid w:val="00E965EF"/>
    <w:rsid w:val="00EA3675"/>
    <w:rsid w:val="00EA640E"/>
    <w:rsid w:val="00EE45D8"/>
    <w:rsid w:val="00F22EDA"/>
    <w:rsid w:val="00F36E98"/>
    <w:rsid w:val="00F517D0"/>
    <w:rsid w:val="00F77F3F"/>
    <w:rsid w:val="00F9433B"/>
    <w:rsid w:val="00FA3933"/>
    <w:rsid w:val="00FA6AAF"/>
    <w:rsid w:val="00FB791E"/>
    <w:rsid w:val="00FD7AE5"/>
    <w:rsid w:val="00FE46AA"/>
    <w:rsid w:val="00FF7B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4:docId w14:val="782CA22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paralevel1">
    <w:name w:val="paralevel1"/>
    <w:basedOn w:val="Normal"/>
    <w:rsid w:val="0090339A"/>
    <w:pPr>
      <w:spacing w:before="100" w:beforeAutospacing="1" w:after="100" w:afterAutospacing="1"/>
    </w:pPr>
  </w:style>
  <w:style w:type="paragraph" w:customStyle="1" w:styleId="msoquote0">
    <w:name w:val="msoquote"/>
    <w:basedOn w:val="Normal"/>
    <w:rsid w:val="0077715E"/>
    <w:pPr>
      <w:spacing w:before="100" w:beforeAutospacing="1" w:after="100" w:afterAutospacing="1"/>
    </w:pPr>
  </w:style>
  <w:style w:type="paragraph" w:customStyle="1" w:styleId="paranonumber">
    <w:name w:val="paranonumber"/>
    <w:basedOn w:val="Normal"/>
    <w:rsid w:val="0077715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2162818">
      <w:bodyDiv w:val="1"/>
      <w:marLeft w:val="0"/>
      <w:marRight w:val="0"/>
      <w:marTop w:val="0"/>
      <w:marBottom w:val="0"/>
      <w:divBdr>
        <w:top w:val="none" w:sz="0" w:space="0" w:color="auto"/>
        <w:left w:val="none" w:sz="0" w:space="0" w:color="auto"/>
        <w:bottom w:val="none" w:sz="0" w:space="0" w:color="auto"/>
        <w:right w:val="none" w:sz="0" w:space="0" w:color="auto"/>
      </w:divBdr>
    </w:div>
    <w:div w:id="1583441761">
      <w:bodyDiv w:val="1"/>
      <w:marLeft w:val="0"/>
      <w:marRight w:val="0"/>
      <w:marTop w:val="0"/>
      <w:marBottom w:val="0"/>
      <w:divBdr>
        <w:top w:val="none" w:sz="0" w:space="0" w:color="auto"/>
        <w:left w:val="none" w:sz="0" w:space="0" w:color="auto"/>
        <w:bottom w:val="none" w:sz="0" w:space="0" w:color="auto"/>
        <w:right w:val="none" w:sz="0" w:space="0" w:color="auto"/>
      </w:divBdr>
    </w:div>
    <w:div w:id="1940872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1050</Words>
  <Characters>5429</Characters>
  <Application>Microsoft Office Word</Application>
  <DocSecurity>0</DocSecurity>
  <Lines>45</Lines>
  <Paragraphs>12</Paragraphs>
  <ScaleCrop>false</ScaleCrop>
  <Company/>
  <LinksUpToDate>false</LinksUpToDate>
  <CharactersWithSpaces>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2018-07-04T12:11:00Z</dcterms:created>
  <dcterms:modified xsi:type="dcterms:W3CDTF">2018-07-04T12:11:00Z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