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5136B" w14:textId="77777777" w:rsidR="008A6059" w:rsidRPr="009B7433" w:rsidRDefault="003D3FEA" w:rsidP="008A6059">
      <w:pPr>
        <w:jc w:val="center"/>
        <w:rPr>
          <w:rFonts w:ascii="Book Antiqua" w:hAnsi="Book Antiqua" w:cs="Arial"/>
          <w:caps/>
          <w:color w:val="000000"/>
          <w:sz w:val="16"/>
          <w:szCs w:val="16"/>
        </w:rPr>
      </w:pPr>
      <w:r>
        <w:rPr>
          <w:noProof/>
          <w:lang w:val="en-US" w:eastAsia="en-US"/>
        </w:rPr>
        <w:drawing>
          <wp:inline distT="0" distB="0" distL="0" distR="0" wp14:anchorId="07D16A3E" wp14:editId="07E584CC">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3A56E6A2" w14:textId="33EDBC4D" w:rsidR="00D94AFC" w:rsidRPr="009B7433" w:rsidRDefault="00D94AFC">
      <w:pPr>
        <w:rPr>
          <w:rFonts w:ascii="Book Antiqua" w:hAnsi="Book Antiqua" w:cs="Arial"/>
          <w:color w:val="000000"/>
          <w:sz w:val="16"/>
          <w:szCs w:val="16"/>
        </w:rPr>
      </w:pPr>
    </w:p>
    <w:p w14:paraId="0B91C0C9"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719D93B1" w14:textId="77777777"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BF2F03">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BF2F03">
        <w:rPr>
          <w:rFonts w:ascii="Book Antiqua" w:hAnsi="Book Antiqua" w:cs="Arial"/>
          <w:caps/>
          <w:color w:val="000000"/>
        </w:rPr>
        <w:t>HU/19600/2016</w:t>
      </w:r>
    </w:p>
    <w:p w14:paraId="4537E1BD" w14:textId="77777777" w:rsidR="00BF2F03" w:rsidRDefault="00BF2F03" w:rsidP="00780F86">
      <w:pPr>
        <w:tabs>
          <w:tab w:val="right" w:pos="9720"/>
        </w:tabs>
        <w:ind w:right="-82"/>
        <w:rPr>
          <w:rFonts w:ascii="Book Antiqua" w:hAnsi="Book Antiqua" w:cs="Arial"/>
          <w:caps/>
          <w:color w:val="000000"/>
        </w:rPr>
      </w:pPr>
      <w:r>
        <w:rPr>
          <w:rFonts w:ascii="Book Antiqua" w:hAnsi="Book Antiqua" w:cs="Arial"/>
          <w:caps/>
          <w:color w:val="000000"/>
        </w:rPr>
        <w:tab/>
        <w:t>HU/19618/2016</w:t>
      </w:r>
    </w:p>
    <w:p w14:paraId="0BDBF3FE" w14:textId="77777777" w:rsidR="00BF2F03" w:rsidRDefault="00BF2F03" w:rsidP="00780F86">
      <w:pPr>
        <w:tabs>
          <w:tab w:val="right" w:pos="9720"/>
        </w:tabs>
        <w:ind w:right="-82"/>
        <w:rPr>
          <w:rFonts w:ascii="Book Antiqua" w:hAnsi="Book Antiqua" w:cs="Arial"/>
          <w:caps/>
          <w:color w:val="000000"/>
        </w:rPr>
      </w:pPr>
      <w:r>
        <w:rPr>
          <w:rFonts w:ascii="Book Antiqua" w:hAnsi="Book Antiqua" w:cs="Arial"/>
          <w:caps/>
          <w:color w:val="000000"/>
        </w:rPr>
        <w:tab/>
        <w:t>HU/19626/2016</w:t>
      </w:r>
    </w:p>
    <w:p w14:paraId="102C1312" w14:textId="77777777" w:rsidR="00BF2F03" w:rsidRPr="009B7433" w:rsidRDefault="00BF2F03" w:rsidP="00780F86">
      <w:pPr>
        <w:tabs>
          <w:tab w:val="right" w:pos="9720"/>
        </w:tabs>
        <w:ind w:right="-82"/>
        <w:rPr>
          <w:rFonts w:ascii="Book Antiqua" w:hAnsi="Book Antiqua" w:cs="Arial"/>
          <w:color w:val="000000"/>
        </w:rPr>
      </w:pPr>
      <w:r>
        <w:rPr>
          <w:rFonts w:ascii="Book Antiqua" w:hAnsi="Book Antiqua" w:cs="Arial"/>
          <w:caps/>
          <w:color w:val="000000"/>
        </w:rPr>
        <w:tab/>
        <w:t>HU/19638/2016</w:t>
      </w:r>
    </w:p>
    <w:p w14:paraId="05E44B12" w14:textId="178907EC" w:rsidR="00C345E1" w:rsidRDefault="00C345E1" w:rsidP="00C345E1">
      <w:pPr>
        <w:jc w:val="center"/>
        <w:rPr>
          <w:rFonts w:ascii="Book Antiqua" w:hAnsi="Book Antiqua" w:cs="Arial"/>
          <w:color w:val="000000"/>
        </w:rPr>
      </w:pPr>
    </w:p>
    <w:p w14:paraId="7F01971D" w14:textId="77777777" w:rsidR="00F52278" w:rsidRPr="009B7433" w:rsidRDefault="00F52278" w:rsidP="00C345E1">
      <w:pPr>
        <w:jc w:val="center"/>
        <w:rPr>
          <w:rFonts w:ascii="Book Antiqua" w:hAnsi="Book Antiqua" w:cs="Arial"/>
          <w:color w:val="000000"/>
        </w:rPr>
      </w:pPr>
    </w:p>
    <w:p w14:paraId="2220A77D"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59C637DB" w14:textId="026ABA66" w:rsidR="00C345E1" w:rsidRDefault="00C345E1" w:rsidP="00B22718">
      <w:pPr>
        <w:rPr>
          <w:rFonts w:ascii="Book Antiqua" w:hAnsi="Book Antiqua" w:cs="Arial"/>
          <w:b/>
          <w:u w:val="single"/>
        </w:rPr>
      </w:pPr>
    </w:p>
    <w:p w14:paraId="537D9F50" w14:textId="77777777" w:rsidR="00F52278" w:rsidRPr="009B7433" w:rsidRDefault="00F52278" w:rsidP="00B22718">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7C9B6623" w14:textId="77777777" w:rsidTr="00D949B7">
        <w:tc>
          <w:tcPr>
            <w:tcW w:w="6048" w:type="dxa"/>
          </w:tcPr>
          <w:p w14:paraId="2459B769"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BF2F03">
              <w:rPr>
                <w:rFonts w:ascii="Book Antiqua" w:hAnsi="Book Antiqua" w:cs="Arial"/>
                <w:b/>
              </w:rPr>
              <w:t>Field House</w:t>
            </w:r>
          </w:p>
        </w:tc>
        <w:tc>
          <w:tcPr>
            <w:tcW w:w="3960" w:type="dxa"/>
          </w:tcPr>
          <w:p w14:paraId="20DDEB5F"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0C921D25" w14:textId="77777777" w:rsidTr="00D949B7">
        <w:tc>
          <w:tcPr>
            <w:tcW w:w="6048" w:type="dxa"/>
          </w:tcPr>
          <w:p w14:paraId="70AA499E"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BF2F03">
              <w:rPr>
                <w:rFonts w:ascii="Book Antiqua" w:hAnsi="Book Antiqua" w:cs="Arial"/>
                <w:b/>
              </w:rPr>
              <w:t>2 August 2018</w:t>
            </w:r>
          </w:p>
        </w:tc>
        <w:tc>
          <w:tcPr>
            <w:tcW w:w="3960" w:type="dxa"/>
          </w:tcPr>
          <w:p w14:paraId="4FD72ACF" w14:textId="6CA34B3B" w:rsidR="00D22636" w:rsidRPr="009B7433" w:rsidRDefault="00AC3BAD" w:rsidP="00AC3BAD">
            <w:pPr>
              <w:rPr>
                <w:rFonts w:ascii="Book Antiqua" w:hAnsi="Book Antiqua" w:cs="Arial"/>
                <w:b/>
              </w:rPr>
            </w:pPr>
            <w:r>
              <w:rPr>
                <w:rFonts w:ascii="Book Antiqua" w:hAnsi="Book Antiqua" w:cs="Arial"/>
                <w:b/>
              </w:rPr>
              <w:t>On 30 August 2018</w:t>
            </w:r>
          </w:p>
        </w:tc>
      </w:tr>
      <w:tr w:rsidR="00D22636" w:rsidRPr="009B7433" w14:paraId="46956640" w14:textId="77777777" w:rsidTr="00D949B7">
        <w:tc>
          <w:tcPr>
            <w:tcW w:w="6048" w:type="dxa"/>
          </w:tcPr>
          <w:p w14:paraId="5C74D507" w14:textId="77777777" w:rsidR="00D22636" w:rsidRPr="009B7433" w:rsidRDefault="00D22636" w:rsidP="004A1848">
            <w:pPr>
              <w:jc w:val="both"/>
              <w:rPr>
                <w:rFonts w:ascii="Book Antiqua" w:hAnsi="Book Antiqua" w:cs="Arial"/>
                <w:b/>
              </w:rPr>
            </w:pPr>
          </w:p>
        </w:tc>
        <w:tc>
          <w:tcPr>
            <w:tcW w:w="3960" w:type="dxa"/>
          </w:tcPr>
          <w:p w14:paraId="091D5D6A" w14:textId="28AB1820" w:rsidR="00D22636" w:rsidRPr="009B7433" w:rsidRDefault="00D22636" w:rsidP="004A1848">
            <w:pPr>
              <w:jc w:val="both"/>
              <w:rPr>
                <w:rFonts w:ascii="Book Antiqua" w:hAnsi="Book Antiqua" w:cs="Arial"/>
                <w:b/>
              </w:rPr>
            </w:pPr>
          </w:p>
        </w:tc>
      </w:tr>
    </w:tbl>
    <w:p w14:paraId="6C808EAC" w14:textId="77777777" w:rsidR="00A15234" w:rsidRPr="009B7433" w:rsidRDefault="00A15234" w:rsidP="00B22718">
      <w:pPr>
        <w:rPr>
          <w:rFonts w:ascii="Book Antiqua" w:hAnsi="Book Antiqua" w:cs="Arial"/>
        </w:rPr>
      </w:pPr>
    </w:p>
    <w:p w14:paraId="1AEE4C21"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2EB5A57" w14:textId="77777777" w:rsidR="00A15234" w:rsidRPr="009B7433" w:rsidRDefault="00A15234" w:rsidP="00A15234">
      <w:pPr>
        <w:jc w:val="center"/>
        <w:rPr>
          <w:rFonts w:ascii="Book Antiqua" w:hAnsi="Book Antiqua" w:cs="Arial"/>
          <w:b/>
        </w:rPr>
      </w:pPr>
    </w:p>
    <w:p w14:paraId="59F598F7"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3DFA2202" w14:textId="04E864F2" w:rsidR="00D20757" w:rsidRDefault="00D20757" w:rsidP="00A15234">
      <w:pPr>
        <w:jc w:val="center"/>
        <w:rPr>
          <w:rFonts w:ascii="Book Antiqua" w:hAnsi="Book Antiqua" w:cs="Arial"/>
          <w:b/>
        </w:rPr>
      </w:pPr>
    </w:p>
    <w:p w14:paraId="627539C8" w14:textId="77777777" w:rsidR="00F52278" w:rsidRPr="009B7433" w:rsidRDefault="00F52278" w:rsidP="00A15234">
      <w:pPr>
        <w:jc w:val="center"/>
        <w:rPr>
          <w:rFonts w:ascii="Book Antiqua" w:hAnsi="Book Antiqua" w:cs="Arial"/>
          <w:b/>
        </w:rPr>
      </w:pPr>
    </w:p>
    <w:p w14:paraId="3FF77E3E"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14B2F05C" w14:textId="77777777" w:rsidR="00A845DC" w:rsidRPr="009B7433" w:rsidRDefault="00A845DC" w:rsidP="00A15234">
      <w:pPr>
        <w:jc w:val="center"/>
        <w:rPr>
          <w:rFonts w:ascii="Book Antiqua" w:hAnsi="Book Antiqua" w:cs="Arial"/>
          <w:b/>
        </w:rPr>
      </w:pPr>
    </w:p>
    <w:p w14:paraId="2FBBB91D" w14:textId="58445390" w:rsidR="00A845DC" w:rsidRDefault="0024719D" w:rsidP="00A15234">
      <w:pPr>
        <w:jc w:val="center"/>
        <w:rPr>
          <w:rFonts w:ascii="Book Antiqua" w:hAnsi="Book Antiqua" w:cs="Arial"/>
          <w:b/>
          <w:caps/>
        </w:rPr>
      </w:pPr>
      <w:r>
        <w:rPr>
          <w:rFonts w:ascii="Book Antiqua" w:hAnsi="Book Antiqua" w:cs="Arial"/>
          <w:b/>
          <w:caps/>
        </w:rPr>
        <w:t xml:space="preserve"> r m</w:t>
      </w:r>
      <w:r w:rsidR="00CB759A">
        <w:rPr>
          <w:rFonts w:ascii="Book Antiqua" w:hAnsi="Book Antiqua" w:cs="Arial"/>
          <w:b/>
          <w:caps/>
        </w:rPr>
        <w:t xml:space="preserve"> (first appellant)</w:t>
      </w:r>
    </w:p>
    <w:p w14:paraId="4FB95025" w14:textId="487FCB74" w:rsidR="00BF2F03" w:rsidRDefault="0024719D" w:rsidP="00A15234">
      <w:pPr>
        <w:jc w:val="center"/>
        <w:rPr>
          <w:rFonts w:ascii="Book Antiqua" w:hAnsi="Book Antiqua" w:cs="Arial"/>
          <w:b/>
          <w:caps/>
        </w:rPr>
      </w:pPr>
      <w:r>
        <w:rPr>
          <w:rFonts w:ascii="Book Antiqua" w:hAnsi="Book Antiqua" w:cs="Arial"/>
          <w:b/>
          <w:caps/>
        </w:rPr>
        <w:t xml:space="preserve"> o j</w:t>
      </w:r>
      <w:r w:rsidR="00CB759A">
        <w:rPr>
          <w:rFonts w:ascii="Book Antiqua" w:hAnsi="Book Antiqua" w:cs="Arial"/>
          <w:b/>
          <w:caps/>
        </w:rPr>
        <w:t xml:space="preserve"> (second appellant)</w:t>
      </w:r>
    </w:p>
    <w:p w14:paraId="134487A4" w14:textId="5159F348" w:rsidR="00BF2F03" w:rsidRDefault="0024719D" w:rsidP="00A15234">
      <w:pPr>
        <w:jc w:val="center"/>
        <w:rPr>
          <w:rFonts w:ascii="Book Antiqua" w:hAnsi="Book Antiqua" w:cs="Arial"/>
          <w:b/>
          <w:caps/>
        </w:rPr>
      </w:pPr>
      <w:r>
        <w:rPr>
          <w:rFonts w:ascii="Book Antiqua" w:hAnsi="Book Antiqua" w:cs="Arial"/>
          <w:b/>
          <w:caps/>
        </w:rPr>
        <w:t xml:space="preserve"> t l</w:t>
      </w:r>
      <w:r w:rsidR="00CB759A">
        <w:rPr>
          <w:rFonts w:ascii="Book Antiqua" w:hAnsi="Book Antiqua" w:cs="Arial"/>
          <w:b/>
          <w:caps/>
        </w:rPr>
        <w:t xml:space="preserve"> (third appellant)</w:t>
      </w:r>
    </w:p>
    <w:p w14:paraId="47145D25" w14:textId="60D86AAB" w:rsidR="00BF2F03" w:rsidRDefault="0024719D" w:rsidP="00A15234">
      <w:pPr>
        <w:jc w:val="center"/>
        <w:rPr>
          <w:rFonts w:ascii="Book Antiqua" w:hAnsi="Book Antiqua" w:cs="Arial"/>
          <w:b/>
          <w:caps/>
        </w:rPr>
      </w:pPr>
      <w:r>
        <w:rPr>
          <w:rFonts w:ascii="Book Antiqua" w:hAnsi="Book Antiqua" w:cs="Arial"/>
          <w:b/>
          <w:caps/>
        </w:rPr>
        <w:t xml:space="preserve"> f</w:t>
      </w:r>
      <w:r w:rsidR="00BF2F03">
        <w:rPr>
          <w:rFonts w:ascii="Book Antiqua" w:hAnsi="Book Antiqua" w:cs="Arial"/>
          <w:b/>
          <w:caps/>
        </w:rPr>
        <w:t xml:space="preserve"> </w:t>
      </w:r>
      <w:r>
        <w:rPr>
          <w:rFonts w:ascii="Book Antiqua" w:hAnsi="Book Antiqua" w:cs="Arial"/>
          <w:b/>
          <w:caps/>
        </w:rPr>
        <w:t>j</w:t>
      </w:r>
      <w:r w:rsidR="00CB759A">
        <w:rPr>
          <w:rFonts w:ascii="Book Antiqua" w:hAnsi="Book Antiqua" w:cs="Arial"/>
          <w:b/>
          <w:caps/>
        </w:rPr>
        <w:t xml:space="preserve"> (fourth appellant)</w:t>
      </w:r>
    </w:p>
    <w:p w14:paraId="7346219D" w14:textId="77777777" w:rsidR="00D949B7" w:rsidRPr="00F52278" w:rsidRDefault="00D949B7" w:rsidP="00D949B7">
      <w:pPr>
        <w:jc w:val="center"/>
        <w:rPr>
          <w:rFonts w:ascii="Book Antiqua" w:hAnsi="Book Antiqua" w:cs="Arial"/>
          <w:b/>
          <w:caps/>
          <w:sz w:val="22"/>
        </w:rPr>
      </w:pPr>
      <w:r w:rsidRPr="00F52278">
        <w:rPr>
          <w:rFonts w:ascii="Book Antiqua" w:hAnsi="Book Antiqua" w:cs="Arial"/>
          <w:b/>
          <w:caps/>
          <w:sz w:val="22"/>
        </w:rPr>
        <w:t>(ANONYMITY DIRECTION</w:t>
      </w:r>
      <w:r w:rsidR="00B22718" w:rsidRPr="00F52278">
        <w:rPr>
          <w:rFonts w:ascii="Book Antiqua" w:hAnsi="Book Antiqua" w:cs="Arial"/>
          <w:b/>
          <w:caps/>
          <w:sz w:val="22"/>
        </w:rPr>
        <w:t xml:space="preserve"> made</w:t>
      </w:r>
      <w:r w:rsidRPr="00F52278">
        <w:rPr>
          <w:rFonts w:ascii="Book Antiqua" w:hAnsi="Book Antiqua" w:cs="Arial"/>
          <w:b/>
          <w:caps/>
          <w:sz w:val="22"/>
        </w:rPr>
        <w:t>)</w:t>
      </w:r>
    </w:p>
    <w:p w14:paraId="4B5623F5"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BF2F03">
        <w:rPr>
          <w:rFonts w:ascii="Book Antiqua" w:hAnsi="Book Antiqua" w:cs="Arial"/>
          <w:u w:val="single"/>
        </w:rPr>
        <w:t>s</w:t>
      </w:r>
    </w:p>
    <w:p w14:paraId="42AE509C"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34574C03" w14:textId="77777777" w:rsidR="00DD5071" w:rsidRPr="009B7433" w:rsidRDefault="00DD5071" w:rsidP="00704B61">
      <w:pPr>
        <w:jc w:val="center"/>
        <w:rPr>
          <w:rFonts w:ascii="Book Antiqua" w:hAnsi="Book Antiqua" w:cs="Arial"/>
          <w:b/>
        </w:rPr>
      </w:pPr>
    </w:p>
    <w:p w14:paraId="140BD2AE"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14:paraId="5E074C36"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5903AC07" w14:textId="77777777" w:rsidR="00DD5071" w:rsidRPr="009B7433" w:rsidRDefault="00DD5071" w:rsidP="00DD5071">
      <w:pPr>
        <w:rPr>
          <w:rFonts w:ascii="Book Antiqua" w:hAnsi="Book Antiqua" w:cs="Arial"/>
          <w:u w:val="single"/>
        </w:rPr>
      </w:pPr>
    </w:p>
    <w:p w14:paraId="6C91C220" w14:textId="77777777" w:rsidR="00B22718" w:rsidRPr="00B22718" w:rsidRDefault="00B22718" w:rsidP="00B22718">
      <w:pPr>
        <w:spacing w:before="240"/>
        <w:jc w:val="both"/>
        <w:rPr>
          <w:rFonts w:ascii="Book Antiqua" w:hAnsi="Book Antiqua" w:cs="Arial"/>
          <w:b/>
        </w:rPr>
      </w:pPr>
      <w:r w:rsidRPr="00B22718">
        <w:rPr>
          <w:rFonts w:ascii="Book Antiqua" w:hAnsi="Book Antiqua" w:cs="Arial"/>
          <w:b/>
          <w:u w:val="single"/>
        </w:rPr>
        <w:t>Direction Regarding Anonymity – Rule 14 of the Tribunal Procedure (Upper Tribunal) Rules 2008</w:t>
      </w:r>
    </w:p>
    <w:p w14:paraId="2ED139B1" w14:textId="77777777" w:rsidR="00B22718" w:rsidRPr="00B22718" w:rsidRDefault="00B22718" w:rsidP="00B22718">
      <w:pPr>
        <w:spacing w:before="240"/>
        <w:jc w:val="both"/>
        <w:rPr>
          <w:rFonts w:ascii="Book Antiqua" w:hAnsi="Book Antiqua" w:cs="Arial"/>
          <w:b/>
        </w:rPr>
      </w:pPr>
      <w:r w:rsidRPr="00B22718">
        <w:rPr>
          <w:rFonts w:ascii="Book Antiqua" w:hAnsi="Book Antiqua" w:cs="Arial"/>
          <w:b/>
        </w:rPr>
        <w:t xml:space="preserve">Unless and </w:t>
      </w:r>
      <w:r w:rsidRPr="00B22718">
        <w:rPr>
          <w:rFonts w:ascii="Book Antiqua" w:hAnsi="Book Antiqua"/>
          <w:b/>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2B9EFCB7" w14:textId="77777777" w:rsidR="00B22718" w:rsidRDefault="00B22718" w:rsidP="00DD5071">
      <w:pPr>
        <w:rPr>
          <w:rFonts w:ascii="Book Antiqua" w:hAnsi="Book Antiqua" w:cs="Arial"/>
          <w:u w:val="single"/>
        </w:rPr>
      </w:pPr>
    </w:p>
    <w:p w14:paraId="0D51C1EA" w14:textId="77777777" w:rsidR="00B22718" w:rsidRPr="009B7433" w:rsidRDefault="00B22718" w:rsidP="00DD5071">
      <w:pPr>
        <w:rPr>
          <w:rFonts w:ascii="Book Antiqua" w:hAnsi="Book Antiqua" w:cs="Arial"/>
          <w:u w:val="single"/>
        </w:rPr>
      </w:pPr>
    </w:p>
    <w:p w14:paraId="1488E1C9"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6463CACB" w14:textId="77777777" w:rsidR="00DE7DB7" w:rsidRPr="009B7433" w:rsidRDefault="00DE7DB7" w:rsidP="00F52278">
      <w:pPr>
        <w:ind w:left="2552" w:hanging="2552"/>
        <w:rPr>
          <w:rFonts w:ascii="Book Antiqua" w:hAnsi="Book Antiqua" w:cs="Arial"/>
        </w:rPr>
      </w:pPr>
      <w:r w:rsidRPr="009B7433">
        <w:rPr>
          <w:rFonts w:ascii="Book Antiqua" w:hAnsi="Book Antiqua" w:cs="Arial"/>
        </w:rPr>
        <w:t>For the Appellant</w:t>
      </w:r>
      <w:r w:rsidR="00BF2F03">
        <w:rPr>
          <w:rFonts w:ascii="Book Antiqua" w:hAnsi="Book Antiqua" w:cs="Arial"/>
        </w:rPr>
        <w:t>s</w:t>
      </w:r>
      <w:r w:rsidRPr="009B7433">
        <w:rPr>
          <w:rFonts w:ascii="Book Antiqua" w:hAnsi="Book Antiqua" w:cs="Arial"/>
        </w:rPr>
        <w:t>:</w:t>
      </w:r>
      <w:r w:rsidRPr="009B7433">
        <w:rPr>
          <w:rFonts w:ascii="Book Antiqua" w:hAnsi="Book Antiqua" w:cs="Arial"/>
        </w:rPr>
        <w:tab/>
      </w:r>
      <w:r w:rsidR="00BF2F03">
        <w:rPr>
          <w:rFonts w:ascii="Book Antiqua" w:hAnsi="Book Antiqua" w:cs="Arial"/>
        </w:rPr>
        <w:t xml:space="preserve">Mr M </w:t>
      </w:r>
      <w:proofErr w:type="gramStart"/>
      <w:r w:rsidR="00BF2F03">
        <w:rPr>
          <w:rFonts w:ascii="Book Antiqua" w:hAnsi="Book Antiqua" w:cs="Arial"/>
        </w:rPr>
        <w:t>A</w:t>
      </w:r>
      <w:proofErr w:type="gramEnd"/>
      <w:r w:rsidR="00BF2F03">
        <w:rPr>
          <w:rFonts w:ascii="Book Antiqua" w:hAnsi="Book Antiqua" w:cs="Arial"/>
        </w:rPr>
        <w:t xml:space="preserve"> Muid Khan, Legal Representative</w:t>
      </w:r>
      <w:r w:rsidR="00B22718">
        <w:rPr>
          <w:rFonts w:ascii="Book Antiqua" w:hAnsi="Book Antiqua" w:cs="Arial"/>
        </w:rPr>
        <w:t xml:space="preserve"> from Lincoln’s Chambers Solicitors</w:t>
      </w:r>
    </w:p>
    <w:p w14:paraId="6367C3D5" w14:textId="77777777" w:rsidR="00DE7DB7" w:rsidRPr="009B7433" w:rsidRDefault="00DE7DB7" w:rsidP="00F52278">
      <w:pPr>
        <w:tabs>
          <w:tab w:val="left" w:pos="2552"/>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BF2F03">
        <w:rPr>
          <w:rFonts w:ascii="Book Antiqua" w:hAnsi="Book Antiqua" w:cs="Arial"/>
        </w:rPr>
        <w:t>Mr T Melvin,</w:t>
      </w:r>
      <w:r w:rsidR="00B22718">
        <w:rPr>
          <w:rFonts w:ascii="Book Antiqua" w:hAnsi="Book Antiqua" w:cs="Arial"/>
        </w:rPr>
        <w:t xml:space="preserve"> Senior</w:t>
      </w:r>
      <w:r w:rsidR="00BF2F03">
        <w:rPr>
          <w:rFonts w:ascii="Book Antiqua" w:hAnsi="Book Antiqua" w:cs="Arial"/>
        </w:rPr>
        <w:t xml:space="preserve"> Home Office Presenting Officer</w:t>
      </w:r>
    </w:p>
    <w:p w14:paraId="1ED0A669" w14:textId="77777777" w:rsidR="00DE7DB7" w:rsidRPr="009B7433" w:rsidRDefault="00DE7DB7" w:rsidP="00D609F4">
      <w:pPr>
        <w:jc w:val="center"/>
        <w:rPr>
          <w:rFonts w:ascii="Book Antiqua" w:hAnsi="Book Antiqua" w:cs="Arial"/>
        </w:rPr>
      </w:pPr>
    </w:p>
    <w:p w14:paraId="4624CDF9" w14:textId="77777777" w:rsidR="0004071D" w:rsidRDefault="0004071D" w:rsidP="004D6B45">
      <w:pPr>
        <w:tabs>
          <w:tab w:val="left" w:pos="2520"/>
        </w:tabs>
        <w:jc w:val="center"/>
        <w:rPr>
          <w:rFonts w:ascii="Book Antiqua" w:hAnsi="Book Antiqua" w:cs="Arial"/>
          <w:b/>
          <w:u w:val="single"/>
        </w:rPr>
      </w:pPr>
    </w:p>
    <w:p w14:paraId="0CFEA446"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1FF0CA9A" w14:textId="77777777" w:rsidR="00D609F4" w:rsidRDefault="00BF2F03" w:rsidP="00CD4CF3">
      <w:pPr>
        <w:numPr>
          <w:ilvl w:val="0"/>
          <w:numId w:val="1"/>
        </w:numPr>
        <w:tabs>
          <w:tab w:val="clear" w:pos="567"/>
        </w:tabs>
        <w:spacing w:before="240"/>
        <w:jc w:val="both"/>
        <w:rPr>
          <w:rFonts w:ascii="Book Antiqua" w:hAnsi="Book Antiqua" w:cs="Arial"/>
        </w:rPr>
      </w:pPr>
      <w:r>
        <w:rPr>
          <w:rFonts w:ascii="Book Antiqua" w:hAnsi="Book Antiqua" w:cs="Arial"/>
        </w:rPr>
        <w:t>This is a challenge by the four Appellants against the decision of First-tier Tribunal Judge Buckwell (the judge)</w:t>
      </w:r>
      <w:r w:rsidR="00B22718">
        <w:rPr>
          <w:rFonts w:ascii="Book Antiqua" w:hAnsi="Book Antiqua" w:cs="Arial"/>
        </w:rPr>
        <w:t>,</w:t>
      </w:r>
      <w:r>
        <w:rPr>
          <w:rFonts w:ascii="Book Antiqua" w:hAnsi="Book Antiqua" w:cs="Arial"/>
        </w:rPr>
        <w:t xml:space="preserve"> promulgated on 26 January 2018, dismissing their appeals against the Respondent’s refusal of their human rights claims.  These claims were made on 14 March 2016.  The family unit consists of the first and second Appellants, who are husband and wife, and the third and fourth Appellants, their children.  The third Appellant was born in July 2008, and the fourth in March 2010.  They have resided in the United Kingdom throughout their lives.</w:t>
      </w:r>
    </w:p>
    <w:p w14:paraId="593DDEB8" w14:textId="77777777" w:rsidR="00BF2F03" w:rsidRDefault="00B22718" w:rsidP="0004071D">
      <w:pPr>
        <w:spacing w:before="240"/>
        <w:jc w:val="both"/>
        <w:rPr>
          <w:rFonts w:ascii="Book Antiqua" w:hAnsi="Book Antiqua" w:cs="Arial"/>
        </w:rPr>
      </w:pPr>
      <w:r>
        <w:rPr>
          <w:rFonts w:ascii="Book Antiqua" w:hAnsi="Book Antiqua" w:cs="Arial"/>
          <w:b/>
          <w:u w:val="single"/>
        </w:rPr>
        <w:t>The judge’s d</w:t>
      </w:r>
      <w:r w:rsidR="00BF2F03">
        <w:rPr>
          <w:rFonts w:ascii="Book Antiqua" w:hAnsi="Book Antiqua" w:cs="Arial"/>
          <w:b/>
          <w:u w:val="single"/>
        </w:rPr>
        <w:t>ecision</w:t>
      </w:r>
    </w:p>
    <w:p w14:paraId="3596239E" w14:textId="77777777" w:rsidR="0004071D" w:rsidRDefault="00B22718" w:rsidP="00CD4CF3">
      <w:pPr>
        <w:numPr>
          <w:ilvl w:val="0"/>
          <w:numId w:val="1"/>
        </w:numPr>
        <w:tabs>
          <w:tab w:val="clear" w:pos="567"/>
        </w:tabs>
        <w:spacing w:before="240"/>
        <w:jc w:val="both"/>
        <w:rPr>
          <w:rFonts w:ascii="Book Antiqua" w:hAnsi="Book Antiqua" w:cs="Arial"/>
        </w:rPr>
      </w:pPr>
      <w:r>
        <w:rPr>
          <w:rFonts w:ascii="Book Antiqua" w:hAnsi="Book Antiqua" w:cs="Arial"/>
        </w:rPr>
        <w:t>At [</w:t>
      </w:r>
      <w:r w:rsidR="00BF2F03">
        <w:rPr>
          <w:rFonts w:ascii="Book Antiqua" w:hAnsi="Book Antiqua" w:cs="Arial"/>
        </w:rPr>
        <w:t>52</w:t>
      </w:r>
      <w:r>
        <w:rPr>
          <w:rFonts w:ascii="Book Antiqua" w:hAnsi="Book Antiqua" w:cs="Arial"/>
        </w:rPr>
        <w:t>]</w:t>
      </w:r>
      <w:r w:rsidR="00BF2F03">
        <w:rPr>
          <w:rFonts w:ascii="Book Antiqua" w:hAnsi="Book Antiqua" w:cs="Arial"/>
        </w:rPr>
        <w:t xml:space="preserve"> the judge correctly notes that he was required to apply the reasonableness test in respect of the two children.  In so doing he was bound to have regard to wider public intere</w:t>
      </w:r>
      <w:r>
        <w:rPr>
          <w:rFonts w:ascii="Book Antiqua" w:hAnsi="Book Antiqua" w:cs="Arial"/>
        </w:rPr>
        <w:t>st considerations.  At [</w:t>
      </w:r>
      <w:r w:rsidR="00BF2F03">
        <w:rPr>
          <w:rFonts w:ascii="Book Antiqua" w:hAnsi="Book Antiqua" w:cs="Arial"/>
        </w:rPr>
        <w:t>52</w:t>
      </w:r>
      <w:r>
        <w:rPr>
          <w:rFonts w:ascii="Book Antiqua" w:hAnsi="Book Antiqua" w:cs="Arial"/>
        </w:rPr>
        <w:t>]</w:t>
      </w:r>
      <w:r w:rsidR="00BF2F03">
        <w:rPr>
          <w:rFonts w:ascii="Book Antiqua" w:hAnsi="Book Antiqua" w:cs="Arial"/>
        </w:rPr>
        <w:t xml:space="preserve"> to </w:t>
      </w:r>
      <w:r>
        <w:rPr>
          <w:rFonts w:ascii="Book Antiqua" w:hAnsi="Book Antiqua" w:cs="Arial"/>
        </w:rPr>
        <w:t>[</w:t>
      </w:r>
      <w:r w:rsidR="00BF2F03">
        <w:rPr>
          <w:rFonts w:ascii="Book Antiqua" w:hAnsi="Book Antiqua" w:cs="Arial"/>
        </w:rPr>
        <w:t>57</w:t>
      </w:r>
      <w:r>
        <w:rPr>
          <w:rFonts w:ascii="Book Antiqua" w:hAnsi="Book Antiqua" w:cs="Arial"/>
        </w:rPr>
        <w:t>]</w:t>
      </w:r>
      <w:r w:rsidR="00BF2F03">
        <w:rPr>
          <w:rFonts w:ascii="Book Antiqua" w:hAnsi="Book Antiqua" w:cs="Arial"/>
        </w:rPr>
        <w:t xml:space="preserve"> it is clear that he w</w:t>
      </w:r>
      <w:r w:rsidR="0004071D">
        <w:rPr>
          <w:rFonts w:ascii="Book Antiqua" w:hAnsi="Book Antiqua" w:cs="Arial"/>
        </w:rPr>
        <w:t>a</w:t>
      </w:r>
      <w:r w:rsidR="00BF2F03">
        <w:rPr>
          <w:rFonts w:ascii="Book Antiqua" w:hAnsi="Book Antiqua" w:cs="Arial"/>
        </w:rPr>
        <w:t xml:space="preserve">s unimpressed by certain aspects of the parents’ motivations and assertions made in relation to their ability </w:t>
      </w:r>
      <w:r w:rsidR="00395129">
        <w:rPr>
          <w:rFonts w:ascii="Book Antiqua" w:hAnsi="Book Antiqua" w:cs="Arial"/>
        </w:rPr>
        <w:t>to re-establish themselves back in Mau</w:t>
      </w:r>
      <w:r>
        <w:rPr>
          <w:rFonts w:ascii="Book Antiqua" w:hAnsi="Book Antiqua" w:cs="Arial"/>
        </w:rPr>
        <w:t>ritius.  [</w:t>
      </w:r>
      <w:r w:rsidR="00395129">
        <w:rPr>
          <w:rFonts w:ascii="Book Antiqua" w:hAnsi="Book Antiqua" w:cs="Arial"/>
        </w:rPr>
        <w:t>60</w:t>
      </w:r>
      <w:r>
        <w:rPr>
          <w:rFonts w:ascii="Book Antiqua" w:hAnsi="Book Antiqua" w:cs="Arial"/>
        </w:rPr>
        <w:t>]</w:t>
      </w:r>
      <w:r w:rsidR="00395129">
        <w:rPr>
          <w:rFonts w:ascii="Book Antiqua" w:hAnsi="Book Antiqua" w:cs="Arial"/>
        </w:rPr>
        <w:t xml:space="preserve"> and </w:t>
      </w:r>
      <w:r>
        <w:rPr>
          <w:rFonts w:ascii="Book Antiqua" w:hAnsi="Book Antiqua" w:cs="Arial"/>
        </w:rPr>
        <w:t>[</w:t>
      </w:r>
      <w:r w:rsidR="00395129">
        <w:rPr>
          <w:rFonts w:ascii="Book Antiqua" w:hAnsi="Book Antiqua" w:cs="Arial"/>
        </w:rPr>
        <w:t>61</w:t>
      </w:r>
      <w:r>
        <w:rPr>
          <w:rFonts w:ascii="Book Antiqua" w:hAnsi="Book Antiqua" w:cs="Arial"/>
        </w:rPr>
        <w:t>]</w:t>
      </w:r>
      <w:r w:rsidR="00395129">
        <w:rPr>
          <w:rFonts w:ascii="Book Antiqua" w:hAnsi="Book Antiqua" w:cs="Arial"/>
        </w:rPr>
        <w:t xml:space="preserve"> read as follows: </w:t>
      </w:r>
    </w:p>
    <w:p w14:paraId="5BE13804" w14:textId="77777777" w:rsidR="00BF2F03" w:rsidRPr="0071302F" w:rsidRDefault="00395129" w:rsidP="0071302F">
      <w:pPr>
        <w:spacing w:before="120"/>
        <w:ind w:left="1701" w:right="567" w:hanging="567"/>
        <w:jc w:val="both"/>
        <w:rPr>
          <w:rFonts w:ascii="Book Antiqua" w:hAnsi="Book Antiqua" w:cs="Arial"/>
          <w:sz w:val="22"/>
        </w:rPr>
      </w:pPr>
      <w:r w:rsidRPr="0071302F">
        <w:rPr>
          <w:rFonts w:ascii="Book Antiqua" w:hAnsi="Book Antiqua" w:cs="Arial"/>
          <w:sz w:val="22"/>
        </w:rPr>
        <w:t>“</w:t>
      </w:r>
      <w:r w:rsidR="0004071D" w:rsidRPr="0071302F">
        <w:rPr>
          <w:rFonts w:ascii="Book Antiqua" w:hAnsi="Book Antiqua" w:cs="Arial"/>
          <w:sz w:val="22"/>
        </w:rPr>
        <w:t>60.</w:t>
      </w:r>
      <w:r w:rsidR="0004071D" w:rsidRPr="0071302F">
        <w:rPr>
          <w:rFonts w:ascii="Book Antiqua" w:hAnsi="Book Antiqua" w:cs="Arial"/>
          <w:sz w:val="22"/>
        </w:rPr>
        <w:tab/>
      </w:r>
      <w:r w:rsidRPr="0071302F">
        <w:rPr>
          <w:rFonts w:ascii="Book Antiqua" w:hAnsi="Book Antiqua" w:cs="Arial"/>
          <w:sz w:val="22"/>
        </w:rPr>
        <w:t>With further consideration to the minor Appellants, both have benefit</w:t>
      </w:r>
      <w:r w:rsidR="00CB759A" w:rsidRPr="0071302F">
        <w:rPr>
          <w:rFonts w:ascii="Book Antiqua" w:hAnsi="Book Antiqua" w:cs="Arial"/>
          <w:sz w:val="22"/>
        </w:rPr>
        <w:t>ed</w:t>
      </w:r>
      <w:r w:rsidRPr="0071302F">
        <w:rPr>
          <w:rFonts w:ascii="Book Antiqua" w:hAnsi="Book Antiqua" w:cs="Arial"/>
          <w:sz w:val="22"/>
        </w:rPr>
        <w:t xml:space="preserve"> from education in this country for a number of years.  I do not accept that their ages and the time spent in this country mean that it would be unreasonable to now expect them to accompany their parents to Mauritius.  Their best interests overwhelmingly are to remain within the family unit and I take into account all case law to which I have been referred ...  In addition there is the Upper Tribunal decision in </w:t>
      </w:r>
      <w:r w:rsidRPr="0071302F">
        <w:rPr>
          <w:rFonts w:ascii="Book Antiqua" w:hAnsi="Book Antiqua" w:cs="Arial"/>
          <w:sz w:val="22"/>
          <w:u w:val="single"/>
        </w:rPr>
        <w:t>Kaur</w:t>
      </w:r>
      <w:r w:rsidRPr="0071302F">
        <w:rPr>
          <w:rFonts w:ascii="Book Antiqua" w:hAnsi="Book Antiqua" w:cs="Arial"/>
          <w:sz w:val="22"/>
        </w:rPr>
        <w:t xml:space="preserve"> and </w:t>
      </w:r>
      <w:r w:rsidRPr="0071302F">
        <w:rPr>
          <w:rFonts w:ascii="Book Antiqua" w:hAnsi="Book Antiqua" w:cs="Arial"/>
          <w:sz w:val="22"/>
          <w:u w:val="single"/>
        </w:rPr>
        <w:t>Azim-Moayed</w:t>
      </w:r>
      <w:r w:rsidRPr="0071302F">
        <w:rPr>
          <w:rFonts w:ascii="Book Antiqua" w:hAnsi="Book Antiqua" w:cs="Arial"/>
          <w:sz w:val="22"/>
        </w:rPr>
        <w:t xml:space="preserve"> with respect to the period of time spent in this country beyond the age of 4 years by qualifying children.  That is relevant in these appeals for the minor Appellants.  I have fully taken into account the specific issues relating to the third Appellant and the reports and information made available.</w:t>
      </w:r>
    </w:p>
    <w:p w14:paraId="6A2EE690" w14:textId="77777777" w:rsidR="00395129" w:rsidRPr="0071302F" w:rsidRDefault="00395129" w:rsidP="0071302F">
      <w:pPr>
        <w:spacing w:before="120"/>
        <w:ind w:left="1701" w:right="567" w:hanging="567"/>
        <w:jc w:val="both"/>
        <w:rPr>
          <w:rFonts w:ascii="Book Antiqua" w:hAnsi="Book Antiqua" w:cs="Arial"/>
          <w:sz w:val="22"/>
        </w:rPr>
      </w:pPr>
      <w:r w:rsidRPr="0071302F">
        <w:rPr>
          <w:rFonts w:ascii="Book Antiqua" w:hAnsi="Book Antiqua" w:cs="Arial"/>
          <w:sz w:val="22"/>
        </w:rPr>
        <w:t>61.</w:t>
      </w:r>
      <w:r w:rsidR="0004071D" w:rsidRPr="0071302F">
        <w:rPr>
          <w:rFonts w:ascii="Book Antiqua" w:hAnsi="Book Antiqua" w:cs="Arial"/>
          <w:sz w:val="22"/>
        </w:rPr>
        <w:tab/>
      </w:r>
      <w:r w:rsidRPr="0071302F">
        <w:rPr>
          <w:rFonts w:ascii="Book Antiqua" w:hAnsi="Book Antiqua" w:cs="Arial"/>
          <w:sz w:val="22"/>
        </w:rPr>
        <w:t xml:space="preserve">Accordingly overall I do not find that it would be unreasonable to expect the minor Appellants to return to Mauritius with their parents ... I am specifically guided by the judgment of the Court of Appeal in </w:t>
      </w:r>
      <w:r w:rsidRPr="0071302F">
        <w:rPr>
          <w:rFonts w:ascii="Book Antiqua" w:hAnsi="Book Antiqua" w:cs="Arial"/>
          <w:sz w:val="22"/>
          <w:u w:val="single"/>
        </w:rPr>
        <w:t>MM (Uganda</w:t>
      </w:r>
      <w:r w:rsidR="0004071D" w:rsidRPr="0071302F">
        <w:rPr>
          <w:rFonts w:ascii="Book Antiqua" w:hAnsi="Book Antiqua" w:cs="Arial"/>
          <w:sz w:val="22"/>
          <w:u w:val="single"/>
        </w:rPr>
        <w:t>)</w:t>
      </w:r>
      <w:r w:rsidRPr="0071302F">
        <w:rPr>
          <w:rFonts w:ascii="Book Antiqua" w:hAnsi="Book Antiqua" w:cs="Arial"/>
          <w:sz w:val="22"/>
        </w:rPr>
        <w:t xml:space="preserve"> and </w:t>
      </w:r>
      <w:r w:rsidRPr="0071302F">
        <w:rPr>
          <w:rFonts w:ascii="Book Antiqua" w:hAnsi="Book Antiqua" w:cs="Arial"/>
          <w:sz w:val="22"/>
          <w:u w:val="single"/>
        </w:rPr>
        <w:t>MA (Pakistan)</w:t>
      </w:r>
      <w:r w:rsidRPr="0071302F">
        <w:rPr>
          <w:rFonts w:ascii="Book Antiqua" w:hAnsi="Book Antiqua" w:cs="Arial"/>
          <w:sz w:val="22"/>
        </w:rPr>
        <w:t>.”</w:t>
      </w:r>
    </w:p>
    <w:p w14:paraId="24501ED8" w14:textId="77777777" w:rsidR="00395129" w:rsidRDefault="00395129" w:rsidP="00CD4CF3">
      <w:pPr>
        <w:numPr>
          <w:ilvl w:val="0"/>
          <w:numId w:val="1"/>
        </w:numPr>
        <w:tabs>
          <w:tab w:val="clear" w:pos="567"/>
        </w:tabs>
        <w:spacing w:before="240"/>
        <w:jc w:val="both"/>
        <w:rPr>
          <w:rFonts w:ascii="Book Antiqua" w:hAnsi="Book Antiqua" w:cs="Arial"/>
        </w:rPr>
      </w:pPr>
      <w:r>
        <w:rPr>
          <w:rFonts w:ascii="Book Antiqua" w:hAnsi="Book Antiqua" w:cs="Arial"/>
        </w:rPr>
        <w:t>The appeals were duly dismissed.</w:t>
      </w:r>
    </w:p>
    <w:p w14:paraId="30BC19F7" w14:textId="2279C491" w:rsidR="00395129" w:rsidRDefault="00395129" w:rsidP="0004071D">
      <w:pPr>
        <w:spacing w:before="240"/>
        <w:jc w:val="both"/>
        <w:rPr>
          <w:rFonts w:ascii="Book Antiqua" w:hAnsi="Book Antiqua" w:cs="Arial"/>
        </w:rPr>
      </w:pPr>
      <w:r>
        <w:rPr>
          <w:rFonts w:ascii="Book Antiqua" w:hAnsi="Book Antiqua" w:cs="Arial"/>
          <w:b/>
          <w:u w:val="single"/>
        </w:rPr>
        <w:t xml:space="preserve">The </w:t>
      </w:r>
      <w:r w:rsidR="00B22718">
        <w:rPr>
          <w:rFonts w:ascii="Book Antiqua" w:hAnsi="Book Antiqua" w:cs="Arial"/>
          <w:b/>
          <w:u w:val="single"/>
        </w:rPr>
        <w:t>grounds of appeal and grant of p</w:t>
      </w:r>
      <w:r>
        <w:rPr>
          <w:rFonts w:ascii="Book Antiqua" w:hAnsi="Book Antiqua" w:cs="Arial"/>
          <w:b/>
          <w:u w:val="single"/>
        </w:rPr>
        <w:t>ermission</w:t>
      </w:r>
    </w:p>
    <w:p w14:paraId="3B3CD5DF" w14:textId="77777777" w:rsidR="00395129" w:rsidRDefault="00395129" w:rsidP="00CD4CF3">
      <w:pPr>
        <w:numPr>
          <w:ilvl w:val="0"/>
          <w:numId w:val="1"/>
        </w:numPr>
        <w:tabs>
          <w:tab w:val="clear" w:pos="567"/>
        </w:tabs>
        <w:spacing w:before="240"/>
        <w:jc w:val="both"/>
        <w:rPr>
          <w:rFonts w:ascii="Book Antiqua" w:hAnsi="Book Antiqua" w:cs="Arial"/>
        </w:rPr>
      </w:pPr>
      <w:r>
        <w:rPr>
          <w:rFonts w:ascii="Book Antiqua" w:hAnsi="Book Antiqua" w:cs="Arial"/>
        </w:rPr>
        <w:t>The grounds are certainly not as focused as they might have been but at paragraph 22 it is asserted, in essence, that the judge failed to have proper regard to the important factor that both the children were, as at the date of hearing, qualifying children</w:t>
      </w:r>
      <w:r w:rsidR="00B22718">
        <w:rPr>
          <w:rFonts w:ascii="Book Antiqua" w:hAnsi="Book Antiqua" w:cs="Arial"/>
        </w:rPr>
        <w:t xml:space="preserve"> in respect of the triggering of the reasonableness test</w:t>
      </w:r>
      <w:r>
        <w:rPr>
          <w:rFonts w:ascii="Book Antiqua" w:hAnsi="Book Antiqua" w:cs="Arial"/>
        </w:rPr>
        <w:t xml:space="preserve">.  In granting permission to appeal </w:t>
      </w:r>
      <w:r>
        <w:rPr>
          <w:rFonts w:ascii="Book Antiqua" w:hAnsi="Book Antiqua" w:cs="Arial"/>
        </w:rPr>
        <w:lastRenderedPageBreak/>
        <w:t xml:space="preserve">by a decision dated 24 May 2018, Designated First-tier </w:t>
      </w:r>
      <w:r w:rsidR="00B22718">
        <w:rPr>
          <w:rFonts w:ascii="Book Antiqua" w:hAnsi="Book Antiqua" w:cs="Arial"/>
        </w:rPr>
        <w:t>Tribunal Judge McCarthy observed</w:t>
      </w:r>
      <w:r>
        <w:rPr>
          <w:rFonts w:ascii="Book Antiqua" w:hAnsi="Book Antiqua" w:cs="Arial"/>
        </w:rPr>
        <w:t xml:space="preserve"> that it was arguable that the judge had failed to give considerable weight to the length of the children’s </w:t>
      </w:r>
      <w:r w:rsidR="00CB759A">
        <w:rPr>
          <w:rFonts w:ascii="Book Antiqua" w:hAnsi="Book Antiqua" w:cs="Arial"/>
        </w:rPr>
        <w:t>resi</w:t>
      </w:r>
      <w:r w:rsidR="008F0A4D">
        <w:rPr>
          <w:rFonts w:ascii="Book Antiqua" w:hAnsi="Book Antiqua" w:cs="Arial"/>
        </w:rPr>
        <w:t xml:space="preserve">dence, given what is said in paragraph 46 of </w:t>
      </w:r>
      <w:r w:rsidR="008F0A4D" w:rsidRPr="00CB759A">
        <w:rPr>
          <w:rFonts w:ascii="Book Antiqua" w:hAnsi="Book Antiqua" w:cs="Arial"/>
          <w:u w:val="single"/>
        </w:rPr>
        <w:t>MA (Pakistan)</w:t>
      </w:r>
      <w:r w:rsidR="008F0A4D">
        <w:rPr>
          <w:rFonts w:ascii="Book Antiqua" w:hAnsi="Book Antiqua" w:cs="Arial"/>
        </w:rPr>
        <w:t>.</w:t>
      </w:r>
    </w:p>
    <w:p w14:paraId="315A5F62" w14:textId="77777777" w:rsidR="008F0A4D" w:rsidRDefault="00B22718" w:rsidP="0004071D">
      <w:pPr>
        <w:spacing w:before="240"/>
        <w:jc w:val="both"/>
        <w:rPr>
          <w:rFonts w:ascii="Book Antiqua" w:hAnsi="Book Antiqua" w:cs="Arial"/>
        </w:rPr>
      </w:pPr>
      <w:r>
        <w:rPr>
          <w:rFonts w:ascii="Book Antiqua" w:hAnsi="Book Antiqua" w:cs="Arial"/>
          <w:b/>
          <w:u w:val="single"/>
        </w:rPr>
        <w:t>The hearing before m</w:t>
      </w:r>
      <w:r w:rsidR="008F0A4D">
        <w:rPr>
          <w:rFonts w:ascii="Book Antiqua" w:hAnsi="Book Antiqua" w:cs="Arial"/>
          <w:b/>
          <w:u w:val="single"/>
        </w:rPr>
        <w:t>e</w:t>
      </w:r>
    </w:p>
    <w:p w14:paraId="730A0ACA" w14:textId="77777777" w:rsidR="00B22718" w:rsidRDefault="008F0A4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At the outset of the hearing Mr Melvin quite fairly acknowledged that there were weaknesses in the judge’s decision as regards the best interests of the children, particularly the third Appellant.  He was not, however making a formal concession. </w:t>
      </w:r>
    </w:p>
    <w:p w14:paraId="634CDF91" w14:textId="77777777" w:rsidR="008F0A4D" w:rsidRDefault="008F0A4D" w:rsidP="00CD4CF3">
      <w:pPr>
        <w:numPr>
          <w:ilvl w:val="0"/>
          <w:numId w:val="1"/>
        </w:numPr>
        <w:tabs>
          <w:tab w:val="clear" w:pos="567"/>
        </w:tabs>
        <w:spacing w:before="240"/>
        <w:jc w:val="both"/>
        <w:rPr>
          <w:rFonts w:ascii="Book Antiqua" w:hAnsi="Book Antiqua" w:cs="Arial"/>
        </w:rPr>
      </w:pPr>
      <w:r>
        <w:rPr>
          <w:rFonts w:ascii="Book Antiqua" w:hAnsi="Book Antiqua" w:cs="Arial"/>
        </w:rPr>
        <w:t>In all the circumstances I did not need to hear submissions from Mr Khan.</w:t>
      </w:r>
    </w:p>
    <w:p w14:paraId="33ABDD59" w14:textId="77777777" w:rsidR="008F0A4D" w:rsidRPr="008F0A4D" w:rsidRDefault="00B22718" w:rsidP="0004071D">
      <w:pPr>
        <w:spacing w:before="240"/>
        <w:jc w:val="both"/>
        <w:rPr>
          <w:rFonts w:ascii="Book Antiqua" w:hAnsi="Book Antiqua" w:cs="Arial"/>
        </w:rPr>
      </w:pPr>
      <w:r>
        <w:rPr>
          <w:rFonts w:ascii="Book Antiqua" w:hAnsi="Book Antiqua" w:cs="Arial"/>
          <w:b/>
          <w:u w:val="single"/>
        </w:rPr>
        <w:t>Decision error of l</w:t>
      </w:r>
      <w:r w:rsidR="008F0A4D">
        <w:rPr>
          <w:rFonts w:ascii="Book Antiqua" w:hAnsi="Book Antiqua" w:cs="Arial"/>
          <w:b/>
          <w:u w:val="single"/>
        </w:rPr>
        <w:t>aw</w:t>
      </w:r>
    </w:p>
    <w:p w14:paraId="63576BD5" w14:textId="77777777" w:rsidR="008F0A4D" w:rsidRDefault="008F0A4D" w:rsidP="00CD4CF3">
      <w:pPr>
        <w:numPr>
          <w:ilvl w:val="0"/>
          <w:numId w:val="1"/>
        </w:numPr>
        <w:tabs>
          <w:tab w:val="clear" w:pos="567"/>
        </w:tabs>
        <w:spacing w:before="240"/>
        <w:jc w:val="both"/>
        <w:rPr>
          <w:rFonts w:ascii="Book Antiqua" w:hAnsi="Book Antiqua" w:cs="Arial"/>
        </w:rPr>
      </w:pPr>
      <w:r>
        <w:rPr>
          <w:rFonts w:ascii="Book Antiqua" w:hAnsi="Book Antiqua" w:cs="Arial"/>
        </w:rPr>
        <w:t>I conclude that there are material errors of law in the judge’s decision.</w:t>
      </w:r>
    </w:p>
    <w:p w14:paraId="2BD0B5AE" w14:textId="77777777" w:rsidR="008F0A4D" w:rsidRDefault="00B22718" w:rsidP="00CD4CF3">
      <w:pPr>
        <w:numPr>
          <w:ilvl w:val="0"/>
          <w:numId w:val="1"/>
        </w:numPr>
        <w:tabs>
          <w:tab w:val="clear" w:pos="567"/>
        </w:tabs>
        <w:spacing w:before="240"/>
        <w:jc w:val="both"/>
        <w:rPr>
          <w:rFonts w:ascii="Book Antiqua" w:hAnsi="Book Antiqua" w:cs="Arial"/>
        </w:rPr>
      </w:pPr>
      <w:r>
        <w:rPr>
          <w:rFonts w:ascii="Book Antiqua" w:hAnsi="Book Antiqua" w:cs="Arial"/>
        </w:rPr>
        <w:t>Weight is in general</w:t>
      </w:r>
      <w:r w:rsidR="008F0A4D">
        <w:rPr>
          <w:rFonts w:ascii="Book Antiqua" w:hAnsi="Book Antiqua" w:cs="Arial"/>
        </w:rPr>
        <w:t xml:space="preserve"> terms a matt</w:t>
      </w:r>
      <w:r>
        <w:rPr>
          <w:rFonts w:ascii="Book Antiqua" w:hAnsi="Book Antiqua" w:cs="Arial"/>
        </w:rPr>
        <w:t>er for the fact-finding t</w:t>
      </w:r>
      <w:r w:rsidR="008F0A4D">
        <w:rPr>
          <w:rFonts w:ascii="Book Antiqua" w:hAnsi="Book Antiqua" w:cs="Arial"/>
        </w:rPr>
        <w:t>ribunal.  However</w:t>
      </w:r>
      <w:r w:rsidR="00CB759A">
        <w:rPr>
          <w:rFonts w:ascii="Book Antiqua" w:hAnsi="Book Antiqua" w:cs="Arial"/>
        </w:rPr>
        <w:t>,</w:t>
      </w:r>
      <w:r w:rsidR="008F0A4D">
        <w:rPr>
          <w:rFonts w:ascii="Book Antiqua" w:hAnsi="Book Antiqua" w:cs="Arial"/>
        </w:rPr>
        <w:t xml:space="preserve"> in cases concerning qualifying children and the reasonableness test, it is clear from </w:t>
      </w:r>
      <w:r w:rsidR="008F0A4D" w:rsidRPr="00CB759A">
        <w:rPr>
          <w:rFonts w:ascii="Book Antiqua" w:hAnsi="Book Antiqua" w:cs="Arial"/>
          <w:u w:val="single"/>
        </w:rPr>
        <w:t>MA (Pakistan)</w:t>
      </w:r>
      <w:r w:rsidR="008F0A4D">
        <w:rPr>
          <w:rFonts w:ascii="Book Antiqua" w:hAnsi="Book Antiqua" w:cs="Arial"/>
        </w:rPr>
        <w:t xml:space="preserve"> and other cases that </w:t>
      </w:r>
      <w:r>
        <w:rPr>
          <w:rFonts w:ascii="Book Antiqua" w:hAnsi="Book Antiqua" w:cs="Arial"/>
        </w:rPr>
        <w:t>“</w:t>
      </w:r>
      <w:r w:rsidR="008F0A4D">
        <w:rPr>
          <w:rFonts w:ascii="Book Antiqua" w:hAnsi="Book Antiqua" w:cs="Arial"/>
        </w:rPr>
        <w:t>significant</w:t>
      </w:r>
      <w:r>
        <w:rPr>
          <w:rFonts w:ascii="Book Antiqua" w:hAnsi="Book Antiqua" w:cs="Arial"/>
        </w:rPr>
        <w:t>”</w:t>
      </w:r>
      <w:r w:rsidR="008F0A4D">
        <w:rPr>
          <w:rFonts w:ascii="Book Antiqua" w:hAnsi="Book Antiqua" w:cs="Arial"/>
        </w:rPr>
        <w:t xml:space="preserve"> weight </w:t>
      </w:r>
      <w:r w:rsidR="008F0A4D" w:rsidRPr="00B22718">
        <w:rPr>
          <w:rFonts w:ascii="Book Antiqua" w:hAnsi="Book Antiqua" w:cs="Arial"/>
          <w:i/>
        </w:rPr>
        <w:t>must</w:t>
      </w:r>
      <w:r w:rsidR="008F0A4D">
        <w:rPr>
          <w:rFonts w:ascii="Book Antiqua" w:hAnsi="Book Antiqua" w:cs="Arial"/>
        </w:rPr>
        <w:t xml:space="preserve"> be accorded to the length of residence</w:t>
      </w:r>
      <w:r>
        <w:rPr>
          <w:rFonts w:ascii="Book Antiqua" w:hAnsi="Book Antiqua" w:cs="Arial"/>
        </w:rPr>
        <w:t xml:space="preserve"> and, by extension, the consequent ties arising therefrom</w:t>
      </w:r>
      <w:r w:rsidR="008F0A4D">
        <w:rPr>
          <w:rFonts w:ascii="Book Antiqua" w:hAnsi="Book Antiqua" w:cs="Arial"/>
        </w:rPr>
        <w:t xml:space="preserve">.  In my view the judge has simply failed to attribute such weight to the length of residence, particularly that relating to the third Appellant who by the date of hearing had been in this country for approximately nine and a half years.  It is right that the judge makes reference to </w:t>
      </w:r>
      <w:r w:rsidR="008F0A4D" w:rsidRPr="0004071D">
        <w:rPr>
          <w:rFonts w:ascii="Book Antiqua" w:hAnsi="Book Antiqua" w:cs="Arial"/>
          <w:u w:val="single"/>
        </w:rPr>
        <w:t>MA (Pakistan)</w:t>
      </w:r>
      <w:r w:rsidR="00095DBD">
        <w:rPr>
          <w:rFonts w:ascii="Book Antiqua" w:hAnsi="Book Antiqua" w:cs="Arial"/>
        </w:rPr>
        <w:t xml:space="preserve"> and he specifically </w:t>
      </w:r>
      <w:r w:rsidR="008F0A4D">
        <w:rPr>
          <w:rFonts w:ascii="Book Antiqua" w:hAnsi="Book Antiqua" w:cs="Arial"/>
        </w:rPr>
        <w:t>states that he had been gu</w:t>
      </w:r>
      <w:r w:rsidR="00095DBD">
        <w:rPr>
          <w:rFonts w:ascii="Book Antiqua" w:hAnsi="Book Antiqua" w:cs="Arial"/>
        </w:rPr>
        <w:t>ided by it (see for example [</w:t>
      </w:r>
      <w:r w:rsidR="008F0A4D">
        <w:rPr>
          <w:rFonts w:ascii="Book Antiqua" w:hAnsi="Book Antiqua" w:cs="Arial"/>
        </w:rPr>
        <w:t>61</w:t>
      </w:r>
      <w:r w:rsidR="00095DBD">
        <w:rPr>
          <w:rFonts w:ascii="Book Antiqua" w:hAnsi="Book Antiqua" w:cs="Arial"/>
        </w:rPr>
        <w:t>]</w:t>
      </w:r>
      <w:r w:rsidR="008F0A4D">
        <w:rPr>
          <w:rFonts w:ascii="Book Antiqua" w:hAnsi="Book Antiqua" w:cs="Arial"/>
        </w:rPr>
        <w:t xml:space="preserve">).  However, </w:t>
      </w:r>
      <w:r w:rsidR="00CB759A">
        <w:rPr>
          <w:rFonts w:ascii="Book Antiqua" w:hAnsi="Book Antiqua" w:cs="Arial"/>
        </w:rPr>
        <w:t xml:space="preserve">and </w:t>
      </w:r>
      <w:r w:rsidR="008F0A4D">
        <w:rPr>
          <w:rFonts w:ascii="Book Antiqua" w:hAnsi="Book Antiqua" w:cs="Arial"/>
        </w:rPr>
        <w:t xml:space="preserve">with all due respect, there is simply nothing by way of substance to indicate that appropriate (i.e. </w:t>
      </w:r>
      <w:r w:rsidR="00095DBD">
        <w:rPr>
          <w:rFonts w:ascii="Book Antiqua" w:hAnsi="Book Antiqua" w:cs="Arial"/>
        </w:rPr>
        <w:t>“</w:t>
      </w:r>
      <w:r w:rsidR="008F0A4D">
        <w:rPr>
          <w:rFonts w:ascii="Book Antiqua" w:hAnsi="Book Antiqua" w:cs="Arial"/>
        </w:rPr>
        <w:t>significant</w:t>
      </w:r>
      <w:r w:rsidR="00095DBD">
        <w:rPr>
          <w:rFonts w:ascii="Book Antiqua" w:hAnsi="Book Antiqua" w:cs="Arial"/>
        </w:rPr>
        <w:t>”</w:t>
      </w:r>
      <w:r w:rsidR="008F0A4D">
        <w:rPr>
          <w:rFonts w:ascii="Book Antiqua" w:hAnsi="Book Antiqua" w:cs="Arial"/>
        </w:rPr>
        <w:t>) weight had been given to the length of residence factor</w:t>
      </w:r>
      <w:r w:rsidR="00095DBD">
        <w:rPr>
          <w:rFonts w:ascii="Book Antiqua" w:hAnsi="Book Antiqua" w:cs="Arial"/>
        </w:rPr>
        <w:t>,</w:t>
      </w:r>
      <w:r w:rsidR="008F0A4D">
        <w:rPr>
          <w:rFonts w:ascii="Book Antiqua" w:hAnsi="Book Antiqua" w:cs="Arial"/>
        </w:rPr>
        <w:t xml:space="preserve"> as required by the guidance provided by</w:t>
      </w:r>
      <w:r w:rsidR="00095DBD">
        <w:rPr>
          <w:rFonts w:ascii="Book Antiqua" w:hAnsi="Book Antiqua" w:cs="Arial"/>
        </w:rPr>
        <w:t xml:space="preserve"> the Court of Appeal</w:t>
      </w:r>
      <w:r w:rsidR="008F0A4D">
        <w:rPr>
          <w:rFonts w:ascii="Book Antiqua" w:hAnsi="Book Antiqua" w:cs="Arial"/>
        </w:rPr>
        <w:t>.</w:t>
      </w:r>
    </w:p>
    <w:p w14:paraId="00D68BE3" w14:textId="77777777" w:rsidR="008F0A4D" w:rsidRDefault="008F0A4D" w:rsidP="00CD4CF3">
      <w:pPr>
        <w:numPr>
          <w:ilvl w:val="0"/>
          <w:numId w:val="1"/>
        </w:numPr>
        <w:tabs>
          <w:tab w:val="clear" w:pos="567"/>
        </w:tabs>
        <w:spacing w:before="240"/>
        <w:jc w:val="both"/>
        <w:rPr>
          <w:rFonts w:ascii="Book Antiqua" w:hAnsi="Book Antiqua" w:cs="Arial"/>
        </w:rPr>
      </w:pPr>
      <w:r>
        <w:rPr>
          <w:rFonts w:ascii="Book Antiqua" w:hAnsi="Book Antiqua" w:cs="Arial"/>
        </w:rPr>
        <w:t>If indeed such weight had been accorded to the residence factor,</w:t>
      </w:r>
      <w:r w:rsidR="00095DBD">
        <w:rPr>
          <w:rFonts w:ascii="Book Antiqua" w:hAnsi="Book Antiqua" w:cs="Arial"/>
        </w:rPr>
        <w:t xml:space="preserve"> the judge has failed to identify any</w:t>
      </w:r>
      <w:r>
        <w:rPr>
          <w:rFonts w:ascii="Book Antiqua" w:hAnsi="Book Antiqua" w:cs="Arial"/>
        </w:rPr>
        <w:t xml:space="preserve"> </w:t>
      </w:r>
      <w:r w:rsidR="00095DBD">
        <w:rPr>
          <w:rFonts w:ascii="Book Antiqua" w:hAnsi="Book Antiqua" w:cs="Arial"/>
        </w:rPr>
        <w:t>“</w:t>
      </w:r>
      <w:r>
        <w:rPr>
          <w:rFonts w:ascii="Book Antiqua" w:hAnsi="Book Antiqua" w:cs="Arial"/>
        </w:rPr>
        <w:t>powerful reasons</w:t>
      </w:r>
      <w:r w:rsidR="00095DBD">
        <w:rPr>
          <w:rFonts w:ascii="Book Antiqua" w:hAnsi="Book Antiqua" w:cs="Arial"/>
        </w:rPr>
        <w:t xml:space="preserve">” </w:t>
      </w:r>
      <w:r>
        <w:rPr>
          <w:rFonts w:ascii="Book Antiqua" w:hAnsi="Book Antiqua" w:cs="Arial"/>
        </w:rPr>
        <w:t>which went to outweigh the length of residence factor.  There is nothing inherently so serious in the parents’ immigration history that such reasons can be taken to have existed by way of implication.  Indeed, whilst the judge took an adverse view of certain elements of the parents’ evidence, their immigration history as a whole could not sensibly be described as particularly serious or appalling.</w:t>
      </w:r>
    </w:p>
    <w:p w14:paraId="41C1355E" w14:textId="77777777" w:rsidR="007A16AD" w:rsidRDefault="008F0A4D" w:rsidP="00CD4CF3">
      <w:pPr>
        <w:numPr>
          <w:ilvl w:val="0"/>
          <w:numId w:val="1"/>
        </w:numPr>
        <w:tabs>
          <w:tab w:val="clear" w:pos="567"/>
        </w:tabs>
        <w:spacing w:before="240"/>
        <w:jc w:val="both"/>
        <w:rPr>
          <w:rFonts w:ascii="Book Antiqua" w:hAnsi="Book Antiqua" w:cs="Arial"/>
        </w:rPr>
      </w:pPr>
      <w:r>
        <w:rPr>
          <w:rFonts w:ascii="Book Antiqua" w:hAnsi="Book Antiqua" w:cs="Arial"/>
        </w:rPr>
        <w:t>Further, and in line with Mr Melvin’s observations about the best interest</w:t>
      </w:r>
      <w:r w:rsidR="00095DBD">
        <w:rPr>
          <w:rFonts w:ascii="Book Antiqua" w:hAnsi="Book Antiqua" w:cs="Arial"/>
        </w:rPr>
        <w:t>s</w:t>
      </w:r>
      <w:r>
        <w:rPr>
          <w:rFonts w:ascii="Book Antiqua" w:hAnsi="Book Antiqua" w:cs="Arial"/>
        </w:rPr>
        <w:t xml:space="preserve"> point, in my view the judge has failed to take all relevant evidence into account </w:t>
      </w:r>
      <w:r w:rsidR="00910F60">
        <w:rPr>
          <w:rFonts w:ascii="Book Antiqua" w:hAnsi="Book Antiqua" w:cs="Arial"/>
        </w:rPr>
        <w:t xml:space="preserve">that </w:t>
      </w:r>
      <w:r w:rsidR="00095DBD">
        <w:rPr>
          <w:rFonts w:ascii="Book Antiqua" w:hAnsi="Book Antiqua" w:cs="Arial"/>
        </w:rPr>
        <w:t>was relevant to the best</w:t>
      </w:r>
      <w:r>
        <w:rPr>
          <w:rFonts w:ascii="Book Antiqua" w:hAnsi="Book Antiqua" w:cs="Arial"/>
        </w:rPr>
        <w:t xml:space="preserve"> interest</w:t>
      </w:r>
      <w:r w:rsidR="00095DBD">
        <w:rPr>
          <w:rFonts w:ascii="Book Antiqua" w:hAnsi="Book Antiqua" w:cs="Arial"/>
        </w:rPr>
        <w:t>s assessment</w:t>
      </w:r>
      <w:r>
        <w:rPr>
          <w:rFonts w:ascii="Book Antiqua" w:hAnsi="Book Antiqua" w:cs="Arial"/>
        </w:rPr>
        <w:t xml:space="preserve">, particularly in relation to the third Appellant.  </w:t>
      </w:r>
      <w:r w:rsidR="00910F60">
        <w:rPr>
          <w:rFonts w:ascii="Book Antiqua" w:hAnsi="Book Antiqua" w:cs="Arial"/>
        </w:rPr>
        <w:t>T</w:t>
      </w:r>
      <w:r>
        <w:rPr>
          <w:rFonts w:ascii="Book Antiqua" w:hAnsi="Book Antiqua" w:cs="Arial"/>
        </w:rPr>
        <w:t xml:space="preserve">here was evidence before the judge </w:t>
      </w:r>
      <w:r w:rsidR="00700B24">
        <w:rPr>
          <w:rFonts w:ascii="Book Antiqua" w:hAnsi="Book Antiqua" w:cs="Arial"/>
        </w:rPr>
        <w:t xml:space="preserve">in relation to the third Appellant of particular cognitive and behavioural difficulties (see Annexes E, G, and J of the Respondent’s bundle) </w:t>
      </w:r>
      <w:r w:rsidR="00910F60">
        <w:rPr>
          <w:rFonts w:ascii="Book Antiqua" w:hAnsi="Book Antiqua" w:cs="Arial"/>
        </w:rPr>
        <w:t xml:space="preserve">but </w:t>
      </w:r>
      <w:r w:rsidR="00700B24">
        <w:rPr>
          <w:rFonts w:ascii="Book Antiqua" w:hAnsi="Book Antiqua" w:cs="Arial"/>
        </w:rPr>
        <w:t>none of this appears to</w:t>
      </w:r>
      <w:r w:rsidR="0004071D">
        <w:rPr>
          <w:rFonts w:ascii="Book Antiqua" w:hAnsi="Book Antiqua" w:cs="Arial"/>
        </w:rPr>
        <w:t xml:space="preserve"> </w:t>
      </w:r>
      <w:r w:rsidR="00700B24">
        <w:rPr>
          <w:rFonts w:ascii="Book Antiqua" w:hAnsi="Book Antiqua" w:cs="Arial"/>
        </w:rPr>
        <w:t>have been</w:t>
      </w:r>
      <w:r w:rsidR="00095DBD">
        <w:rPr>
          <w:rFonts w:ascii="Book Antiqua" w:hAnsi="Book Antiqua" w:cs="Arial"/>
        </w:rPr>
        <w:t xml:space="preserve"> taken into account in [</w:t>
      </w:r>
      <w:r w:rsidR="00700B24">
        <w:rPr>
          <w:rFonts w:ascii="Book Antiqua" w:hAnsi="Book Antiqua" w:cs="Arial"/>
        </w:rPr>
        <w:t>6</w:t>
      </w:r>
      <w:r w:rsidR="00910F60">
        <w:rPr>
          <w:rFonts w:ascii="Book Antiqua" w:hAnsi="Book Antiqua" w:cs="Arial"/>
        </w:rPr>
        <w:t>0</w:t>
      </w:r>
      <w:r w:rsidR="00095DBD">
        <w:rPr>
          <w:rFonts w:ascii="Book Antiqua" w:hAnsi="Book Antiqua" w:cs="Arial"/>
        </w:rPr>
        <w:t>]</w:t>
      </w:r>
      <w:r w:rsidR="00700B24">
        <w:rPr>
          <w:rFonts w:ascii="Book Antiqua" w:hAnsi="Book Antiqua" w:cs="Arial"/>
        </w:rPr>
        <w:t>.  I appreciate th</w:t>
      </w:r>
      <w:r w:rsidR="0004071D">
        <w:rPr>
          <w:rFonts w:ascii="Book Antiqua" w:hAnsi="Book Antiqua" w:cs="Arial"/>
        </w:rPr>
        <w:t>a</w:t>
      </w:r>
      <w:r w:rsidR="00700B24">
        <w:rPr>
          <w:rFonts w:ascii="Book Antiqua" w:hAnsi="Book Antiqua" w:cs="Arial"/>
        </w:rPr>
        <w:t>t he has said that he had had regard to “the reports and information made available” but that does not adequately deal with the substance of this evidence in any way.</w:t>
      </w:r>
    </w:p>
    <w:p w14:paraId="2C292FF1" w14:textId="77777777" w:rsidR="007A16AD" w:rsidRDefault="007A16AD"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In light of the above and reading the judge’s decision sensibly and holistically, there are material errors of law and I set that decision aside.</w:t>
      </w:r>
    </w:p>
    <w:p w14:paraId="62F7CE43" w14:textId="77777777" w:rsidR="007A16AD" w:rsidRDefault="00095DBD" w:rsidP="0004071D">
      <w:pPr>
        <w:spacing w:before="240"/>
        <w:jc w:val="both"/>
        <w:rPr>
          <w:rFonts w:ascii="Book Antiqua" w:hAnsi="Book Antiqua" w:cs="Arial"/>
        </w:rPr>
      </w:pPr>
      <w:r>
        <w:rPr>
          <w:rFonts w:ascii="Book Antiqua" w:hAnsi="Book Antiqua" w:cs="Arial"/>
          <w:b/>
          <w:u w:val="single"/>
        </w:rPr>
        <w:t>Remaking the d</w:t>
      </w:r>
      <w:r w:rsidR="007A16AD">
        <w:rPr>
          <w:rFonts w:ascii="Book Antiqua" w:hAnsi="Book Antiqua" w:cs="Arial"/>
          <w:b/>
          <w:u w:val="single"/>
        </w:rPr>
        <w:t>ecision</w:t>
      </w:r>
    </w:p>
    <w:p w14:paraId="57B0BEF9" w14:textId="77777777" w:rsidR="00095DBD" w:rsidRDefault="007A16A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After a discussion about how to dispose with these appeals, I have decided that I should remake the decisions based upon the evidence now before me.  </w:t>
      </w:r>
    </w:p>
    <w:p w14:paraId="329B401B" w14:textId="77777777" w:rsidR="00095DBD" w:rsidRDefault="007A16A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Melvin initially suggested that I should remit the appeals and that to proceed to remake them now would effectively deny the Respondent a </w:t>
      </w:r>
      <w:r w:rsidR="00095DBD">
        <w:rPr>
          <w:rFonts w:ascii="Book Antiqua" w:hAnsi="Book Antiqua" w:cs="Arial"/>
        </w:rPr>
        <w:t>“</w:t>
      </w:r>
      <w:r>
        <w:rPr>
          <w:rFonts w:ascii="Book Antiqua" w:hAnsi="Book Antiqua" w:cs="Arial"/>
        </w:rPr>
        <w:t>la</w:t>
      </w:r>
      <w:r w:rsidR="00910F60">
        <w:rPr>
          <w:rFonts w:ascii="Book Antiqua" w:hAnsi="Book Antiqua" w:cs="Arial"/>
        </w:rPr>
        <w:t>yer</w:t>
      </w:r>
      <w:r>
        <w:rPr>
          <w:rFonts w:ascii="Book Antiqua" w:hAnsi="Book Antiqua" w:cs="Arial"/>
        </w:rPr>
        <w:t xml:space="preserve"> of appeal</w:t>
      </w:r>
      <w:r w:rsidR="00095DBD">
        <w:rPr>
          <w:rFonts w:ascii="Book Antiqua" w:hAnsi="Book Antiqua" w:cs="Arial"/>
        </w:rPr>
        <w:t>”</w:t>
      </w:r>
      <w:r>
        <w:rPr>
          <w:rFonts w:ascii="Book Antiqua" w:hAnsi="Book Antiqua" w:cs="Arial"/>
        </w:rPr>
        <w:t>.  I indicated to him that the Upper Tribunal was well able to make any additional relevant findings of fact in any given case.  Remitting to the First-tier Tribunal is to b</w:t>
      </w:r>
      <w:r w:rsidR="00095DBD">
        <w:rPr>
          <w:rFonts w:ascii="Book Antiqua" w:hAnsi="Book Antiqua" w:cs="Arial"/>
        </w:rPr>
        <w:t>e seen as the exception rather than the r</w:t>
      </w:r>
      <w:r>
        <w:rPr>
          <w:rFonts w:ascii="Book Antiqua" w:hAnsi="Book Antiqua" w:cs="Arial"/>
        </w:rPr>
        <w:t xml:space="preserve">ule. </w:t>
      </w:r>
      <w:r w:rsidR="00095DBD">
        <w:rPr>
          <w:rFonts w:ascii="Book Antiqua" w:hAnsi="Book Antiqua" w:cs="Arial"/>
        </w:rPr>
        <w:t xml:space="preserve">It would require good </w:t>
      </w:r>
      <w:r w:rsidR="00372A59">
        <w:rPr>
          <w:rFonts w:ascii="Book Antiqua" w:hAnsi="Book Antiqua" w:cs="Arial"/>
        </w:rPr>
        <w:t xml:space="preserve">and relevant </w:t>
      </w:r>
      <w:r w:rsidR="00095DBD">
        <w:rPr>
          <w:rFonts w:ascii="Book Antiqua" w:hAnsi="Book Antiqua" w:cs="Arial"/>
        </w:rPr>
        <w:t xml:space="preserve">reasons to remit: there are none in this case. </w:t>
      </w:r>
    </w:p>
    <w:p w14:paraId="08F729FF" w14:textId="77777777" w:rsidR="00095DBD" w:rsidRDefault="007A16A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Khan urged me to remake the decisions.  </w:t>
      </w:r>
    </w:p>
    <w:p w14:paraId="0D12DB7B" w14:textId="77777777" w:rsidR="00372A59" w:rsidRDefault="007A16A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put the appeals back in my list in order that both representatives would have an opportunity to consider the evidence and make relevant submissions to me </w:t>
      </w:r>
      <w:r w:rsidR="00910F60">
        <w:rPr>
          <w:rFonts w:ascii="Book Antiqua" w:hAnsi="Book Antiqua" w:cs="Arial"/>
        </w:rPr>
        <w:t>in</w:t>
      </w:r>
      <w:r>
        <w:rPr>
          <w:rFonts w:ascii="Book Antiqua" w:hAnsi="Book Antiqua" w:cs="Arial"/>
        </w:rPr>
        <w:t xml:space="preserve"> due course.  </w:t>
      </w:r>
    </w:p>
    <w:p w14:paraId="277AA7DF" w14:textId="77777777" w:rsidR="00372A59" w:rsidRDefault="007A16AD" w:rsidP="00CD4CF3">
      <w:pPr>
        <w:numPr>
          <w:ilvl w:val="0"/>
          <w:numId w:val="1"/>
        </w:numPr>
        <w:tabs>
          <w:tab w:val="clear" w:pos="567"/>
        </w:tabs>
        <w:spacing w:before="240"/>
        <w:jc w:val="both"/>
        <w:rPr>
          <w:rFonts w:ascii="Book Antiqua" w:hAnsi="Book Antiqua" w:cs="Arial"/>
        </w:rPr>
      </w:pPr>
      <w:r>
        <w:rPr>
          <w:rFonts w:ascii="Book Antiqua" w:hAnsi="Book Antiqua" w:cs="Arial"/>
        </w:rPr>
        <w:t>On resumption</w:t>
      </w:r>
      <w:r w:rsidR="00372A59">
        <w:rPr>
          <w:rFonts w:ascii="Book Antiqua" w:hAnsi="Book Antiqua" w:cs="Arial"/>
        </w:rPr>
        <w:t>,</w:t>
      </w:r>
      <w:r>
        <w:rPr>
          <w:rFonts w:ascii="Book Antiqua" w:hAnsi="Book Antiqua" w:cs="Arial"/>
        </w:rPr>
        <w:t xml:space="preserve"> Mr Melvin indicated that in fact he had nothing to add beyond what he had already said in relation to the error of law issue.  He accepted that both children were qualified, but in light of wha</w:t>
      </w:r>
      <w:r w:rsidR="00372A59">
        <w:rPr>
          <w:rFonts w:ascii="Book Antiqua" w:hAnsi="Book Antiqua" w:cs="Arial"/>
        </w:rPr>
        <w:t>t he described as the parents’ “appalling” immigration history, public interest</w:t>
      </w:r>
      <w:r>
        <w:rPr>
          <w:rFonts w:ascii="Book Antiqua" w:hAnsi="Book Antiqua" w:cs="Arial"/>
        </w:rPr>
        <w:t xml:space="preserve"> considerations outweighed the w</w:t>
      </w:r>
      <w:r w:rsidR="00372A59">
        <w:rPr>
          <w:rFonts w:ascii="Book Antiqua" w:hAnsi="Book Antiqua" w:cs="Arial"/>
        </w:rPr>
        <w:t>eight to be given to the children’s</w:t>
      </w:r>
      <w:r>
        <w:rPr>
          <w:rFonts w:ascii="Book Antiqua" w:hAnsi="Book Antiqua" w:cs="Arial"/>
        </w:rPr>
        <w:t xml:space="preserve"> residence in this country.  </w:t>
      </w:r>
    </w:p>
    <w:p w14:paraId="2786D39B" w14:textId="77777777" w:rsidR="00372A59" w:rsidRDefault="007A16AD" w:rsidP="00CD4CF3">
      <w:pPr>
        <w:numPr>
          <w:ilvl w:val="0"/>
          <w:numId w:val="1"/>
        </w:numPr>
        <w:tabs>
          <w:tab w:val="clear" w:pos="567"/>
        </w:tabs>
        <w:spacing w:before="240"/>
        <w:jc w:val="both"/>
        <w:rPr>
          <w:rFonts w:ascii="Book Antiqua" w:hAnsi="Book Antiqua" w:cs="Arial"/>
        </w:rPr>
      </w:pPr>
      <w:r>
        <w:rPr>
          <w:rFonts w:ascii="Book Antiqua" w:hAnsi="Book Antiqua" w:cs="Arial"/>
        </w:rPr>
        <w:t>Mr Khan suggested that the parent</w:t>
      </w:r>
      <w:r w:rsidR="00372A59">
        <w:rPr>
          <w:rFonts w:ascii="Book Antiqua" w:hAnsi="Book Antiqua" w:cs="Arial"/>
        </w:rPr>
        <w:t>s’</w:t>
      </w:r>
      <w:r>
        <w:rPr>
          <w:rFonts w:ascii="Book Antiqua" w:hAnsi="Book Antiqua" w:cs="Arial"/>
        </w:rPr>
        <w:t xml:space="preserve"> immigratio</w:t>
      </w:r>
      <w:r w:rsidR="00372A59">
        <w:rPr>
          <w:rFonts w:ascii="Book Antiqua" w:hAnsi="Book Antiqua" w:cs="Arial"/>
        </w:rPr>
        <w:t>n history was not as bad as</w:t>
      </w:r>
      <w:r>
        <w:rPr>
          <w:rFonts w:ascii="Book Antiqua" w:hAnsi="Book Antiqua" w:cs="Arial"/>
        </w:rPr>
        <w:t xml:space="preserve"> portrayed by Mr Melvin.  He confirmed that the third Appellant w</w:t>
      </w:r>
      <w:r w:rsidR="00910F60">
        <w:rPr>
          <w:rFonts w:ascii="Book Antiqua" w:hAnsi="Book Antiqua" w:cs="Arial"/>
        </w:rPr>
        <w:t>ill</w:t>
      </w:r>
      <w:r w:rsidR="00372A59">
        <w:rPr>
          <w:rFonts w:ascii="Book Antiqua" w:hAnsi="Book Antiqua" w:cs="Arial"/>
        </w:rPr>
        <w:t xml:space="preserve"> be starting Y</w:t>
      </w:r>
      <w:r>
        <w:rPr>
          <w:rFonts w:ascii="Book Antiqua" w:hAnsi="Book Antiqua" w:cs="Arial"/>
        </w:rPr>
        <w:t>ear 6 this September w</w:t>
      </w:r>
      <w:r w:rsidR="00910F60">
        <w:rPr>
          <w:rFonts w:ascii="Book Antiqua" w:hAnsi="Book Antiqua" w:cs="Arial"/>
        </w:rPr>
        <w:t>hilst the fourth Appellant will</w:t>
      </w:r>
      <w:r w:rsidR="00372A59">
        <w:rPr>
          <w:rFonts w:ascii="Book Antiqua" w:hAnsi="Book Antiqua" w:cs="Arial"/>
        </w:rPr>
        <w:t xml:space="preserve"> be starting Y</w:t>
      </w:r>
      <w:r>
        <w:rPr>
          <w:rFonts w:ascii="Book Antiqua" w:hAnsi="Book Antiqua" w:cs="Arial"/>
        </w:rPr>
        <w:t xml:space="preserve">ear 4.  </w:t>
      </w:r>
    </w:p>
    <w:p w14:paraId="7A70A09F" w14:textId="77777777" w:rsidR="008F0A4D" w:rsidRDefault="007A16AD" w:rsidP="00CD4CF3">
      <w:pPr>
        <w:numPr>
          <w:ilvl w:val="0"/>
          <w:numId w:val="1"/>
        </w:numPr>
        <w:tabs>
          <w:tab w:val="clear" w:pos="567"/>
        </w:tabs>
        <w:spacing w:before="240"/>
        <w:jc w:val="both"/>
        <w:rPr>
          <w:rFonts w:ascii="Book Antiqua" w:hAnsi="Book Antiqua" w:cs="Arial"/>
        </w:rPr>
      </w:pPr>
      <w:r>
        <w:rPr>
          <w:rFonts w:ascii="Book Antiqua" w:hAnsi="Book Antiqua" w:cs="Arial"/>
        </w:rPr>
        <w:t>I reserved my decision on the remaking of the decisions in these appeals.</w:t>
      </w:r>
    </w:p>
    <w:p w14:paraId="147E1E6B" w14:textId="77777777" w:rsidR="00A84A7A" w:rsidRDefault="00372A59" w:rsidP="0004071D">
      <w:pPr>
        <w:spacing w:before="240"/>
        <w:jc w:val="both"/>
        <w:rPr>
          <w:rFonts w:ascii="Book Antiqua" w:hAnsi="Book Antiqua" w:cs="Arial"/>
        </w:rPr>
      </w:pPr>
      <w:r>
        <w:rPr>
          <w:rFonts w:ascii="Book Antiqua" w:hAnsi="Book Antiqua" w:cs="Arial"/>
          <w:b/>
          <w:u w:val="single"/>
        </w:rPr>
        <w:t>Remaking the decision: findings of f</w:t>
      </w:r>
      <w:r w:rsidR="00A84A7A">
        <w:rPr>
          <w:rFonts w:ascii="Book Antiqua" w:hAnsi="Book Antiqua" w:cs="Arial"/>
          <w:b/>
          <w:u w:val="single"/>
        </w:rPr>
        <w:t>act</w:t>
      </w:r>
    </w:p>
    <w:p w14:paraId="4561AB90" w14:textId="77777777" w:rsidR="00372A59" w:rsidRPr="00372A59" w:rsidRDefault="00A84A7A" w:rsidP="0004071D">
      <w:pPr>
        <w:numPr>
          <w:ilvl w:val="0"/>
          <w:numId w:val="1"/>
        </w:numPr>
        <w:tabs>
          <w:tab w:val="clear" w:pos="567"/>
        </w:tabs>
        <w:spacing w:before="240"/>
        <w:jc w:val="both"/>
        <w:rPr>
          <w:rFonts w:ascii="Book Antiqua" w:hAnsi="Book Antiqua" w:cs="Arial"/>
          <w:b/>
          <w:u w:val="single"/>
        </w:rPr>
      </w:pPr>
      <w:r w:rsidRPr="004B3947">
        <w:rPr>
          <w:rFonts w:ascii="Book Antiqua" w:hAnsi="Book Antiqua" w:cs="Arial"/>
        </w:rPr>
        <w:t xml:space="preserve">Based on the evidence before me, in light of what the judge found, the submissions made </w:t>
      </w:r>
      <w:r w:rsidR="00910F60" w:rsidRPr="004B3947">
        <w:rPr>
          <w:rFonts w:ascii="Book Antiqua" w:hAnsi="Book Antiqua" w:cs="Arial"/>
        </w:rPr>
        <w:t>be</w:t>
      </w:r>
      <w:r w:rsidRPr="004B3947">
        <w:rPr>
          <w:rFonts w:ascii="Book Antiqua" w:hAnsi="Book Antiqua" w:cs="Arial"/>
        </w:rPr>
        <w:t>for</w:t>
      </w:r>
      <w:r w:rsidR="00910F60" w:rsidRPr="004B3947">
        <w:rPr>
          <w:rFonts w:ascii="Book Antiqua" w:hAnsi="Book Antiqua" w:cs="Arial"/>
        </w:rPr>
        <w:t>e</w:t>
      </w:r>
      <w:r w:rsidRPr="004B3947">
        <w:rPr>
          <w:rFonts w:ascii="Book Antiqua" w:hAnsi="Book Antiqua" w:cs="Arial"/>
        </w:rPr>
        <w:t xml:space="preserve"> me, and on a balance of probabil</w:t>
      </w:r>
      <w:r w:rsidR="0004071D" w:rsidRPr="004B3947">
        <w:rPr>
          <w:rFonts w:ascii="Book Antiqua" w:hAnsi="Book Antiqua" w:cs="Arial"/>
        </w:rPr>
        <w:t>i</w:t>
      </w:r>
      <w:r w:rsidRPr="004B3947">
        <w:rPr>
          <w:rFonts w:ascii="Book Antiqua" w:hAnsi="Book Antiqua" w:cs="Arial"/>
        </w:rPr>
        <w:t xml:space="preserve">ties, I make the following core findings of fact in these appeals.  </w:t>
      </w:r>
    </w:p>
    <w:p w14:paraId="4EFF9219" w14:textId="77777777" w:rsidR="00372A59" w:rsidRPr="00372A59" w:rsidRDefault="00A84A7A" w:rsidP="0004071D">
      <w:pPr>
        <w:numPr>
          <w:ilvl w:val="0"/>
          <w:numId w:val="1"/>
        </w:numPr>
        <w:tabs>
          <w:tab w:val="clear" w:pos="567"/>
        </w:tabs>
        <w:spacing w:before="240"/>
        <w:jc w:val="both"/>
        <w:rPr>
          <w:rFonts w:ascii="Book Antiqua" w:hAnsi="Book Antiqua" w:cs="Arial"/>
          <w:b/>
          <w:u w:val="single"/>
        </w:rPr>
      </w:pPr>
      <w:r w:rsidRPr="004B3947">
        <w:rPr>
          <w:rFonts w:ascii="Book Antiqua" w:hAnsi="Book Antiqua" w:cs="Arial"/>
        </w:rPr>
        <w:t>I find that all of the Appellants are Mauritian nationals.  I find that the second Appellant arrived in the United Kingdom in 2000 and appears to have had leave to remain until approximately July 2010.  I find that the first Appellant entered the United Kingdom in July 2004.  She too appears to have had leave until July of that year.  I find that the third Appellan</w:t>
      </w:r>
      <w:r w:rsidR="00372A59">
        <w:rPr>
          <w:rFonts w:ascii="Book Antiqua" w:hAnsi="Book Antiqua" w:cs="Arial"/>
        </w:rPr>
        <w:t>t was born in this country in July 2008 and the fourth in</w:t>
      </w:r>
      <w:r w:rsidRPr="004B3947">
        <w:rPr>
          <w:rFonts w:ascii="Book Antiqua" w:hAnsi="Book Antiqua" w:cs="Arial"/>
        </w:rPr>
        <w:t xml:space="preserve"> March 2010.  I find that they have resided in this country continuously throughout their lives.  I</w:t>
      </w:r>
      <w:r w:rsidR="0004071D" w:rsidRPr="004B3947">
        <w:rPr>
          <w:rFonts w:ascii="Book Antiqua" w:hAnsi="Book Antiqua" w:cs="Arial"/>
        </w:rPr>
        <w:t xml:space="preserve"> </w:t>
      </w:r>
      <w:r w:rsidRPr="004B3947">
        <w:rPr>
          <w:rFonts w:ascii="Book Antiqua" w:hAnsi="Book Antiqua" w:cs="Arial"/>
        </w:rPr>
        <w:t>find that the first and second Appellants did approach the Respondent to try and regularise their status in March 2016.  I find that there are no convictions against them, nor have they prac</w:t>
      </w:r>
      <w:r w:rsidR="00372A59">
        <w:rPr>
          <w:rFonts w:ascii="Book Antiqua" w:hAnsi="Book Antiqua" w:cs="Arial"/>
        </w:rPr>
        <w:t xml:space="preserve">tised deception at any time.  </w:t>
      </w:r>
      <w:r w:rsidRPr="004B3947">
        <w:rPr>
          <w:rFonts w:ascii="Book Antiqua" w:hAnsi="Book Antiqua" w:cs="Arial"/>
        </w:rPr>
        <w:t xml:space="preserve">I find that the Appellants have </w:t>
      </w:r>
      <w:r w:rsidRPr="004B3947">
        <w:rPr>
          <w:rFonts w:ascii="Book Antiqua" w:hAnsi="Book Antiqua" w:cs="Arial"/>
        </w:rPr>
        <w:lastRenderedPageBreak/>
        <w:t xml:space="preserve">probably worked in the United Kingdom both with </w:t>
      </w:r>
      <w:r w:rsidR="002D26FD" w:rsidRPr="004B3947">
        <w:rPr>
          <w:rFonts w:ascii="Book Antiqua" w:hAnsi="Book Antiqua" w:cs="Arial"/>
        </w:rPr>
        <w:t>and</w:t>
      </w:r>
      <w:r w:rsidRPr="004B3947">
        <w:rPr>
          <w:rFonts w:ascii="Book Antiqua" w:hAnsi="Book Antiqua" w:cs="Arial"/>
        </w:rPr>
        <w:t xml:space="preserve"> without permission.  I find that there will be no particular obstacles to the first and second Appellants finding employment if the family unit returned to Mauritius</w:t>
      </w:r>
      <w:r w:rsidR="00653DFB" w:rsidRPr="004B3947">
        <w:rPr>
          <w:rFonts w:ascii="Book Antiqua" w:hAnsi="Book Antiqua" w:cs="Arial"/>
        </w:rPr>
        <w:t xml:space="preserve">.  </w:t>
      </w:r>
    </w:p>
    <w:p w14:paraId="3D949A4E" w14:textId="77777777" w:rsidR="0004071D" w:rsidRPr="00372A59" w:rsidRDefault="00653DFB" w:rsidP="0004071D">
      <w:pPr>
        <w:numPr>
          <w:ilvl w:val="0"/>
          <w:numId w:val="1"/>
        </w:numPr>
        <w:tabs>
          <w:tab w:val="clear" w:pos="567"/>
        </w:tabs>
        <w:spacing w:before="240"/>
        <w:jc w:val="both"/>
        <w:rPr>
          <w:rFonts w:ascii="Book Antiqua" w:hAnsi="Book Antiqua" w:cs="Arial"/>
          <w:b/>
          <w:u w:val="single"/>
        </w:rPr>
      </w:pPr>
      <w:r w:rsidRPr="004B3947">
        <w:rPr>
          <w:rFonts w:ascii="Book Antiqua" w:hAnsi="Book Antiqua" w:cs="Arial"/>
        </w:rPr>
        <w:t>Turning to the children</w:t>
      </w:r>
      <w:r w:rsidR="002D26FD" w:rsidRPr="004B3947">
        <w:rPr>
          <w:rFonts w:ascii="Book Antiqua" w:hAnsi="Book Antiqua" w:cs="Arial"/>
        </w:rPr>
        <w:t>,</w:t>
      </w:r>
      <w:r w:rsidRPr="004B3947">
        <w:rPr>
          <w:rFonts w:ascii="Book Antiqua" w:hAnsi="Book Antiqua" w:cs="Arial"/>
        </w:rPr>
        <w:t xml:space="preserve"> and in particular the third Appellant, I find that the evidence contained</w:t>
      </w:r>
      <w:r w:rsidR="002D26FD" w:rsidRPr="004B3947">
        <w:rPr>
          <w:rFonts w:ascii="Book Antiqua" w:hAnsi="Book Antiqua" w:cs="Arial"/>
        </w:rPr>
        <w:t xml:space="preserve"> at</w:t>
      </w:r>
      <w:r w:rsidRPr="004B3947">
        <w:rPr>
          <w:rFonts w:ascii="Book Antiqua" w:hAnsi="Book Antiqua" w:cs="Arial"/>
        </w:rPr>
        <w:t xml:space="preserve"> Annexes E, G and J in the Respondent’s bundle is en</w:t>
      </w:r>
      <w:r w:rsidR="002D26FD" w:rsidRPr="004B3947">
        <w:rPr>
          <w:rFonts w:ascii="Book Antiqua" w:hAnsi="Book Antiqua" w:cs="Arial"/>
        </w:rPr>
        <w:t>tirely reliable.  None of it had</w:t>
      </w:r>
      <w:r w:rsidRPr="004B3947">
        <w:rPr>
          <w:rFonts w:ascii="Book Antiqua" w:hAnsi="Book Antiqua" w:cs="Arial"/>
        </w:rPr>
        <w:t xml:space="preserve"> been challenged by the Respondent at any stage.  I find that the third Appellant has mild to moderate learning difficulties, with significant speech and language problems and significant difficulties with</w:t>
      </w:r>
      <w:r w:rsidR="00372A59">
        <w:rPr>
          <w:rFonts w:ascii="Book Antiqua" w:hAnsi="Book Antiqua" w:cs="Arial"/>
        </w:rPr>
        <w:t xml:space="preserve"> attention, listening, and over-</w:t>
      </w:r>
      <w:r w:rsidRPr="004B3947">
        <w:rPr>
          <w:rFonts w:ascii="Book Antiqua" w:hAnsi="Book Antiqua" w:cs="Arial"/>
        </w:rPr>
        <w:t>active behaviours.  I find that he has not been given</w:t>
      </w:r>
      <w:r w:rsidR="00372A59">
        <w:rPr>
          <w:rFonts w:ascii="Book Antiqua" w:hAnsi="Book Antiqua" w:cs="Arial"/>
        </w:rPr>
        <w:t xml:space="preserve"> a diagnosis of ADHD</w:t>
      </w:r>
      <w:r w:rsidRPr="004B3947">
        <w:rPr>
          <w:rFonts w:ascii="Book Antiqua" w:hAnsi="Book Antiqua" w:cs="Arial"/>
        </w:rPr>
        <w:t xml:space="preserve"> or autism at this time, although it appears as though assessments are continuing.  I find that the third Appellant has received educational support in school including revised classroom activities.  I accept that with such support he has gradually increased in confidence and is slowly building up literacy </w:t>
      </w:r>
      <w:r w:rsidR="004B3947" w:rsidRPr="004B3947">
        <w:rPr>
          <w:rFonts w:ascii="Book Antiqua" w:hAnsi="Book Antiqua" w:cs="Arial"/>
        </w:rPr>
        <w:t xml:space="preserve">and </w:t>
      </w:r>
      <w:r w:rsidRPr="004B3947">
        <w:rPr>
          <w:rFonts w:ascii="Book Antiqua" w:hAnsi="Book Antiqua" w:cs="Arial"/>
        </w:rPr>
        <w:t>numeracy scores.  I find that educational support would continue in all curriculum areas.  I regard it as a reliable assessment of a relevant professional that without good support his intellectual, social and emotional outcomes would be compromised (with particular reference to E1 of the Respondent’s bundle).  I fin</w:t>
      </w:r>
      <w:r w:rsidR="00D32115">
        <w:rPr>
          <w:rFonts w:ascii="Book Antiqua" w:hAnsi="Book Antiqua" w:cs="Arial"/>
        </w:rPr>
        <w:t xml:space="preserve">d that the third Appellant </w:t>
      </w:r>
      <w:r w:rsidR="0064557F">
        <w:rPr>
          <w:rFonts w:ascii="Book Antiqua" w:hAnsi="Book Antiqua" w:cs="Arial"/>
        </w:rPr>
        <w:t xml:space="preserve">was in Year 4 at the time and </w:t>
      </w:r>
      <w:r w:rsidRPr="004B3947">
        <w:rPr>
          <w:rFonts w:ascii="Book Antiqua" w:hAnsi="Book Antiqua" w:cs="Arial"/>
        </w:rPr>
        <w:t>th</w:t>
      </w:r>
      <w:r w:rsidR="0004071D" w:rsidRPr="004B3947">
        <w:rPr>
          <w:rFonts w:ascii="Book Antiqua" w:hAnsi="Book Antiqua" w:cs="Arial"/>
        </w:rPr>
        <w:t>a</w:t>
      </w:r>
      <w:r w:rsidRPr="004B3947">
        <w:rPr>
          <w:rFonts w:ascii="Book Antiqua" w:hAnsi="Book Antiqua" w:cs="Arial"/>
        </w:rPr>
        <w:t>t the fourth Appellant w</w:t>
      </w:r>
      <w:r w:rsidR="0064557F">
        <w:rPr>
          <w:rFonts w:ascii="Book Antiqua" w:hAnsi="Book Antiqua" w:cs="Arial"/>
        </w:rPr>
        <w:t>as in Year 2.</w:t>
      </w:r>
    </w:p>
    <w:p w14:paraId="0C4322BF" w14:textId="77777777" w:rsidR="00653DFB" w:rsidRPr="00653DFB" w:rsidRDefault="00372A59" w:rsidP="0004071D">
      <w:pPr>
        <w:spacing w:before="240"/>
        <w:jc w:val="both"/>
        <w:rPr>
          <w:rFonts w:ascii="Book Antiqua" w:hAnsi="Book Antiqua" w:cs="Arial"/>
          <w:b/>
          <w:u w:val="single"/>
        </w:rPr>
      </w:pPr>
      <w:r>
        <w:rPr>
          <w:rFonts w:ascii="Book Antiqua" w:hAnsi="Book Antiqua" w:cs="Arial"/>
          <w:b/>
          <w:u w:val="single"/>
        </w:rPr>
        <w:t>Remaking the decision: c</w:t>
      </w:r>
      <w:r w:rsidR="00653DFB">
        <w:rPr>
          <w:rFonts w:ascii="Book Antiqua" w:hAnsi="Book Antiqua" w:cs="Arial"/>
          <w:b/>
          <w:u w:val="single"/>
        </w:rPr>
        <w:t>onclusions</w:t>
      </w:r>
    </w:p>
    <w:p w14:paraId="0698C2E5" w14:textId="77777777" w:rsidR="00372A59" w:rsidRPr="00372A59" w:rsidRDefault="00372A59" w:rsidP="00372A59">
      <w:pPr>
        <w:spacing w:before="240"/>
        <w:jc w:val="both"/>
        <w:rPr>
          <w:rFonts w:ascii="Book Antiqua" w:hAnsi="Book Antiqua" w:cs="Arial"/>
          <w:i/>
        </w:rPr>
      </w:pPr>
      <w:r w:rsidRPr="00372A59">
        <w:rPr>
          <w:rFonts w:ascii="Book Antiqua" w:hAnsi="Book Antiqua" w:cs="Arial"/>
          <w:i/>
        </w:rPr>
        <w:t xml:space="preserve">Paragraph </w:t>
      </w:r>
      <w:r w:rsidR="0064557F">
        <w:rPr>
          <w:rFonts w:ascii="Book Antiqua" w:hAnsi="Book Antiqua" w:cs="Arial"/>
          <w:i/>
        </w:rPr>
        <w:t>276ADE</w:t>
      </w:r>
      <w:r w:rsidR="004B3947" w:rsidRPr="00372A59">
        <w:rPr>
          <w:rFonts w:ascii="Book Antiqua" w:hAnsi="Book Antiqua" w:cs="Arial"/>
          <w:i/>
        </w:rPr>
        <w:t xml:space="preserve">(1)(iv) </w:t>
      </w:r>
      <w:r w:rsidRPr="00372A59">
        <w:rPr>
          <w:rFonts w:ascii="Book Antiqua" w:hAnsi="Book Antiqua" w:cs="Arial"/>
          <w:i/>
        </w:rPr>
        <w:t xml:space="preserve">of the rules </w:t>
      </w:r>
      <w:r w:rsidR="004B3947" w:rsidRPr="00372A59">
        <w:rPr>
          <w:rFonts w:ascii="Book Antiqua" w:hAnsi="Book Antiqua" w:cs="Arial"/>
          <w:i/>
        </w:rPr>
        <w:t xml:space="preserve">and the third Appellant.  </w:t>
      </w:r>
    </w:p>
    <w:p w14:paraId="2D7985F0" w14:textId="77777777" w:rsidR="002E137F" w:rsidRDefault="00653DF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relevant human rights claims were made on 14 March 2016.  At that time the third Appellant had resided in the United Kingdom for over seven years.  He was therefore </w:t>
      </w:r>
      <w:r w:rsidR="00A70B91">
        <w:rPr>
          <w:rFonts w:ascii="Book Antiqua" w:hAnsi="Book Antiqua" w:cs="Arial"/>
        </w:rPr>
        <w:t>a qualifying child at that time.  In relation to</w:t>
      </w:r>
      <w:r w:rsidR="002E137F">
        <w:rPr>
          <w:rFonts w:ascii="Book Antiqua" w:hAnsi="Book Antiqua" w:cs="Arial"/>
        </w:rPr>
        <w:t xml:space="preserve"> his best interests, I conclude</w:t>
      </w:r>
      <w:r w:rsidR="00A70B91">
        <w:rPr>
          <w:rFonts w:ascii="Book Antiqua" w:hAnsi="Book Antiqua" w:cs="Arial"/>
        </w:rPr>
        <w:t xml:space="preserve"> that as at that time, they lay in remaining with his parents and young sibling, and I also conclude that the best interests lay in him remaining in the United Kingdom.  This is due in part to his length of residence, in part because he had resided in this country throughout his life, and also because it is clear enough in the evidence that he had significant cognitive and educational problems for which he was receiving important support at school.  On a cumulative basis</w:t>
      </w:r>
      <w:r w:rsidR="002E137F">
        <w:rPr>
          <w:rFonts w:ascii="Book Antiqua" w:hAnsi="Book Antiqua" w:cs="Arial"/>
        </w:rPr>
        <w:t>,</w:t>
      </w:r>
      <w:r w:rsidR="00A70B91">
        <w:rPr>
          <w:rFonts w:ascii="Book Antiqua" w:hAnsi="Book Antiqua" w:cs="Arial"/>
        </w:rPr>
        <w:t xml:space="preserve"> a</w:t>
      </w:r>
      <w:r w:rsidR="00F120A0">
        <w:rPr>
          <w:rFonts w:ascii="Book Antiqua" w:hAnsi="Book Antiqua" w:cs="Arial"/>
        </w:rPr>
        <w:t>ny</w:t>
      </w:r>
      <w:r w:rsidR="00A70B91">
        <w:rPr>
          <w:rFonts w:ascii="Book Antiqua" w:hAnsi="Book Antiqua" w:cs="Arial"/>
        </w:rPr>
        <w:t xml:space="preserve"> removal from the United Kingdom at that time would have been contrary to his best interests.  </w:t>
      </w:r>
    </w:p>
    <w:p w14:paraId="2A140B40" w14:textId="77777777" w:rsidR="00A13495" w:rsidRDefault="00A13495" w:rsidP="00CD4CF3">
      <w:pPr>
        <w:numPr>
          <w:ilvl w:val="0"/>
          <w:numId w:val="1"/>
        </w:numPr>
        <w:tabs>
          <w:tab w:val="clear" w:pos="567"/>
        </w:tabs>
        <w:spacing w:before="240"/>
        <w:jc w:val="both"/>
        <w:rPr>
          <w:rFonts w:ascii="Book Antiqua" w:hAnsi="Book Antiqua" w:cs="Arial"/>
        </w:rPr>
      </w:pPr>
      <w:r>
        <w:rPr>
          <w:rFonts w:ascii="Book Antiqua" w:hAnsi="Book Antiqua" w:cs="Arial"/>
        </w:rPr>
        <w:t>I now go on to conduct the</w:t>
      </w:r>
      <w:r w:rsidR="00A70B91">
        <w:rPr>
          <w:rFonts w:ascii="Book Antiqua" w:hAnsi="Book Antiqua" w:cs="Arial"/>
        </w:rPr>
        <w:t xml:space="preserve"> reasonableness assessment</w:t>
      </w:r>
      <w:r>
        <w:rPr>
          <w:rFonts w:ascii="Book Antiqua" w:hAnsi="Book Antiqua" w:cs="Arial"/>
        </w:rPr>
        <w:t>, having regard to wider public interest considerations</w:t>
      </w:r>
      <w:r w:rsidR="00A70B91">
        <w:rPr>
          <w:rFonts w:ascii="Book Antiqua" w:hAnsi="Book Antiqua" w:cs="Arial"/>
        </w:rPr>
        <w:t xml:space="preserve">.  The best interests </w:t>
      </w:r>
      <w:r>
        <w:rPr>
          <w:rFonts w:ascii="Book Antiqua" w:hAnsi="Book Antiqua" w:cs="Arial"/>
        </w:rPr>
        <w:t xml:space="preserve">of the third Appellant </w:t>
      </w:r>
      <w:r w:rsidR="00A70B91">
        <w:rPr>
          <w:rFonts w:ascii="Book Antiqua" w:hAnsi="Book Antiqua" w:cs="Arial"/>
        </w:rPr>
        <w:t xml:space="preserve">are </w:t>
      </w:r>
      <w:r>
        <w:rPr>
          <w:rFonts w:ascii="Book Antiqua" w:hAnsi="Book Antiqua" w:cs="Arial"/>
        </w:rPr>
        <w:t xml:space="preserve">clearly </w:t>
      </w:r>
      <w:r w:rsidR="00A70B91">
        <w:rPr>
          <w:rFonts w:ascii="Book Antiqua" w:hAnsi="Book Antiqua" w:cs="Arial"/>
        </w:rPr>
        <w:t>a significant factor.  So too of course is the f</w:t>
      </w:r>
      <w:r w:rsidR="00F120A0">
        <w:rPr>
          <w:rFonts w:ascii="Book Antiqua" w:hAnsi="Book Antiqua" w:cs="Arial"/>
        </w:rPr>
        <w:t>a</w:t>
      </w:r>
      <w:r>
        <w:rPr>
          <w:rFonts w:ascii="Book Antiqua" w:hAnsi="Book Antiqua" w:cs="Arial"/>
        </w:rPr>
        <w:t>ct that he</w:t>
      </w:r>
      <w:r w:rsidR="00A70B91">
        <w:rPr>
          <w:rFonts w:ascii="Book Antiqua" w:hAnsi="Book Antiqua" w:cs="Arial"/>
        </w:rPr>
        <w:t xml:space="preserve"> was </w:t>
      </w:r>
      <w:r w:rsidR="00F120A0">
        <w:rPr>
          <w:rFonts w:ascii="Book Antiqua" w:hAnsi="Book Antiqua" w:cs="Arial"/>
        </w:rPr>
        <w:t xml:space="preserve">a </w:t>
      </w:r>
      <w:r w:rsidR="00A70B91">
        <w:rPr>
          <w:rFonts w:ascii="Book Antiqua" w:hAnsi="Book Antiqua" w:cs="Arial"/>
        </w:rPr>
        <w:t>qualified child</w:t>
      </w:r>
      <w:r>
        <w:rPr>
          <w:rFonts w:ascii="Book Antiqua" w:hAnsi="Book Antiqua" w:cs="Arial"/>
        </w:rPr>
        <w:t>, thereby acquiring an important ‘residential’ status (i.e. beyond the seven-year threshold).</w:t>
      </w:r>
      <w:r w:rsidR="00A70B91">
        <w:rPr>
          <w:rFonts w:ascii="Book Antiqua" w:hAnsi="Book Antiqua" w:cs="Arial"/>
        </w:rPr>
        <w:t xml:space="preserve"> I attribute </w:t>
      </w:r>
      <w:r>
        <w:rPr>
          <w:rFonts w:ascii="Book Antiqua" w:hAnsi="Book Antiqua" w:cs="Arial"/>
        </w:rPr>
        <w:t xml:space="preserve">very </w:t>
      </w:r>
      <w:r w:rsidR="00A70B91">
        <w:rPr>
          <w:rFonts w:ascii="Book Antiqua" w:hAnsi="Book Antiqua" w:cs="Arial"/>
        </w:rPr>
        <w:t xml:space="preserve">significant weight to these factors.  </w:t>
      </w:r>
    </w:p>
    <w:p w14:paraId="5E005F87" w14:textId="77777777" w:rsidR="00A13495" w:rsidRDefault="00A70B9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Are there powerful </w:t>
      </w:r>
      <w:r w:rsidR="00A13495">
        <w:rPr>
          <w:rFonts w:ascii="Book Antiqua" w:hAnsi="Book Antiqua" w:cs="Arial"/>
        </w:rPr>
        <w:t xml:space="preserve">countervailing </w:t>
      </w:r>
      <w:r>
        <w:rPr>
          <w:rFonts w:ascii="Book Antiqua" w:hAnsi="Book Antiqua" w:cs="Arial"/>
        </w:rPr>
        <w:t>reasons which go to outweigh the significant factor</w:t>
      </w:r>
      <w:r w:rsidR="00A13495">
        <w:rPr>
          <w:rFonts w:ascii="Book Antiqua" w:hAnsi="Book Antiqua" w:cs="Arial"/>
        </w:rPr>
        <w:t>s in the third Appellant's favour</w:t>
      </w:r>
      <w:r>
        <w:rPr>
          <w:rFonts w:ascii="Book Antiqua" w:hAnsi="Book Antiqua" w:cs="Arial"/>
        </w:rPr>
        <w:t xml:space="preserve">?  In my view there are not.  </w:t>
      </w:r>
    </w:p>
    <w:p w14:paraId="4F5DB09C" w14:textId="77777777" w:rsidR="00434533" w:rsidRDefault="00A70B91" w:rsidP="00CD4CF3">
      <w:pPr>
        <w:numPr>
          <w:ilvl w:val="0"/>
          <w:numId w:val="1"/>
        </w:numPr>
        <w:tabs>
          <w:tab w:val="clear" w:pos="567"/>
        </w:tabs>
        <w:spacing w:before="240"/>
        <w:jc w:val="both"/>
        <w:rPr>
          <w:rFonts w:ascii="Book Antiqua" w:hAnsi="Book Antiqua" w:cs="Arial"/>
        </w:rPr>
      </w:pPr>
      <w:r>
        <w:rPr>
          <w:rFonts w:ascii="Book Antiqua" w:hAnsi="Book Antiqua" w:cs="Arial"/>
        </w:rPr>
        <w:t>I take full account of the public interest in ensuring effective immigration control.  It is of course the case that none of the</w:t>
      </w:r>
      <w:r w:rsidR="00A13495">
        <w:rPr>
          <w:rFonts w:ascii="Book Antiqua" w:hAnsi="Book Antiqua" w:cs="Arial"/>
        </w:rPr>
        <w:t xml:space="preserve"> family members had</w:t>
      </w:r>
      <w:r>
        <w:rPr>
          <w:rFonts w:ascii="Book Antiqua" w:hAnsi="Book Antiqua" w:cs="Arial"/>
        </w:rPr>
        <w:t xml:space="preserve"> status in this country</w:t>
      </w:r>
      <w:r w:rsidR="00A13495">
        <w:rPr>
          <w:rFonts w:ascii="Book Antiqua" w:hAnsi="Book Antiqua" w:cs="Arial"/>
        </w:rPr>
        <w:t xml:space="preserve"> as at the date of the human rights claims</w:t>
      </w:r>
      <w:r>
        <w:rPr>
          <w:rFonts w:ascii="Book Antiqua" w:hAnsi="Book Antiqua" w:cs="Arial"/>
        </w:rPr>
        <w:t xml:space="preserve">.  In respect of the parents, I do not </w:t>
      </w:r>
      <w:r w:rsidR="00434533">
        <w:rPr>
          <w:rFonts w:ascii="Book Antiqua" w:hAnsi="Book Antiqua" w:cs="Arial"/>
        </w:rPr>
        <w:t xml:space="preserve">however </w:t>
      </w:r>
      <w:r>
        <w:rPr>
          <w:rFonts w:ascii="Book Antiqua" w:hAnsi="Book Antiqua" w:cs="Arial"/>
        </w:rPr>
        <w:t xml:space="preserve">agree with Mr Melvin’s description of their history as being “appalling”.  They in fact had leave </w:t>
      </w:r>
      <w:r>
        <w:rPr>
          <w:rFonts w:ascii="Book Antiqua" w:hAnsi="Book Antiqua" w:cs="Arial"/>
        </w:rPr>
        <w:lastRenderedPageBreak/>
        <w:t xml:space="preserve">to remain for a significant period of time </w:t>
      </w:r>
      <w:r w:rsidR="00F120A0">
        <w:rPr>
          <w:rFonts w:ascii="Book Antiqua" w:hAnsi="Book Antiqua" w:cs="Arial"/>
        </w:rPr>
        <w:t xml:space="preserve">before </w:t>
      </w:r>
      <w:r>
        <w:rPr>
          <w:rFonts w:ascii="Book Antiqua" w:hAnsi="Book Antiqua" w:cs="Arial"/>
        </w:rPr>
        <w:t>becoming overstayers.  There is no criminality or deception in play here.  Albeit rather belated</w:t>
      </w:r>
      <w:r w:rsidR="0004071D">
        <w:rPr>
          <w:rFonts w:ascii="Book Antiqua" w:hAnsi="Book Antiqua" w:cs="Arial"/>
        </w:rPr>
        <w:t>l</w:t>
      </w:r>
      <w:r>
        <w:rPr>
          <w:rFonts w:ascii="Book Antiqua" w:hAnsi="Book Antiqua" w:cs="Arial"/>
        </w:rPr>
        <w:t>y, they did in fact approach the Respondent to try and regularise their status in 2016.  The history, whilst poor,</w:t>
      </w:r>
      <w:r w:rsidR="00434533">
        <w:rPr>
          <w:rFonts w:ascii="Book Antiqua" w:hAnsi="Book Antiqua" w:cs="Arial"/>
        </w:rPr>
        <w:t xml:space="preserve"> is not particularly adverse</w:t>
      </w:r>
      <w:r>
        <w:rPr>
          <w:rFonts w:ascii="Book Antiqua" w:hAnsi="Book Antiqua" w:cs="Arial"/>
        </w:rPr>
        <w:t xml:space="preserve">.  </w:t>
      </w:r>
    </w:p>
    <w:p w14:paraId="584D2018" w14:textId="77777777" w:rsidR="00434533" w:rsidRDefault="00A70B9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family unit are not financially independent and I take account of this.  </w:t>
      </w:r>
      <w:r w:rsidR="00434533">
        <w:rPr>
          <w:rFonts w:ascii="Book Antiqua" w:hAnsi="Book Antiqua" w:cs="Arial"/>
        </w:rPr>
        <w:t>There is no question of an inability to speak English in these appeals.</w:t>
      </w:r>
    </w:p>
    <w:p w14:paraId="21D5273D" w14:textId="77777777" w:rsidR="00D32115" w:rsidRDefault="00A70B91" w:rsidP="00CD4CF3">
      <w:pPr>
        <w:numPr>
          <w:ilvl w:val="0"/>
          <w:numId w:val="1"/>
        </w:numPr>
        <w:tabs>
          <w:tab w:val="clear" w:pos="567"/>
        </w:tabs>
        <w:spacing w:before="240"/>
        <w:jc w:val="both"/>
        <w:rPr>
          <w:rFonts w:ascii="Book Antiqua" w:hAnsi="Book Antiqua" w:cs="Arial"/>
        </w:rPr>
      </w:pPr>
      <w:r>
        <w:rPr>
          <w:rFonts w:ascii="Book Antiqua" w:hAnsi="Book Antiqua" w:cs="Arial"/>
        </w:rPr>
        <w:t>Weighing all relevant matters up</w:t>
      </w:r>
      <w:r w:rsidR="00434533">
        <w:rPr>
          <w:rFonts w:ascii="Book Antiqua" w:hAnsi="Book Antiqua" w:cs="Arial"/>
        </w:rPr>
        <w:t>,</w:t>
      </w:r>
      <w:r>
        <w:rPr>
          <w:rFonts w:ascii="Book Antiqua" w:hAnsi="Book Antiqua" w:cs="Arial"/>
        </w:rPr>
        <w:t xml:space="preserve"> whilst there are obviously factors counting a</w:t>
      </w:r>
      <w:r w:rsidR="00434533">
        <w:rPr>
          <w:rFonts w:ascii="Book Antiqua" w:hAnsi="Book Antiqua" w:cs="Arial"/>
        </w:rPr>
        <w:t>gainst the third Appellant within</w:t>
      </w:r>
      <w:r>
        <w:rPr>
          <w:rFonts w:ascii="Book Antiqua" w:hAnsi="Book Antiqua" w:cs="Arial"/>
        </w:rPr>
        <w:t xml:space="preserve"> the reasonableness assessment, these factors are not </w:t>
      </w:r>
      <w:r w:rsidR="00434533">
        <w:rPr>
          <w:rFonts w:ascii="Book Antiqua" w:hAnsi="Book Antiqua" w:cs="Arial"/>
        </w:rPr>
        <w:t xml:space="preserve">such that they combine to disclose “powerful reasons” in </w:t>
      </w:r>
      <w:r>
        <w:rPr>
          <w:rFonts w:ascii="Book Antiqua" w:hAnsi="Book Antiqua" w:cs="Arial"/>
        </w:rPr>
        <w:t xml:space="preserve">light of what is said in </w:t>
      </w:r>
      <w:r w:rsidRPr="0004071D">
        <w:rPr>
          <w:rFonts w:ascii="Book Antiqua" w:hAnsi="Book Antiqua" w:cs="Arial"/>
          <w:u w:val="single"/>
        </w:rPr>
        <w:t>MA (Pak</w:t>
      </w:r>
      <w:r w:rsidR="0004071D" w:rsidRPr="0004071D">
        <w:rPr>
          <w:rFonts w:ascii="Book Antiqua" w:hAnsi="Book Antiqua" w:cs="Arial"/>
          <w:u w:val="single"/>
        </w:rPr>
        <w:t>is</w:t>
      </w:r>
      <w:r w:rsidRPr="0004071D">
        <w:rPr>
          <w:rFonts w:ascii="Book Antiqua" w:hAnsi="Book Antiqua" w:cs="Arial"/>
          <w:u w:val="single"/>
        </w:rPr>
        <w:t>tan)</w:t>
      </w:r>
      <w:r>
        <w:rPr>
          <w:rFonts w:ascii="Book Antiqua" w:hAnsi="Book Antiqua" w:cs="Arial"/>
        </w:rPr>
        <w:t xml:space="preserve"> and as reiterate</w:t>
      </w:r>
      <w:r w:rsidR="00F120A0">
        <w:rPr>
          <w:rFonts w:ascii="Book Antiqua" w:hAnsi="Book Antiqua" w:cs="Arial"/>
        </w:rPr>
        <w:t>d</w:t>
      </w:r>
      <w:r>
        <w:rPr>
          <w:rFonts w:ascii="Book Antiqua" w:hAnsi="Book Antiqua" w:cs="Arial"/>
        </w:rPr>
        <w:t xml:space="preserve"> by the president </w:t>
      </w:r>
      <w:r w:rsidR="00434533">
        <w:rPr>
          <w:rFonts w:ascii="Book Antiqua" w:hAnsi="Book Antiqua" w:cs="Arial"/>
        </w:rPr>
        <w:t>at paragraph 33 of</w:t>
      </w:r>
      <w:r>
        <w:rPr>
          <w:rFonts w:ascii="Book Antiqua" w:hAnsi="Book Antiqua" w:cs="Arial"/>
        </w:rPr>
        <w:t xml:space="preserve"> </w:t>
      </w:r>
      <w:r w:rsidR="00434533" w:rsidRPr="00434533">
        <w:rPr>
          <w:rFonts w:ascii="Book Antiqua" w:hAnsi="Book Antiqua" w:cs="Arial"/>
          <w:color w:val="000000"/>
          <w:u w:val="single"/>
        </w:rPr>
        <w:t xml:space="preserve">MT and ET (child’s best interests; </w:t>
      </w:r>
      <w:r w:rsidR="00434533" w:rsidRPr="00434533">
        <w:rPr>
          <w:rFonts w:ascii="Book Antiqua" w:hAnsi="Book Antiqua" w:cs="Arial"/>
          <w:i/>
          <w:color w:val="000000"/>
          <w:u w:val="single"/>
        </w:rPr>
        <w:t>ex tempore</w:t>
      </w:r>
      <w:r w:rsidR="00434533" w:rsidRPr="00434533">
        <w:rPr>
          <w:rFonts w:ascii="Book Antiqua" w:hAnsi="Book Antiqua" w:cs="Arial"/>
          <w:color w:val="000000"/>
          <w:u w:val="single"/>
        </w:rPr>
        <w:t xml:space="preserve"> pilot) Nigeria</w:t>
      </w:r>
      <w:r w:rsidR="00434533" w:rsidRPr="00B5497F">
        <w:rPr>
          <w:rFonts w:ascii="Book Antiqua" w:hAnsi="Book Antiqua" w:cs="Arial"/>
          <w:color w:val="000000"/>
        </w:rPr>
        <w:t xml:space="preserve"> [2018] UKUT </w:t>
      </w:r>
      <w:r w:rsidR="00434533">
        <w:rPr>
          <w:rFonts w:ascii="Book Antiqua" w:hAnsi="Book Antiqua" w:cs="Arial"/>
          <w:color w:val="000000"/>
        </w:rPr>
        <w:t xml:space="preserve">00088 </w:t>
      </w:r>
      <w:r w:rsidR="00434533" w:rsidRPr="00B5497F">
        <w:rPr>
          <w:rFonts w:ascii="Book Antiqua" w:hAnsi="Book Antiqua" w:cs="Arial"/>
          <w:color w:val="000000"/>
        </w:rPr>
        <w:t>(IAC</w:t>
      </w:r>
      <w:r w:rsidR="00434533">
        <w:rPr>
          <w:rFonts w:ascii="Book Antiqua" w:hAnsi="Book Antiqua" w:cs="Arial"/>
          <w:color w:val="000000"/>
        </w:rPr>
        <w:t>)</w:t>
      </w:r>
      <w:r>
        <w:rPr>
          <w:rFonts w:ascii="Book Antiqua" w:hAnsi="Book Antiqua" w:cs="Arial"/>
        </w:rPr>
        <w:t xml:space="preserve">.  </w:t>
      </w:r>
    </w:p>
    <w:p w14:paraId="094F25EE" w14:textId="77777777" w:rsidR="00653DFB" w:rsidRDefault="00A70B9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conclude that the third Appellant satisfies the requirements of paragraph 276ADE(1)(iv).  He therefore succeeds </w:t>
      </w:r>
      <w:r w:rsidR="00F7038F">
        <w:rPr>
          <w:rFonts w:ascii="Book Antiqua" w:hAnsi="Book Antiqua" w:cs="Arial"/>
        </w:rPr>
        <w:t>in</w:t>
      </w:r>
      <w:r w:rsidR="00D32115">
        <w:rPr>
          <w:rFonts w:ascii="Book Antiqua" w:hAnsi="Book Antiqua" w:cs="Arial"/>
        </w:rPr>
        <w:t xml:space="preserve"> his own right on this basis, satisfaction of the relevant rule being</w:t>
      </w:r>
      <w:r>
        <w:rPr>
          <w:rFonts w:ascii="Book Antiqua" w:hAnsi="Book Antiqua" w:cs="Arial"/>
        </w:rPr>
        <w:t xml:space="preserve"> </w:t>
      </w:r>
      <w:r w:rsidR="00473E76">
        <w:rPr>
          <w:rFonts w:ascii="Book Antiqua" w:hAnsi="Book Antiqua" w:cs="Arial"/>
        </w:rPr>
        <w:t>dipositive</w:t>
      </w:r>
      <w:r>
        <w:rPr>
          <w:rFonts w:ascii="Book Antiqua" w:hAnsi="Book Antiqua" w:cs="Arial"/>
        </w:rPr>
        <w:t xml:space="preserve"> of the appeal (see for example paragraph 34 of </w:t>
      </w:r>
      <w:r w:rsidRPr="00F7038F">
        <w:rPr>
          <w:rFonts w:ascii="Book Antiqua" w:hAnsi="Book Antiqua" w:cs="Arial"/>
          <w:u w:val="single"/>
        </w:rPr>
        <w:t>TZ (Pakistan)</w:t>
      </w:r>
      <w:r w:rsidR="00D32115">
        <w:rPr>
          <w:rFonts w:ascii="Book Antiqua" w:hAnsi="Book Antiqua" w:cs="Arial"/>
          <w:u w:val="single"/>
        </w:rPr>
        <w:t xml:space="preserve"> </w:t>
      </w:r>
      <w:r w:rsidR="00D32115" w:rsidRPr="00D32115">
        <w:rPr>
          <w:rFonts w:ascii="Book Antiqua" w:hAnsi="Book Antiqua" w:cs="Arial"/>
        </w:rPr>
        <w:t xml:space="preserve">[2018] EWCA </w:t>
      </w:r>
      <w:proofErr w:type="spellStart"/>
      <w:r w:rsidR="00D32115" w:rsidRPr="00D32115">
        <w:rPr>
          <w:rFonts w:ascii="Book Antiqua" w:hAnsi="Book Antiqua" w:cs="Arial"/>
        </w:rPr>
        <w:t>Civ</w:t>
      </w:r>
      <w:proofErr w:type="spellEnd"/>
      <w:r w:rsidR="00D32115" w:rsidRPr="00D32115">
        <w:rPr>
          <w:rFonts w:ascii="Book Antiqua" w:hAnsi="Book Antiqua" w:cs="Arial"/>
        </w:rPr>
        <w:t xml:space="preserve"> 1109</w:t>
      </w:r>
      <w:r>
        <w:rPr>
          <w:rFonts w:ascii="Book Antiqua" w:hAnsi="Book Antiqua" w:cs="Arial"/>
        </w:rPr>
        <w:t>).</w:t>
      </w:r>
    </w:p>
    <w:p w14:paraId="3C6EDBFA" w14:textId="77777777" w:rsidR="00D32115" w:rsidRDefault="00A70B91" w:rsidP="00D32115">
      <w:pPr>
        <w:numPr>
          <w:ilvl w:val="0"/>
          <w:numId w:val="1"/>
        </w:numPr>
        <w:tabs>
          <w:tab w:val="clear" w:pos="567"/>
        </w:tabs>
        <w:spacing w:before="240"/>
        <w:jc w:val="both"/>
        <w:rPr>
          <w:rFonts w:ascii="Book Antiqua" w:hAnsi="Book Antiqua" w:cs="Arial"/>
        </w:rPr>
      </w:pPr>
      <w:r>
        <w:rPr>
          <w:rFonts w:ascii="Book Antiqua" w:hAnsi="Book Antiqua" w:cs="Arial"/>
        </w:rPr>
        <w:t>There has been no suggestion that this family unit should be split up, with the third Appellant remaining in this country alone whilst the others are returned to Mauritius.  I therefore conclude that on the basis th</w:t>
      </w:r>
      <w:r w:rsidR="00F7038F">
        <w:rPr>
          <w:rFonts w:ascii="Book Antiqua" w:hAnsi="Book Antiqua" w:cs="Arial"/>
        </w:rPr>
        <w:t>a</w:t>
      </w:r>
      <w:r>
        <w:rPr>
          <w:rFonts w:ascii="Book Antiqua" w:hAnsi="Book Antiqua" w:cs="Arial"/>
        </w:rPr>
        <w:t xml:space="preserve">t the third Appellant succeeds </w:t>
      </w:r>
      <w:r w:rsidR="00D32115">
        <w:rPr>
          <w:rFonts w:ascii="Book Antiqua" w:hAnsi="Book Antiqua" w:cs="Arial"/>
        </w:rPr>
        <w:t>with reference to the relevant r</w:t>
      </w:r>
      <w:r>
        <w:rPr>
          <w:rFonts w:ascii="Book Antiqua" w:hAnsi="Book Antiqua" w:cs="Arial"/>
        </w:rPr>
        <w:t>ule, the three other Appellants succ</w:t>
      </w:r>
      <w:r w:rsidR="00D32115">
        <w:rPr>
          <w:rFonts w:ascii="Book Antiqua" w:hAnsi="Book Antiqua" w:cs="Arial"/>
        </w:rPr>
        <w:t>eed outside the context of the r</w:t>
      </w:r>
      <w:r>
        <w:rPr>
          <w:rFonts w:ascii="Book Antiqua" w:hAnsi="Book Antiqua" w:cs="Arial"/>
        </w:rPr>
        <w:t>ules.</w:t>
      </w:r>
    </w:p>
    <w:p w14:paraId="2088304A" w14:textId="77777777" w:rsidR="00D32115" w:rsidRPr="00D32115" w:rsidRDefault="00D32115" w:rsidP="00D32115">
      <w:pPr>
        <w:spacing w:before="240"/>
        <w:jc w:val="both"/>
        <w:rPr>
          <w:rFonts w:ascii="Book Antiqua" w:hAnsi="Book Antiqua" w:cs="Arial"/>
          <w:i/>
        </w:rPr>
      </w:pPr>
      <w:r w:rsidRPr="00D32115">
        <w:rPr>
          <w:rFonts w:ascii="Book Antiqua" w:hAnsi="Book Antiqua" w:cs="Arial"/>
          <w:i/>
        </w:rPr>
        <w:t>Section 117</w:t>
      </w:r>
      <w:proofErr w:type="gramStart"/>
      <w:r w:rsidRPr="00D32115">
        <w:rPr>
          <w:rFonts w:ascii="Book Antiqua" w:hAnsi="Book Antiqua" w:cs="Arial"/>
          <w:i/>
        </w:rPr>
        <w:t>B(</w:t>
      </w:r>
      <w:proofErr w:type="gramEnd"/>
      <w:r w:rsidRPr="00D32115">
        <w:rPr>
          <w:rFonts w:ascii="Book Antiqua" w:hAnsi="Book Antiqua" w:cs="Arial"/>
          <w:i/>
        </w:rPr>
        <w:t>6) NIAA 2002</w:t>
      </w:r>
    </w:p>
    <w:p w14:paraId="23B14992" w14:textId="77777777" w:rsidR="00D32115" w:rsidRDefault="005A1CA8" w:rsidP="00D32115">
      <w:pPr>
        <w:numPr>
          <w:ilvl w:val="0"/>
          <w:numId w:val="1"/>
        </w:numPr>
        <w:tabs>
          <w:tab w:val="clear" w:pos="567"/>
        </w:tabs>
        <w:spacing w:before="240"/>
        <w:jc w:val="both"/>
        <w:rPr>
          <w:rFonts w:ascii="Book Antiqua" w:hAnsi="Book Antiqua" w:cs="Arial"/>
        </w:rPr>
      </w:pPr>
      <w:r w:rsidRPr="00D32115">
        <w:rPr>
          <w:rFonts w:ascii="Book Antiqua" w:hAnsi="Book Antiqua" w:cs="Arial"/>
        </w:rPr>
        <w:t>For the sake of completeness</w:t>
      </w:r>
      <w:r w:rsidR="00F7038F" w:rsidRPr="00D32115">
        <w:rPr>
          <w:rFonts w:ascii="Book Antiqua" w:hAnsi="Book Antiqua" w:cs="Arial"/>
        </w:rPr>
        <w:t>,</w:t>
      </w:r>
      <w:r w:rsidRPr="00D32115">
        <w:rPr>
          <w:rFonts w:ascii="Book Antiqua" w:hAnsi="Book Antiqua" w:cs="Arial"/>
        </w:rPr>
        <w:t xml:space="preserve"> I go on and address this issue which of course brings the relevant date of assessment of circumstances up to the date of the hearing before me</w:t>
      </w:r>
      <w:r w:rsidR="00D32115">
        <w:rPr>
          <w:rFonts w:ascii="Book Antiqua" w:hAnsi="Book Antiqua" w:cs="Arial"/>
        </w:rPr>
        <w:t>, as opposed to it being confined to the date of the making of the human rights claims</w:t>
      </w:r>
      <w:r w:rsidRPr="00D32115">
        <w:rPr>
          <w:rFonts w:ascii="Book Antiqua" w:hAnsi="Book Antiqua" w:cs="Arial"/>
        </w:rPr>
        <w:t xml:space="preserve">.  </w:t>
      </w:r>
    </w:p>
    <w:p w14:paraId="636032D7" w14:textId="77777777" w:rsidR="0064557F" w:rsidRDefault="005A1CA8" w:rsidP="00D32115">
      <w:pPr>
        <w:numPr>
          <w:ilvl w:val="0"/>
          <w:numId w:val="1"/>
        </w:numPr>
        <w:tabs>
          <w:tab w:val="clear" w:pos="567"/>
        </w:tabs>
        <w:spacing w:before="240"/>
        <w:jc w:val="both"/>
        <w:rPr>
          <w:rFonts w:ascii="Book Antiqua" w:hAnsi="Book Antiqua" w:cs="Arial"/>
        </w:rPr>
      </w:pPr>
      <w:r w:rsidRPr="00D32115">
        <w:rPr>
          <w:rFonts w:ascii="Book Antiqua" w:hAnsi="Book Antiqua" w:cs="Arial"/>
        </w:rPr>
        <w:t>As of now the third Appellant has been in this country for just over ten years and the fourth Appellant for almost eight and a half.  The best interests of both the children lies not only with remaining with their parents but, in both cases</w:t>
      </w:r>
      <w:r w:rsidR="00D32115">
        <w:rPr>
          <w:rFonts w:ascii="Book Antiqua" w:hAnsi="Book Antiqua" w:cs="Arial"/>
        </w:rPr>
        <w:t>,</w:t>
      </w:r>
      <w:r w:rsidRPr="00D32115">
        <w:rPr>
          <w:rFonts w:ascii="Book Antiqua" w:hAnsi="Book Antiqua" w:cs="Arial"/>
        </w:rPr>
        <w:t xml:space="preserve"> also in remaining in the United Kingdom.  The third Appellant’s best interests have</w:t>
      </w:r>
      <w:r w:rsidR="00D32115">
        <w:rPr>
          <w:rFonts w:ascii="Book Antiqua" w:hAnsi="Book Antiqua" w:cs="Arial"/>
        </w:rPr>
        <w:t>,</w:t>
      </w:r>
      <w:r w:rsidRPr="00D32115">
        <w:rPr>
          <w:rFonts w:ascii="Book Antiqua" w:hAnsi="Book Antiqua" w:cs="Arial"/>
        </w:rPr>
        <w:t xml:space="preserve"> I conclude</w:t>
      </w:r>
      <w:r w:rsidR="00D32115">
        <w:rPr>
          <w:rFonts w:ascii="Book Antiqua" w:hAnsi="Book Antiqua" w:cs="Arial"/>
        </w:rPr>
        <w:t>,</w:t>
      </w:r>
      <w:r w:rsidR="0064557F">
        <w:rPr>
          <w:rFonts w:ascii="Book Antiqua" w:hAnsi="Book Antiqua" w:cs="Arial"/>
        </w:rPr>
        <w:t xml:space="preserve"> clearly strengthened since March 2016</w:t>
      </w:r>
      <w:r w:rsidRPr="00D32115">
        <w:rPr>
          <w:rFonts w:ascii="Book Antiqua" w:hAnsi="Book Antiqua" w:cs="Arial"/>
        </w:rPr>
        <w:t>.  I take into account the f</w:t>
      </w:r>
      <w:r w:rsidR="0004071D" w:rsidRPr="00D32115">
        <w:rPr>
          <w:rFonts w:ascii="Book Antiqua" w:hAnsi="Book Antiqua" w:cs="Arial"/>
        </w:rPr>
        <w:t>a</w:t>
      </w:r>
      <w:r w:rsidRPr="00D32115">
        <w:rPr>
          <w:rFonts w:ascii="Book Antiqua" w:hAnsi="Book Antiqua" w:cs="Arial"/>
        </w:rPr>
        <w:t>ct that the third Appellant will shortly be starting an important stage in h</w:t>
      </w:r>
      <w:r w:rsidR="00F7038F" w:rsidRPr="00D32115">
        <w:rPr>
          <w:rFonts w:ascii="Book Antiqua" w:hAnsi="Book Antiqua" w:cs="Arial"/>
        </w:rPr>
        <w:t>is</w:t>
      </w:r>
      <w:r w:rsidRPr="00D32115">
        <w:rPr>
          <w:rFonts w:ascii="Book Antiqua" w:hAnsi="Book Antiqua" w:cs="Arial"/>
        </w:rPr>
        <w:t xml:space="preserve"> educatio</w:t>
      </w:r>
      <w:r w:rsidR="0064557F">
        <w:rPr>
          <w:rFonts w:ascii="Book Antiqua" w:hAnsi="Book Antiqua" w:cs="Arial"/>
        </w:rPr>
        <w:t>nal career, namely Year 6,</w:t>
      </w:r>
      <w:r w:rsidRPr="00D32115">
        <w:rPr>
          <w:rFonts w:ascii="Book Antiqua" w:hAnsi="Book Antiqua" w:cs="Arial"/>
        </w:rPr>
        <w:t xml:space="preserve"> which includes the SATS test</w:t>
      </w:r>
      <w:r w:rsidR="00F7038F" w:rsidRPr="00D32115">
        <w:rPr>
          <w:rFonts w:ascii="Book Antiqua" w:hAnsi="Book Antiqua" w:cs="Arial"/>
        </w:rPr>
        <w:t>s</w:t>
      </w:r>
      <w:r w:rsidRPr="00D32115">
        <w:rPr>
          <w:rFonts w:ascii="Book Antiqua" w:hAnsi="Book Antiqua" w:cs="Arial"/>
        </w:rPr>
        <w:t>.</w:t>
      </w:r>
      <w:r w:rsidR="0064557F">
        <w:rPr>
          <w:rFonts w:ascii="Book Antiqua" w:hAnsi="Book Antiqua" w:cs="Arial"/>
        </w:rPr>
        <w:t xml:space="preserve">  </w:t>
      </w:r>
      <w:r w:rsidR="00602254">
        <w:rPr>
          <w:rFonts w:ascii="Book Antiqua" w:hAnsi="Book Antiqua" w:cs="Arial"/>
        </w:rPr>
        <w:t xml:space="preserve">The evidence shows that his cognitive problems persist (as would be expected). </w:t>
      </w:r>
      <w:r w:rsidR="0064557F">
        <w:rPr>
          <w:rFonts w:ascii="Book Antiqua" w:hAnsi="Book Antiqua" w:cs="Arial"/>
        </w:rPr>
        <w:t>His</w:t>
      </w:r>
      <w:r w:rsidR="005C5EC8" w:rsidRPr="00D32115">
        <w:rPr>
          <w:rFonts w:ascii="Book Antiqua" w:hAnsi="Book Antiqua" w:cs="Arial"/>
        </w:rPr>
        <w:t xml:space="preserve"> best interests combined with the now very substan</w:t>
      </w:r>
      <w:r w:rsidR="0064557F">
        <w:rPr>
          <w:rFonts w:ascii="Book Antiqua" w:hAnsi="Book Antiqua" w:cs="Arial"/>
        </w:rPr>
        <w:t xml:space="preserve">tial period of residence </w:t>
      </w:r>
      <w:r w:rsidR="005C5EC8" w:rsidRPr="00D32115">
        <w:rPr>
          <w:rFonts w:ascii="Book Antiqua" w:hAnsi="Book Antiqua" w:cs="Arial"/>
        </w:rPr>
        <w:t>represents a very</w:t>
      </w:r>
      <w:r w:rsidR="0064557F">
        <w:rPr>
          <w:rFonts w:ascii="Book Antiqua" w:hAnsi="Book Antiqua" w:cs="Arial"/>
        </w:rPr>
        <w:t>, very</w:t>
      </w:r>
      <w:r w:rsidR="005C5EC8" w:rsidRPr="00D32115">
        <w:rPr>
          <w:rFonts w:ascii="Book Antiqua" w:hAnsi="Book Antiqua" w:cs="Arial"/>
        </w:rPr>
        <w:t xml:space="preserve"> significant factor in the overall reasonableness assessment.  In respect of the wider public interest considerations, these are really much the same as they were in respect of the assessment under paragraph 276ADE(1)(iv) (see above).  The Appellants all continue to have no status in this country, but there are no new adverse factors in play here.  </w:t>
      </w:r>
    </w:p>
    <w:p w14:paraId="7C8B42E9" w14:textId="77777777" w:rsidR="0064557F" w:rsidRDefault="005C5EC8" w:rsidP="00D32115">
      <w:pPr>
        <w:numPr>
          <w:ilvl w:val="0"/>
          <w:numId w:val="1"/>
        </w:numPr>
        <w:tabs>
          <w:tab w:val="clear" w:pos="567"/>
        </w:tabs>
        <w:spacing w:before="240"/>
        <w:jc w:val="both"/>
        <w:rPr>
          <w:rFonts w:ascii="Book Antiqua" w:hAnsi="Book Antiqua" w:cs="Arial"/>
        </w:rPr>
      </w:pPr>
      <w:r w:rsidRPr="00D32115">
        <w:rPr>
          <w:rFonts w:ascii="Book Antiqua" w:hAnsi="Book Antiqua" w:cs="Arial"/>
        </w:rPr>
        <w:t xml:space="preserve">It remains the case, and now by an extended margin, that no </w:t>
      </w:r>
      <w:r w:rsidR="0064557F">
        <w:rPr>
          <w:rFonts w:ascii="Book Antiqua" w:hAnsi="Book Antiqua" w:cs="Arial"/>
        </w:rPr>
        <w:t>“</w:t>
      </w:r>
      <w:r w:rsidRPr="00D32115">
        <w:rPr>
          <w:rFonts w:ascii="Book Antiqua" w:hAnsi="Book Antiqua" w:cs="Arial"/>
        </w:rPr>
        <w:t>powerful reasons</w:t>
      </w:r>
      <w:r w:rsidR="0064557F">
        <w:rPr>
          <w:rFonts w:ascii="Book Antiqua" w:hAnsi="Book Antiqua" w:cs="Arial"/>
        </w:rPr>
        <w:t>”</w:t>
      </w:r>
      <w:r w:rsidRPr="00D32115">
        <w:rPr>
          <w:rFonts w:ascii="Book Antiqua" w:hAnsi="Book Antiqua" w:cs="Arial"/>
        </w:rPr>
        <w:t xml:space="preserve"> exist to outweigh the very significant importance attributable to the children’s best interests and length of residence in the United Kingdom</w:t>
      </w:r>
      <w:r w:rsidR="0064557F">
        <w:rPr>
          <w:rFonts w:ascii="Book Antiqua" w:hAnsi="Book Antiqua" w:cs="Arial"/>
        </w:rPr>
        <w:t xml:space="preserve">, </w:t>
      </w:r>
      <w:r w:rsidR="0064557F" w:rsidRPr="0064557F">
        <w:rPr>
          <w:rFonts w:ascii="Book Antiqua" w:hAnsi="Book Antiqua" w:cs="Arial"/>
          <w:u w:val="single"/>
        </w:rPr>
        <w:t xml:space="preserve">in particular those of the third </w:t>
      </w:r>
      <w:r w:rsidR="0064557F" w:rsidRPr="0064557F">
        <w:rPr>
          <w:rFonts w:ascii="Book Antiqua" w:hAnsi="Book Antiqua" w:cs="Arial"/>
          <w:u w:val="single"/>
        </w:rPr>
        <w:lastRenderedPageBreak/>
        <w:t>Appellant</w:t>
      </w:r>
      <w:r w:rsidRPr="00D32115">
        <w:rPr>
          <w:rFonts w:ascii="Book Antiqua" w:hAnsi="Book Antiqua" w:cs="Arial"/>
        </w:rPr>
        <w:t xml:space="preserve">.  I conclude that it would not be reasonable to expect </w:t>
      </w:r>
      <w:r w:rsidR="0064557F">
        <w:rPr>
          <w:rFonts w:ascii="Book Antiqua" w:hAnsi="Book Antiqua" w:cs="Arial"/>
        </w:rPr>
        <w:t xml:space="preserve">either of </w:t>
      </w:r>
      <w:r w:rsidRPr="00D32115">
        <w:rPr>
          <w:rFonts w:ascii="Book Antiqua" w:hAnsi="Book Antiqua" w:cs="Arial"/>
        </w:rPr>
        <w:t xml:space="preserve">the children to leave the United Kingdom.  Section 117B(6) is satisfied.  </w:t>
      </w:r>
    </w:p>
    <w:p w14:paraId="0592D890" w14:textId="77777777" w:rsidR="00FE6895" w:rsidRDefault="005C5EC8" w:rsidP="00D32115">
      <w:pPr>
        <w:numPr>
          <w:ilvl w:val="0"/>
          <w:numId w:val="1"/>
        </w:numPr>
        <w:tabs>
          <w:tab w:val="clear" w:pos="567"/>
        </w:tabs>
        <w:spacing w:before="240"/>
        <w:jc w:val="both"/>
        <w:rPr>
          <w:rFonts w:ascii="Book Antiqua" w:hAnsi="Book Antiqua" w:cs="Arial"/>
        </w:rPr>
      </w:pPr>
      <w:r w:rsidRPr="00D32115">
        <w:rPr>
          <w:rFonts w:ascii="Book Antiqua" w:hAnsi="Book Antiqua" w:cs="Arial"/>
        </w:rPr>
        <w:t xml:space="preserve">In this regard, the first and second Appellants are able to succeed in their appeals as this provision is a free-standing provision (see paragraphs 17-21 of </w:t>
      </w:r>
      <w:r w:rsidRPr="00D32115">
        <w:rPr>
          <w:rFonts w:ascii="Book Antiqua" w:hAnsi="Book Antiqua" w:cs="Arial"/>
          <w:u w:val="single"/>
        </w:rPr>
        <w:t>MA (Pakistan)</w:t>
      </w:r>
      <w:r w:rsidRPr="00D32115">
        <w:rPr>
          <w:rFonts w:ascii="Book Antiqua" w:hAnsi="Book Antiqua" w:cs="Arial"/>
        </w:rPr>
        <w:t>).  There is no need for them to show anythi</w:t>
      </w:r>
      <w:r w:rsidR="0064557F">
        <w:rPr>
          <w:rFonts w:ascii="Book Antiqua" w:hAnsi="Book Antiqua" w:cs="Arial"/>
        </w:rPr>
        <w:t>ng else in order to succeed on a</w:t>
      </w:r>
      <w:r w:rsidRPr="00D32115">
        <w:rPr>
          <w:rFonts w:ascii="Book Antiqua" w:hAnsi="Book Antiqua" w:cs="Arial"/>
        </w:rPr>
        <w:t>rticle 8 grounds.</w:t>
      </w:r>
      <w:r w:rsidR="0064557F">
        <w:rPr>
          <w:rFonts w:ascii="Book Antiqua" w:hAnsi="Book Antiqua" w:cs="Arial"/>
        </w:rPr>
        <w:t xml:space="preserve"> Where the first and second Appellants succeed with reference to section 117B(6), the third and fourth Appellants must also succeed, there being no suggestion that the family be split up.</w:t>
      </w:r>
    </w:p>
    <w:p w14:paraId="3C6A47E6" w14:textId="54551520" w:rsidR="00D24F3E" w:rsidRPr="00D24F3E" w:rsidRDefault="00D24F3E" w:rsidP="00D24F3E">
      <w:pPr>
        <w:spacing w:before="240"/>
        <w:jc w:val="both"/>
        <w:rPr>
          <w:rFonts w:ascii="Book Antiqua" w:hAnsi="Book Antiqua" w:cs="Arial"/>
          <w:b/>
          <w:u w:val="single"/>
        </w:rPr>
      </w:pPr>
      <w:r w:rsidRPr="00D24F3E">
        <w:rPr>
          <w:rFonts w:ascii="Book Antiqua" w:hAnsi="Book Antiqua" w:cs="Arial"/>
          <w:b/>
          <w:u w:val="single"/>
        </w:rPr>
        <w:t>Postscript</w:t>
      </w:r>
    </w:p>
    <w:p w14:paraId="3458FAA0" w14:textId="3C0B1AEB" w:rsidR="00D24F3E" w:rsidRPr="00D32115" w:rsidRDefault="00D24F3E" w:rsidP="00D32115">
      <w:pPr>
        <w:numPr>
          <w:ilvl w:val="0"/>
          <w:numId w:val="1"/>
        </w:numPr>
        <w:tabs>
          <w:tab w:val="clear" w:pos="567"/>
        </w:tabs>
        <w:spacing w:before="240"/>
        <w:jc w:val="both"/>
        <w:rPr>
          <w:rFonts w:ascii="Book Antiqua" w:hAnsi="Book Antiqua" w:cs="Arial"/>
        </w:rPr>
      </w:pPr>
      <w:r>
        <w:rPr>
          <w:rFonts w:ascii="Book Antiqua" w:hAnsi="Book Antiqua" w:cs="Arial"/>
        </w:rPr>
        <w:t>Following the hearing before me I received correspondence from the Appellants’ solicitors that an application has now been made on the third Appellant's behalf for her registration as a British citizen under the British Nationality Act 1981. I make it clear that this information has played no part in my decision.</w:t>
      </w:r>
    </w:p>
    <w:p w14:paraId="7EEC7A0D" w14:textId="77777777" w:rsidR="0064557F" w:rsidRPr="0064557F" w:rsidRDefault="0064557F" w:rsidP="00CD4CF3">
      <w:pPr>
        <w:spacing w:before="240"/>
        <w:jc w:val="both"/>
        <w:rPr>
          <w:rFonts w:ascii="Book Antiqua" w:hAnsi="Book Antiqua" w:cs="Arial"/>
          <w:b/>
          <w:u w:val="single"/>
        </w:rPr>
      </w:pPr>
      <w:r w:rsidRPr="0064557F">
        <w:rPr>
          <w:rFonts w:ascii="Book Antiqua" w:hAnsi="Book Antiqua" w:cs="Arial"/>
          <w:b/>
          <w:u w:val="single"/>
        </w:rPr>
        <w:t xml:space="preserve">Notice of decision </w:t>
      </w:r>
    </w:p>
    <w:p w14:paraId="511344A0" w14:textId="77777777" w:rsidR="0064557F" w:rsidRPr="00602254" w:rsidRDefault="0064557F" w:rsidP="00CD4CF3">
      <w:pPr>
        <w:spacing w:before="240"/>
        <w:jc w:val="both"/>
        <w:rPr>
          <w:rFonts w:ascii="Book Antiqua" w:hAnsi="Book Antiqua" w:cs="Arial"/>
          <w:b/>
        </w:rPr>
      </w:pPr>
      <w:r w:rsidRPr="00602254">
        <w:rPr>
          <w:rFonts w:ascii="Book Antiqua" w:hAnsi="Book Antiqua" w:cs="Arial"/>
          <w:b/>
        </w:rPr>
        <w:t>The decision of the First-tier Tribunal contains material errors of law and I set it aside.</w:t>
      </w:r>
    </w:p>
    <w:p w14:paraId="0C94DC44" w14:textId="77777777" w:rsidR="0064557F" w:rsidRPr="00602254" w:rsidRDefault="0064557F" w:rsidP="00CD4CF3">
      <w:pPr>
        <w:spacing w:before="240"/>
        <w:jc w:val="both"/>
        <w:rPr>
          <w:rFonts w:ascii="Book Antiqua" w:hAnsi="Book Antiqua" w:cs="Arial"/>
          <w:b/>
        </w:rPr>
      </w:pPr>
      <w:r w:rsidRPr="00602254">
        <w:rPr>
          <w:rFonts w:ascii="Book Antiqua" w:hAnsi="Book Antiqua" w:cs="Arial"/>
          <w:b/>
        </w:rPr>
        <w:t>I remake t</w:t>
      </w:r>
      <w:r w:rsidR="00602254" w:rsidRPr="00602254">
        <w:rPr>
          <w:rFonts w:ascii="Book Antiqua" w:hAnsi="Book Antiqua" w:cs="Arial"/>
          <w:b/>
        </w:rPr>
        <w:t xml:space="preserve">he decisions by </w:t>
      </w:r>
      <w:r w:rsidR="00602254" w:rsidRPr="00D24F3E">
        <w:rPr>
          <w:rFonts w:ascii="Book Antiqua" w:hAnsi="Book Antiqua" w:cs="Arial"/>
          <w:b/>
          <w:u w:val="single"/>
        </w:rPr>
        <w:t>allowing</w:t>
      </w:r>
      <w:r w:rsidR="00602254" w:rsidRPr="00602254">
        <w:rPr>
          <w:rFonts w:ascii="Book Antiqua" w:hAnsi="Book Antiqua" w:cs="Arial"/>
          <w:b/>
        </w:rPr>
        <w:t xml:space="preserve"> all four appeals on the basis that the Respondent’s decisions to refuse their human rights claims are unlawful under section 6 of the Human Rights Act 1998.</w:t>
      </w:r>
    </w:p>
    <w:p w14:paraId="46B9A1A7" w14:textId="77777777" w:rsidR="0064557F" w:rsidRPr="009B7433" w:rsidRDefault="0064557F" w:rsidP="00CD4CF3">
      <w:pPr>
        <w:spacing w:before="240"/>
        <w:jc w:val="both"/>
        <w:rPr>
          <w:rFonts w:ascii="Book Antiqua" w:hAnsi="Book Antiqua" w:cs="Arial"/>
        </w:rPr>
      </w:pPr>
    </w:p>
    <w:p w14:paraId="5A7B6FF0" w14:textId="77777777"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00602254">
        <w:rPr>
          <w:noProof/>
        </w:rPr>
        <w:drawing>
          <wp:inline distT="0" distB="0" distL="0" distR="0" wp14:anchorId="0B244966" wp14:editId="0A2085E1">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602254">
        <w:rPr>
          <w:rFonts w:ascii="Book Antiqua" w:hAnsi="Book Antiqua" w:cs="Arial"/>
        </w:rPr>
        <w:tab/>
      </w:r>
      <w:r w:rsidR="00602254">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602254">
        <w:rPr>
          <w:rFonts w:ascii="Book Antiqua" w:hAnsi="Book Antiqua" w:cs="Arial"/>
        </w:rPr>
        <w:t>: 19 August 2018</w:t>
      </w:r>
    </w:p>
    <w:p w14:paraId="4C823615" w14:textId="77777777"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3A61B30C" w14:textId="70B3D0E9" w:rsidR="00F52278" w:rsidRDefault="00F52278">
      <w:pPr>
        <w:rPr>
          <w:rFonts w:ascii="Book Antiqua" w:hAnsi="Book Antiqua" w:cs="Arial"/>
          <w:color w:val="000000"/>
        </w:rPr>
      </w:pPr>
      <w:r>
        <w:rPr>
          <w:rFonts w:ascii="Book Antiqua" w:hAnsi="Book Antiqua" w:cs="Arial"/>
          <w:color w:val="000000"/>
        </w:rPr>
        <w:br w:type="page"/>
      </w:r>
    </w:p>
    <w:p w14:paraId="3D626053" w14:textId="77777777" w:rsidR="00D949B7" w:rsidRDefault="00D949B7" w:rsidP="00CD4CF3">
      <w:pPr>
        <w:spacing w:before="240"/>
        <w:jc w:val="both"/>
        <w:rPr>
          <w:rFonts w:ascii="Book Antiqua" w:hAnsi="Book Antiqua" w:cs="Arial"/>
          <w:color w:val="000000"/>
        </w:rPr>
      </w:pPr>
    </w:p>
    <w:p w14:paraId="511EB105"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TO THE RESPONDENT</w:t>
      </w:r>
    </w:p>
    <w:p w14:paraId="2179E89B" w14:textId="77777777"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14:paraId="5CDD4957" w14:textId="77777777" w:rsidR="00D949B7" w:rsidRDefault="00D949B7" w:rsidP="00602254">
      <w:pPr>
        <w:spacing w:before="240"/>
        <w:jc w:val="both"/>
        <w:rPr>
          <w:rFonts w:ascii="Book Antiqua" w:hAnsi="Book Antiqua" w:cs="Arial"/>
        </w:rPr>
      </w:pPr>
      <w:bookmarkStart w:id="1" w:name="_GoBack"/>
      <w:r w:rsidRPr="00D949B7">
        <w:rPr>
          <w:rFonts w:ascii="Book Antiqua" w:hAnsi="Book Antiqua" w:cs="Arial"/>
        </w:rPr>
        <w:t xml:space="preserve">As I have allowed the appeal and because a fee has been paid or is payable, I have considered making a fee award and have decided to make </w:t>
      </w:r>
      <w:r w:rsidR="00602254">
        <w:rPr>
          <w:rFonts w:ascii="Book Antiqua" w:hAnsi="Book Antiqua" w:cs="Arial"/>
        </w:rPr>
        <w:t>full fee awards of £140.00 in each appeal, making a total of £560.00.</w:t>
      </w:r>
    </w:p>
    <w:bookmarkEnd w:id="1"/>
    <w:p w14:paraId="30536FF0" w14:textId="77777777" w:rsidR="00D949B7" w:rsidRDefault="00D949B7" w:rsidP="00CD4CF3">
      <w:pPr>
        <w:spacing w:before="240"/>
        <w:jc w:val="both"/>
        <w:rPr>
          <w:rFonts w:ascii="Book Antiqua" w:hAnsi="Book Antiqua" w:cs="Arial"/>
        </w:rPr>
      </w:pPr>
    </w:p>
    <w:p w14:paraId="0BFA2228" w14:textId="77777777" w:rsidR="00D949B7" w:rsidRDefault="00D949B7" w:rsidP="00CD4CF3">
      <w:pPr>
        <w:spacing w:before="240"/>
        <w:jc w:val="both"/>
        <w:rPr>
          <w:rFonts w:ascii="Book Antiqua" w:hAnsi="Book Antiqua" w:cs="Arial"/>
        </w:rPr>
      </w:pPr>
    </w:p>
    <w:p w14:paraId="15FD1573" w14:textId="77777777"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00602254">
        <w:rPr>
          <w:noProof/>
        </w:rPr>
        <w:drawing>
          <wp:inline distT="0" distB="0" distL="0" distR="0" wp14:anchorId="1CBCC894" wp14:editId="1167A651">
            <wp:extent cx="2287494" cy="674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602254">
        <w:rPr>
          <w:rFonts w:ascii="Book Antiqua" w:hAnsi="Book Antiqua" w:cs="Arial"/>
        </w:rPr>
        <w:tab/>
      </w:r>
      <w:r w:rsidR="00602254">
        <w:rPr>
          <w:rFonts w:ascii="Book Antiqua" w:hAnsi="Book Antiqua" w:cs="Arial"/>
        </w:rPr>
        <w:tab/>
      </w:r>
      <w:r w:rsidRPr="009B7433">
        <w:rPr>
          <w:rFonts w:ascii="Book Antiqua" w:hAnsi="Book Antiqua" w:cs="Arial"/>
        </w:rPr>
        <w:tab/>
        <w:t>Date</w:t>
      </w:r>
      <w:r w:rsidR="00602254">
        <w:rPr>
          <w:rFonts w:ascii="Book Antiqua" w:hAnsi="Book Antiqua" w:cs="Arial"/>
        </w:rPr>
        <w:t>: 19 August 2018</w:t>
      </w:r>
    </w:p>
    <w:p w14:paraId="07C4111E" w14:textId="0021CF3B" w:rsidR="00B95326" w:rsidRPr="009B7433" w:rsidRDefault="00FE6895" w:rsidP="00D26F9E">
      <w:pPr>
        <w:spacing w:before="240"/>
        <w:jc w:val="both"/>
        <w:rPr>
          <w:rFonts w:ascii="Book Antiqua" w:hAnsi="Book Antiqua" w:cs="Arial"/>
        </w:rPr>
      </w:pPr>
      <w:r>
        <w:rPr>
          <w:rFonts w:ascii="Book Antiqua" w:hAnsi="Book Antiqua" w:cs="Arial"/>
          <w:color w:val="000000"/>
        </w:rPr>
        <w:t>Deputy Upper Tribunal Judge Norton-Taylor</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186C2" w14:textId="77777777" w:rsidR="008322C2" w:rsidRDefault="008322C2">
      <w:r>
        <w:separator/>
      </w:r>
    </w:p>
  </w:endnote>
  <w:endnote w:type="continuationSeparator" w:id="0">
    <w:p w14:paraId="49A332AE" w14:textId="77777777" w:rsidR="008322C2" w:rsidRDefault="0083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87F91" w14:textId="66F6F6ED" w:rsidR="00B3439B" w:rsidRPr="009B7433" w:rsidRDefault="00B3439B"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937C48">
      <w:rPr>
        <w:rStyle w:val="PageNumber"/>
        <w:rFonts w:ascii="Book Antiqua" w:hAnsi="Book Antiqua" w:cs="Arial"/>
        <w:noProof/>
        <w:sz w:val="16"/>
        <w:szCs w:val="16"/>
      </w:rPr>
      <w:t>8</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886E" w14:textId="77777777" w:rsidR="00B3439B" w:rsidRPr="009B7433" w:rsidRDefault="00B3439B"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47DC5" w14:textId="77777777" w:rsidR="008322C2" w:rsidRDefault="008322C2">
      <w:r>
        <w:separator/>
      </w:r>
    </w:p>
  </w:footnote>
  <w:footnote w:type="continuationSeparator" w:id="0">
    <w:p w14:paraId="0ABBE1C4" w14:textId="77777777" w:rsidR="008322C2" w:rsidRDefault="00832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F71D" w14:textId="77777777" w:rsidR="00F65D6D" w:rsidRDefault="00B3439B"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sidR="00F65D6D">
      <w:rPr>
        <w:rFonts w:ascii="Book Antiqua" w:hAnsi="Book Antiqua" w:cs="Arial"/>
        <w:sz w:val="16"/>
        <w:szCs w:val="16"/>
      </w:rPr>
      <w:t xml:space="preserve"> HU/19600/2016</w:t>
    </w:r>
  </w:p>
  <w:p w14:paraId="22751069" w14:textId="0A7A4D70" w:rsidR="00B3439B" w:rsidRDefault="00F65D6D" w:rsidP="00593795">
    <w:pPr>
      <w:pStyle w:val="Header"/>
      <w:jc w:val="right"/>
      <w:rPr>
        <w:rFonts w:ascii="Book Antiqua" w:hAnsi="Book Antiqua" w:cs="Arial"/>
        <w:sz w:val="16"/>
        <w:szCs w:val="16"/>
      </w:rPr>
    </w:pPr>
    <w:r>
      <w:rPr>
        <w:rFonts w:ascii="Book Antiqua" w:hAnsi="Book Antiqua" w:cs="Arial"/>
        <w:sz w:val="16"/>
        <w:szCs w:val="16"/>
      </w:rPr>
      <w:t xml:space="preserve"> HU/19618/2016</w:t>
    </w:r>
  </w:p>
  <w:p w14:paraId="004C6964" w14:textId="77777777" w:rsidR="00F65D6D" w:rsidRDefault="00F65D6D" w:rsidP="00593795">
    <w:pPr>
      <w:pStyle w:val="Header"/>
      <w:jc w:val="right"/>
      <w:rPr>
        <w:rFonts w:ascii="Book Antiqua" w:hAnsi="Book Antiqua" w:cs="Arial"/>
        <w:sz w:val="16"/>
        <w:szCs w:val="16"/>
      </w:rPr>
    </w:pPr>
    <w:r>
      <w:rPr>
        <w:rFonts w:ascii="Book Antiqua" w:hAnsi="Book Antiqua" w:cs="Arial"/>
        <w:sz w:val="16"/>
        <w:szCs w:val="16"/>
      </w:rPr>
      <w:t>HU/19626/2016</w:t>
    </w:r>
  </w:p>
  <w:p w14:paraId="000355A7" w14:textId="42137A6C" w:rsidR="00B3439B" w:rsidRPr="009B7433" w:rsidRDefault="00B3439B" w:rsidP="00593795">
    <w:pPr>
      <w:pStyle w:val="Header"/>
      <w:jc w:val="right"/>
      <w:rPr>
        <w:rFonts w:ascii="Book Antiqua" w:hAnsi="Book Antiqua" w:cs="Arial"/>
        <w:sz w:val="16"/>
        <w:szCs w:val="16"/>
      </w:rPr>
    </w:pPr>
    <w:r>
      <w:rPr>
        <w:rFonts w:ascii="Book Antiqua" w:hAnsi="Book Antiqua" w:cs="Arial"/>
        <w:sz w:val="16"/>
        <w:szCs w:val="16"/>
      </w:rPr>
      <w:t xml:space="preserve"> HU/19638/2016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DE73E" w14:textId="77777777" w:rsidR="00B3439B" w:rsidRPr="009B7433" w:rsidRDefault="00B3439B">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C5D6458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FEA"/>
    <w:rsid w:val="00000621"/>
    <w:rsid w:val="00003131"/>
    <w:rsid w:val="000036C2"/>
    <w:rsid w:val="000111FC"/>
    <w:rsid w:val="00016C1A"/>
    <w:rsid w:val="00033588"/>
    <w:rsid w:val="00033D3D"/>
    <w:rsid w:val="0004071D"/>
    <w:rsid w:val="0004776F"/>
    <w:rsid w:val="00052895"/>
    <w:rsid w:val="00062F02"/>
    <w:rsid w:val="0007011D"/>
    <w:rsid w:val="00071A7E"/>
    <w:rsid w:val="000746C0"/>
    <w:rsid w:val="00074D1D"/>
    <w:rsid w:val="00092580"/>
    <w:rsid w:val="00093D4D"/>
    <w:rsid w:val="00095DBD"/>
    <w:rsid w:val="000B0BA5"/>
    <w:rsid w:val="000D5D94"/>
    <w:rsid w:val="000F1A0E"/>
    <w:rsid w:val="001165A7"/>
    <w:rsid w:val="00160508"/>
    <w:rsid w:val="0016508E"/>
    <w:rsid w:val="00167D3A"/>
    <w:rsid w:val="00173F50"/>
    <w:rsid w:val="00185986"/>
    <w:rsid w:val="001A3082"/>
    <w:rsid w:val="001B186A"/>
    <w:rsid w:val="001B2F75"/>
    <w:rsid w:val="001C6F5F"/>
    <w:rsid w:val="001C7F77"/>
    <w:rsid w:val="001D6167"/>
    <w:rsid w:val="001E5948"/>
    <w:rsid w:val="001F2716"/>
    <w:rsid w:val="001F3AC0"/>
    <w:rsid w:val="00207617"/>
    <w:rsid w:val="00214849"/>
    <w:rsid w:val="0023134B"/>
    <w:rsid w:val="0024719D"/>
    <w:rsid w:val="00283659"/>
    <w:rsid w:val="0029177A"/>
    <w:rsid w:val="002C6BD4"/>
    <w:rsid w:val="002D26FD"/>
    <w:rsid w:val="002D68BF"/>
    <w:rsid w:val="002E137F"/>
    <w:rsid w:val="002E4541"/>
    <w:rsid w:val="002F6B98"/>
    <w:rsid w:val="003053D1"/>
    <w:rsid w:val="00334361"/>
    <w:rsid w:val="00336CBF"/>
    <w:rsid w:val="00343FE3"/>
    <w:rsid w:val="003546C8"/>
    <w:rsid w:val="00372A59"/>
    <w:rsid w:val="003825D4"/>
    <w:rsid w:val="00395129"/>
    <w:rsid w:val="003A7CF2"/>
    <w:rsid w:val="003C5CE5"/>
    <w:rsid w:val="003D3FEA"/>
    <w:rsid w:val="003D6FAD"/>
    <w:rsid w:val="003E267B"/>
    <w:rsid w:val="003E7CD1"/>
    <w:rsid w:val="00402B9E"/>
    <w:rsid w:val="004249CB"/>
    <w:rsid w:val="00430BA9"/>
    <w:rsid w:val="00434533"/>
    <w:rsid w:val="0044127D"/>
    <w:rsid w:val="004448DB"/>
    <w:rsid w:val="00446C9A"/>
    <w:rsid w:val="00452F2B"/>
    <w:rsid w:val="00473E76"/>
    <w:rsid w:val="00477193"/>
    <w:rsid w:val="00494716"/>
    <w:rsid w:val="004A1848"/>
    <w:rsid w:val="004A2D15"/>
    <w:rsid w:val="004A534C"/>
    <w:rsid w:val="004A6F4A"/>
    <w:rsid w:val="004B3947"/>
    <w:rsid w:val="004B70D7"/>
    <w:rsid w:val="004D6B45"/>
    <w:rsid w:val="004E4717"/>
    <w:rsid w:val="00507FEC"/>
    <w:rsid w:val="00510F0E"/>
    <w:rsid w:val="005479E1"/>
    <w:rsid w:val="00553E0A"/>
    <w:rsid w:val="005570FD"/>
    <w:rsid w:val="005575EA"/>
    <w:rsid w:val="0057790C"/>
    <w:rsid w:val="00593795"/>
    <w:rsid w:val="005A1CA8"/>
    <w:rsid w:val="005A75FF"/>
    <w:rsid w:val="005C5EC8"/>
    <w:rsid w:val="005D10AB"/>
    <w:rsid w:val="00601D8F"/>
    <w:rsid w:val="00602254"/>
    <w:rsid w:val="00605582"/>
    <w:rsid w:val="00611F34"/>
    <w:rsid w:val="00620F3C"/>
    <w:rsid w:val="00621FE8"/>
    <w:rsid w:val="006434B6"/>
    <w:rsid w:val="0064557F"/>
    <w:rsid w:val="00653DFB"/>
    <w:rsid w:val="00653E97"/>
    <w:rsid w:val="006667DB"/>
    <w:rsid w:val="00670EAF"/>
    <w:rsid w:val="00684A74"/>
    <w:rsid w:val="0068620A"/>
    <w:rsid w:val="00687EDA"/>
    <w:rsid w:val="00690B8A"/>
    <w:rsid w:val="006F2CF1"/>
    <w:rsid w:val="00700B24"/>
    <w:rsid w:val="007038ED"/>
    <w:rsid w:val="00703BC3"/>
    <w:rsid w:val="00704B61"/>
    <w:rsid w:val="0071302F"/>
    <w:rsid w:val="00715A64"/>
    <w:rsid w:val="00740C1F"/>
    <w:rsid w:val="0074796D"/>
    <w:rsid w:val="007552A9"/>
    <w:rsid w:val="0075658A"/>
    <w:rsid w:val="00761858"/>
    <w:rsid w:val="00767D59"/>
    <w:rsid w:val="00776E97"/>
    <w:rsid w:val="00780F86"/>
    <w:rsid w:val="007912AD"/>
    <w:rsid w:val="007A16AD"/>
    <w:rsid w:val="007B0824"/>
    <w:rsid w:val="007B5D3C"/>
    <w:rsid w:val="007F2E69"/>
    <w:rsid w:val="00815011"/>
    <w:rsid w:val="00821B72"/>
    <w:rsid w:val="00823EF2"/>
    <w:rsid w:val="008303B8"/>
    <w:rsid w:val="008322C2"/>
    <w:rsid w:val="00833DCE"/>
    <w:rsid w:val="0085036E"/>
    <w:rsid w:val="00871D34"/>
    <w:rsid w:val="008A25EC"/>
    <w:rsid w:val="008A6059"/>
    <w:rsid w:val="008B270C"/>
    <w:rsid w:val="008B5078"/>
    <w:rsid w:val="008C3D3D"/>
    <w:rsid w:val="008D05F7"/>
    <w:rsid w:val="008D4131"/>
    <w:rsid w:val="008F0A4D"/>
    <w:rsid w:val="008F1932"/>
    <w:rsid w:val="0090151B"/>
    <w:rsid w:val="009042A9"/>
    <w:rsid w:val="00910F60"/>
    <w:rsid w:val="00921062"/>
    <w:rsid w:val="00937C48"/>
    <w:rsid w:val="009722BC"/>
    <w:rsid w:val="009727A3"/>
    <w:rsid w:val="00987774"/>
    <w:rsid w:val="009A11E8"/>
    <w:rsid w:val="009B7433"/>
    <w:rsid w:val="009C57C8"/>
    <w:rsid w:val="009D5357"/>
    <w:rsid w:val="009F5220"/>
    <w:rsid w:val="00A07919"/>
    <w:rsid w:val="00A13495"/>
    <w:rsid w:val="00A15234"/>
    <w:rsid w:val="00A201AB"/>
    <w:rsid w:val="00A31C8B"/>
    <w:rsid w:val="00A509FA"/>
    <w:rsid w:val="00A70B91"/>
    <w:rsid w:val="00A845DC"/>
    <w:rsid w:val="00A84A7A"/>
    <w:rsid w:val="00AC3BAD"/>
    <w:rsid w:val="00AD2088"/>
    <w:rsid w:val="00AD7143"/>
    <w:rsid w:val="00B12405"/>
    <w:rsid w:val="00B22718"/>
    <w:rsid w:val="00B255D1"/>
    <w:rsid w:val="00B26AA2"/>
    <w:rsid w:val="00B3439B"/>
    <w:rsid w:val="00B3524D"/>
    <w:rsid w:val="00B40F69"/>
    <w:rsid w:val="00B46616"/>
    <w:rsid w:val="00B528BB"/>
    <w:rsid w:val="00B7040A"/>
    <w:rsid w:val="00B83391"/>
    <w:rsid w:val="00B95326"/>
    <w:rsid w:val="00BB0C31"/>
    <w:rsid w:val="00BD4196"/>
    <w:rsid w:val="00BF22CA"/>
    <w:rsid w:val="00BF23BB"/>
    <w:rsid w:val="00BF2F03"/>
    <w:rsid w:val="00C26032"/>
    <w:rsid w:val="00C345E1"/>
    <w:rsid w:val="00C40B79"/>
    <w:rsid w:val="00C43BFD"/>
    <w:rsid w:val="00C6048A"/>
    <w:rsid w:val="00CB6E35"/>
    <w:rsid w:val="00CB759A"/>
    <w:rsid w:val="00CD4CF3"/>
    <w:rsid w:val="00CE09B1"/>
    <w:rsid w:val="00CE1A46"/>
    <w:rsid w:val="00D20757"/>
    <w:rsid w:val="00D22636"/>
    <w:rsid w:val="00D24F3E"/>
    <w:rsid w:val="00D26F9E"/>
    <w:rsid w:val="00D32115"/>
    <w:rsid w:val="00D40FD9"/>
    <w:rsid w:val="00D53769"/>
    <w:rsid w:val="00D609F4"/>
    <w:rsid w:val="00D6602D"/>
    <w:rsid w:val="00D67428"/>
    <w:rsid w:val="00D85C13"/>
    <w:rsid w:val="00D9111A"/>
    <w:rsid w:val="00D91BE3"/>
    <w:rsid w:val="00D949B7"/>
    <w:rsid w:val="00D94AFC"/>
    <w:rsid w:val="00DA1ACB"/>
    <w:rsid w:val="00DB70AE"/>
    <w:rsid w:val="00DD5071"/>
    <w:rsid w:val="00DD5C39"/>
    <w:rsid w:val="00DD7A22"/>
    <w:rsid w:val="00DE7DB7"/>
    <w:rsid w:val="00E00A0A"/>
    <w:rsid w:val="00E066DE"/>
    <w:rsid w:val="00E07F57"/>
    <w:rsid w:val="00E30683"/>
    <w:rsid w:val="00E42107"/>
    <w:rsid w:val="00E453D8"/>
    <w:rsid w:val="00E50BCE"/>
    <w:rsid w:val="00E574BF"/>
    <w:rsid w:val="00E61292"/>
    <w:rsid w:val="00E77C4D"/>
    <w:rsid w:val="00E81D01"/>
    <w:rsid w:val="00EB485A"/>
    <w:rsid w:val="00EE45D8"/>
    <w:rsid w:val="00F120A0"/>
    <w:rsid w:val="00F22EDA"/>
    <w:rsid w:val="00F52278"/>
    <w:rsid w:val="00F5589A"/>
    <w:rsid w:val="00F65D6D"/>
    <w:rsid w:val="00F7038F"/>
    <w:rsid w:val="00F82A20"/>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C74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2877</Words>
  <Characters>14331</Characters>
  <Application>Microsoft Office Word</Application>
  <DocSecurity>0</DocSecurity>
  <Lines>119</Lines>
  <Paragraphs>34</Paragraphs>
  <ScaleCrop>false</ScaleCrop>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2018-09-13T15:20:00Z</dcterms:created>
  <dcterms:modified xsi:type="dcterms:W3CDTF">2018-09-13T15:20:00Z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