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9E0" w:rsidRPr="00817B3B" w:rsidRDefault="00F479E0" w:rsidP="00A16E60">
      <w:pPr>
        <w:jc w:val="center"/>
        <w:rPr>
          <w:rFonts w:ascii="Book Antiqua" w:hAnsi="Book Antiqua" w:cs="Arial"/>
          <w:caps/>
          <w:color w:val="000000"/>
          <w:sz w:val="16"/>
          <w:szCs w:val="16"/>
        </w:rPr>
      </w:pPr>
      <w:r w:rsidRPr="00817B3B">
        <w:rPr>
          <w:rFonts w:ascii="Book Antiqua" w:hAnsi="Book Antiqua" w:cs="Arial"/>
          <w:caps/>
          <w:color w:val="000000"/>
          <w:sz w:val="16"/>
          <w:szCs w:val="16"/>
        </w:rPr>
        <w:t xml:space="preserve">         </w:t>
      </w:r>
      <w:r w:rsidR="00FB2E68" w:rsidRPr="00817B3B">
        <w:rPr>
          <w:noProof/>
          <w:sz w:val="16"/>
          <w:szCs w:val="16"/>
        </w:rPr>
        <w:drawing>
          <wp:inline distT="0" distB="0" distL="0" distR="0">
            <wp:extent cx="118110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1009650"/>
                    </a:xfrm>
                    <a:prstGeom prst="rect">
                      <a:avLst/>
                    </a:prstGeom>
                    <a:noFill/>
                    <a:ln>
                      <a:noFill/>
                    </a:ln>
                  </pic:spPr>
                </pic:pic>
              </a:graphicData>
            </a:graphic>
          </wp:inline>
        </w:drawing>
      </w:r>
    </w:p>
    <w:p w:rsidR="00817B3B" w:rsidRPr="00817B3B" w:rsidRDefault="00817B3B" w:rsidP="00203FEA">
      <w:pPr>
        <w:tabs>
          <w:tab w:val="right" w:pos="9720"/>
        </w:tabs>
        <w:ind w:right="-82"/>
        <w:outlineLvl w:val="0"/>
        <w:rPr>
          <w:sz w:val="16"/>
          <w:szCs w:val="16"/>
        </w:rPr>
      </w:pPr>
    </w:p>
    <w:p w:rsidR="00F479E0" w:rsidRPr="009B7433" w:rsidRDefault="00F479E0" w:rsidP="00203FEA">
      <w:pPr>
        <w:tabs>
          <w:tab w:val="right" w:pos="9720"/>
        </w:tabs>
        <w:ind w:right="-82"/>
        <w:outlineLvl w:val="0"/>
        <w:rPr>
          <w:rFonts w:ascii="Book Antiqua" w:hAnsi="Book Antiqua" w:cs="Arial"/>
          <w:b/>
          <w:color w:val="000000"/>
        </w:rPr>
      </w:pPr>
      <w:r w:rsidRPr="009B7433">
        <w:rPr>
          <w:rFonts w:ascii="Book Antiqua" w:hAnsi="Book Antiqua" w:cs="Arial"/>
          <w:b/>
          <w:color w:val="000000"/>
        </w:rPr>
        <w:t xml:space="preserve">Upper Tribunal </w:t>
      </w:r>
    </w:p>
    <w:p w:rsidR="00F479E0" w:rsidRPr="00144FD4" w:rsidRDefault="00F479E0" w:rsidP="008307DA">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bookmarkStart w:id="0" w:name="_GoBack"/>
      <w:r>
        <w:rPr>
          <w:rFonts w:ascii="Book Antiqua" w:hAnsi="Book Antiqua" w:cs="Arial"/>
          <w:color w:val="000000"/>
        </w:rPr>
        <w:t>HU/19608/2016</w:t>
      </w:r>
      <w:bookmarkEnd w:id="0"/>
    </w:p>
    <w:p w:rsidR="00F479E0" w:rsidRPr="009B7433" w:rsidRDefault="00F479E0" w:rsidP="008307DA">
      <w:pPr>
        <w:jc w:val="center"/>
        <w:rPr>
          <w:rFonts w:ascii="Book Antiqua" w:hAnsi="Book Antiqua" w:cs="Arial"/>
          <w:color w:val="000000"/>
        </w:rPr>
      </w:pPr>
    </w:p>
    <w:p w:rsidR="00F479E0" w:rsidRPr="009B7433" w:rsidRDefault="00F479E0" w:rsidP="008307DA">
      <w:pPr>
        <w:jc w:val="center"/>
        <w:rPr>
          <w:rFonts w:ascii="Book Antiqua" w:hAnsi="Book Antiqua" w:cs="Arial"/>
          <w:color w:val="000000"/>
        </w:rPr>
      </w:pPr>
    </w:p>
    <w:p w:rsidR="00F479E0" w:rsidRPr="009B7433" w:rsidRDefault="00F479E0" w:rsidP="00203FEA">
      <w:pPr>
        <w:jc w:val="center"/>
        <w:outlineLvl w:val="0"/>
        <w:rPr>
          <w:rFonts w:ascii="Book Antiqua" w:hAnsi="Book Antiqua" w:cs="Arial"/>
          <w:b/>
          <w:color w:val="000000"/>
          <w:u w:val="single"/>
        </w:rPr>
      </w:pPr>
      <w:r w:rsidRPr="009B7433">
        <w:rPr>
          <w:rFonts w:ascii="Book Antiqua" w:hAnsi="Book Antiqua" w:cs="Arial"/>
          <w:b/>
          <w:color w:val="000000"/>
          <w:u w:val="single"/>
        </w:rPr>
        <w:t>THE IMMIGRATION ACTS</w:t>
      </w:r>
    </w:p>
    <w:p w:rsidR="00F479E0" w:rsidRPr="009B7433" w:rsidRDefault="00F479E0" w:rsidP="008307DA">
      <w:pPr>
        <w:jc w:val="center"/>
        <w:rPr>
          <w:rFonts w:ascii="Book Antiqua" w:hAnsi="Book Antiqua" w:cs="Arial"/>
          <w:b/>
          <w:u w:val="single"/>
        </w:rPr>
      </w:pPr>
    </w:p>
    <w:p w:rsidR="00F479E0" w:rsidRPr="009B7433" w:rsidRDefault="00F479E0" w:rsidP="008307DA">
      <w:pPr>
        <w:jc w:val="center"/>
        <w:rPr>
          <w:rFonts w:ascii="Book Antiqua" w:hAnsi="Book Antiqua" w:cs="Arial"/>
          <w:b/>
          <w:u w:val="single"/>
        </w:rPr>
      </w:pPr>
    </w:p>
    <w:tbl>
      <w:tblPr>
        <w:tblW w:w="10008" w:type="dxa"/>
        <w:tblLook w:val="01E0" w:firstRow="1" w:lastRow="1" w:firstColumn="1" w:lastColumn="1" w:noHBand="0" w:noVBand="0"/>
      </w:tblPr>
      <w:tblGrid>
        <w:gridCol w:w="4928"/>
        <w:gridCol w:w="1120"/>
        <w:gridCol w:w="3960"/>
      </w:tblGrid>
      <w:tr w:rsidR="00F479E0" w:rsidRPr="00F011A6" w:rsidTr="00BE48CA">
        <w:tc>
          <w:tcPr>
            <w:tcW w:w="4928" w:type="dxa"/>
          </w:tcPr>
          <w:p w:rsidR="00F479E0" w:rsidRPr="00F011A6" w:rsidRDefault="00F479E0" w:rsidP="00E12D04">
            <w:pPr>
              <w:jc w:val="both"/>
              <w:rPr>
                <w:rFonts w:ascii="Book Antiqua" w:hAnsi="Book Antiqua" w:cs="Arial"/>
                <w:b/>
              </w:rPr>
            </w:pPr>
            <w:r w:rsidRPr="00F011A6">
              <w:rPr>
                <w:rFonts w:ascii="Book Antiqua" w:hAnsi="Book Antiqua" w:cs="Arial"/>
                <w:b/>
              </w:rPr>
              <w:t>Heard at Field House</w:t>
            </w:r>
          </w:p>
        </w:tc>
        <w:tc>
          <w:tcPr>
            <w:tcW w:w="5080" w:type="dxa"/>
            <w:gridSpan w:val="2"/>
          </w:tcPr>
          <w:p w:rsidR="00F479E0" w:rsidRPr="00F011A6" w:rsidRDefault="00F479E0" w:rsidP="00E12D04">
            <w:pPr>
              <w:jc w:val="both"/>
              <w:rPr>
                <w:rFonts w:ascii="Book Antiqua" w:hAnsi="Book Antiqua" w:cs="Arial"/>
                <w:b/>
                <w:color w:val="000000"/>
              </w:rPr>
            </w:pPr>
            <w:r w:rsidRPr="00F011A6">
              <w:rPr>
                <w:rFonts w:ascii="Book Antiqua" w:hAnsi="Book Antiqua" w:cs="Arial"/>
                <w:b/>
                <w:color w:val="000000"/>
              </w:rPr>
              <w:t>Decision &amp; Reasons Promulgated</w:t>
            </w:r>
          </w:p>
        </w:tc>
      </w:tr>
      <w:tr w:rsidR="00F479E0" w:rsidRPr="00F011A6" w:rsidTr="00BE48CA">
        <w:tc>
          <w:tcPr>
            <w:tcW w:w="4928" w:type="dxa"/>
          </w:tcPr>
          <w:p w:rsidR="00F479E0" w:rsidRPr="00F011A6" w:rsidRDefault="00F479E0" w:rsidP="007A56C4">
            <w:pPr>
              <w:jc w:val="both"/>
              <w:rPr>
                <w:rFonts w:ascii="Book Antiqua" w:hAnsi="Book Antiqua" w:cs="Arial"/>
                <w:b/>
              </w:rPr>
            </w:pPr>
            <w:r w:rsidRPr="00F011A6">
              <w:rPr>
                <w:rFonts w:ascii="Book Antiqua" w:hAnsi="Book Antiqua" w:cs="Arial"/>
                <w:b/>
              </w:rPr>
              <w:t>On</w:t>
            </w:r>
            <w:r>
              <w:rPr>
                <w:rFonts w:ascii="Book Antiqua" w:hAnsi="Book Antiqua" w:cs="Arial"/>
                <w:b/>
              </w:rPr>
              <w:t xml:space="preserve"> 14 June 2018</w:t>
            </w:r>
            <w:r w:rsidR="00BE48CA">
              <w:rPr>
                <w:rFonts w:ascii="Book Antiqua" w:hAnsi="Book Antiqua" w:cs="Arial"/>
                <w:b/>
              </w:rPr>
              <w:t xml:space="preserve">                                                                       </w:t>
            </w:r>
          </w:p>
        </w:tc>
        <w:tc>
          <w:tcPr>
            <w:tcW w:w="5080" w:type="dxa"/>
            <w:gridSpan w:val="2"/>
          </w:tcPr>
          <w:p w:rsidR="00F479E0" w:rsidRPr="00F011A6" w:rsidRDefault="00BE48CA" w:rsidP="00E12D04">
            <w:pPr>
              <w:jc w:val="both"/>
              <w:rPr>
                <w:rFonts w:ascii="Book Antiqua" w:hAnsi="Book Antiqua" w:cs="Arial"/>
                <w:b/>
              </w:rPr>
            </w:pPr>
            <w:r>
              <w:rPr>
                <w:rFonts w:ascii="Book Antiqua" w:hAnsi="Book Antiqua" w:cs="Arial"/>
                <w:b/>
              </w:rPr>
              <w:t xml:space="preserve">On 25 June 2018 </w:t>
            </w:r>
          </w:p>
        </w:tc>
      </w:tr>
      <w:tr w:rsidR="00BE48CA" w:rsidRPr="00F011A6" w:rsidTr="00E12D04">
        <w:trPr>
          <w:gridAfter w:val="1"/>
          <w:wAfter w:w="3960" w:type="dxa"/>
        </w:trPr>
        <w:tc>
          <w:tcPr>
            <w:tcW w:w="6048" w:type="dxa"/>
            <w:gridSpan w:val="2"/>
          </w:tcPr>
          <w:p w:rsidR="00BE48CA" w:rsidRPr="00F011A6" w:rsidRDefault="00BE48CA" w:rsidP="00E12D04">
            <w:pPr>
              <w:jc w:val="both"/>
              <w:rPr>
                <w:rFonts w:ascii="Book Antiqua" w:hAnsi="Book Antiqua" w:cs="Arial"/>
                <w:b/>
              </w:rPr>
            </w:pPr>
          </w:p>
        </w:tc>
      </w:tr>
    </w:tbl>
    <w:p w:rsidR="00F479E0" w:rsidRPr="009B7433" w:rsidRDefault="00F479E0" w:rsidP="008307DA">
      <w:pPr>
        <w:jc w:val="center"/>
        <w:rPr>
          <w:rFonts w:ascii="Book Antiqua" w:hAnsi="Book Antiqua" w:cs="Arial"/>
        </w:rPr>
      </w:pPr>
    </w:p>
    <w:p w:rsidR="00F479E0" w:rsidRPr="009B7433" w:rsidRDefault="00F479E0" w:rsidP="00203FEA">
      <w:pPr>
        <w:jc w:val="center"/>
        <w:outlineLvl w:val="0"/>
        <w:rPr>
          <w:rFonts w:ascii="Book Antiqua" w:hAnsi="Book Antiqua" w:cs="Arial"/>
          <w:b/>
        </w:rPr>
      </w:pPr>
      <w:r w:rsidRPr="009B7433">
        <w:rPr>
          <w:rFonts w:ascii="Book Antiqua" w:hAnsi="Book Antiqua" w:cs="Arial"/>
          <w:b/>
        </w:rPr>
        <w:t>Before</w:t>
      </w:r>
    </w:p>
    <w:p w:rsidR="00F479E0" w:rsidRPr="009B7433" w:rsidRDefault="00F479E0" w:rsidP="008307DA">
      <w:pPr>
        <w:jc w:val="center"/>
        <w:rPr>
          <w:rFonts w:ascii="Book Antiqua" w:hAnsi="Book Antiqua" w:cs="Arial"/>
          <w:b/>
        </w:rPr>
      </w:pPr>
    </w:p>
    <w:p w:rsidR="00F479E0" w:rsidRPr="009B7433" w:rsidRDefault="00F479E0" w:rsidP="00203FEA">
      <w:pPr>
        <w:jc w:val="center"/>
        <w:outlineLvl w:val="0"/>
        <w:rPr>
          <w:rFonts w:ascii="Book Antiqua" w:hAnsi="Book Antiqua" w:cs="Arial"/>
          <w:b/>
          <w:color w:val="000000"/>
        </w:rPr>
      </w:pPr>
      <w:r>
        <w:rPr>
          <w:rFonts w:ascii="Book Antiqua" w:hAnsi="Book Antiqua" w:cs="Arial"/>
          <w:b/>
          <w:color w:val="000000"/>
        </w:rPr>
        <w:t>DEPUTY UPPER TRIBUNAL</w:t>
      </w:r>
      <w:r w:rsidRPr="009B7433">
        <w:rPr>
          <w:rFonts w:ascii="Book Antiqua" w:hAnsi="Book Antiqua" w:cs="Arial"/>
          <w:b/>
          <w:color w:val="000000"/>
        </w:rPr>
        <w:t xml:space="preserve"> JUDGE LATTER</w:t>
      </w:r>
    </w:p>
    <w:p w:rsidR="00F479E0" w:rsidRDefault="00F479E0" w:rsidP="008307DA">
      <w:pPr>
        <w:jc w:val="center"/>
        <w:rPr>
          <w:rFonts w:ascii="Book Antiqua" w:hAnsi="Book Antiqua" w:cs="Arial"/>
          <w:b/>
        </w:rPr>
      </w:pPr>
    </w:p>
    <w:p w:rsidR="00817B3B" w:rsidRPr="009B7433" w:rsidRDefault="00817B3B" w:rsidP="008307DA">
      <w:pPr>
        <w:jc w:val="center"/>
        <w:rPr>
          <w:rFonts w:ascii="Book Antiqua" w:hAnsi="Book Antiqua" w:cs="Arial"/>
          <w:b/>
        </w:rPr>
      </w:pPr>
    </w:p>
    <w:p w:rsidR="00F479E0" w:rsidRDefault="00F479E0" w:rsidP="00203FEA">
      <w:pPr>
        <w:jc w:val="center"/>
        <w:outlineLvl w:val="0"/>
        <w:rPr>
          <w:rFonts w:ascii="Book Antiqua" w:hAnsi="Book Antiqua" w:cs="Arial"/>
          <w:b/>
        </w:rPr>
      </w:pPr>
      <w:r w:rsidRPr="009B7433">
        <w:rPr>
          <w:rFonts w:ascii="Book Antiqua" w:hAnsi="Book Antiqua" w:cs="Arial"/>
          <w:b/>
        </w:rPr>
        <w:t>Between</w:t>
      </w:r>
    </w:p>
    <w:p w:rsidR="00F479E0" w:rsidRPr="009B7433" w:rsidRDefault="00F479E0" w:rsidP="008307DA">
      <w:pPr>
        <w:jc w:val="center"/>
        <w:rPr>
          <w:rFonts w:ascii="Book Antiqua" w:hAnsi="Book Antiqua" w:cs="Arial"/>
          <w:b/>
        </w:rPr>
      </w:pPr>
    </w:p>
    <w:p w:rsidR="00F479E0" w:rsidRDefault="00F479E0" w:rsidP="00203FEA">
      <w:pPr>
        <w:jc w:val="center"/>
        <w:outlineLvl w:val="0"/>
        <w:rPr>
          <w:rFonts w:ascii="Book Antiqua" w:hAnsi="Book Antiqua" w:cs="Arial"/>
          <w:b/>
          <w:caps/>
        </w:rPr>
      </w:pPr>
      <w:r w:rsidRPr="00271319">
        <w:rPr>
          <w:rFonts w:ascii="Book Antiqua" w:hAnsi="Book Antiqua" w:cs="Arial"/>
          <w:b/>
          <w:caps/>
        </w:rPr>
        <w:t xml:space="preserve"> </w:t>
      </w:r>
      <w:r>
        <w:rPr>
          <w:rFonts w:ascii="Book Antiqua" w:hAnsi="Book Antiqua" w:cs="Arial"/>
          <w:b/>
          <w:caps/>
        </w:rPr>
        <w:t>secretary of state for the home department</w:t>
      </w:r>
    </w:p>
    <w:p w:rsidR="00F479E0" w:rsidRPr="009B7433" w:rsidRDefault="00F479E0" w:rsidP="00203FEA">
      <w:pPr>
        <w:jc w:val="right"/>
        <w:outlineLvl w:val="0"/>
        <w:rPr>
          <w:rFonts w:ascii="Book Antiqua" w:hAnsi="Book Antiqua" w:cs="Arial"/>
          <w:u w:val="single"/>
        </w:rPr>
      </w:pPr>
      <w:r w:rsidRPr="009B7433">
        <w:rPr>
          <w:rFonts w:ascii="Book Antiqua" w:hAnsi="Book Antiqua" w:cs="Arial"/>
          <w:u w:val="single"/>
        </w:rPr>
        <w:t>Appellant</w:t>
      </w:r>
    </w:p>
    <w:p w:rsidR="00F479E0" w:rsidRPr="009B7433" w:rsidRDefault="00F479E0" w:rsidP="008307DA">
      <w:pPr>
        <w:jc w:val="center"/>
        <w:rPr>
          <w:rFonts w:ascii="Book Antiqua" w:hAnsi="Book Antiqua" w:cs="Arial"/>
          <w:b/>
        </w:rPr>
      </w:pPr>
      <w:r w:rsidRPr="009B7433">
        <w:rPr>
          <w:rFonts w:ascii="Book Antiqua" w:hAnsi="Book Antiqua" w:cs="Arial"/>
          <w:b/>
        </w:rPr>
        <w:t>and</w:t>
      </w:r>
    </w:p>
    <w:p w:rsidR="00F479E0" w:rsidRPr="009B7433" w:rsidRDefault="00F479E0" w:rsidP="008307DA">
      <w:pPr>
        <w:jc w:val="center"/>
        <w:rPr>
          <w:rFonts w:ascii="Book Antiqua" w:hAnsi="Book Antiqua" w:cs="Arial"/>
          <w:b/>
        </w:rPr>
      </w:pPr>
    </w:p>
    <w:p w:rsidR="00F479E0" w:rsidRPr="009B7433" w:rsidRDefault="00F479E0" w:rsidP="002F4808">
      <w:pPr>
        <w:jc w:val="center"/>
        <w:outlineLvl w:val="0"/>
        <w:rPr>
          <w:rFonts w:ascii="Book Antiqua" w:hAnsi="Book Antiqua" w:cs="Arial"/>
          <w:b/>
        </w:rPr>
      </w:pPr>
      <w:r>
        <w:rPr>
          <w:rFonts w:ascii="Book Antiqua" w:hAnsi="Book Antiqua" w:cs="Arial"/>
          <w:b/>
        </w:rPr>
        <w:t>HABEEB RAGUMAN FAZRUL RAHUMAN</w:t>
      </w:r>
    </w:p>
    <w:p w:rsidR="00F479E0" w:rsidRDefault="00F479E0" w:rsidP="002F4808">
      <w:pPr>
        <w:jc w:val="center"/>
        <w:outlineLvl w:val="0"/>
        <w:rPr>
          <w:rFonts w:ascii="Book Antiqua" w:hAnsi="Book Antiqua" w:cs="Arial"/>
          <w:u w:val="single"/>
        </w:rPr>
      </w:pPr>
      <w:r>
        <w:rPr>
          <w:rFonts w:ascii="Book Antiqua" w:hAnsi="Book Antiqua" w:cs="Arial"/>
          <w:b/>
          <w:caps/>
        </w:rPr>
        <w:t>(</w:t>
      </w:r>
      <w:r w:rsidRPr="00271319">
        <w:rPr>
          <w:rFonts w:ascii="Book Antiqua" w:hAnsi="Book Antiqua" w:cs="Arial"/>
          <w:b/>
          <w:caps/>
        </w:rPr>
        <w:t xml:space="preserve">ANONYMITY DIRECTION </w:t>
      </w:r>
      <w:bookmarkStart w:id="1" w:name="Text21"/>
      <w:r>
        <w:rPr>
          <w:rFonts w:ascii="Book Antiqua" w:hAnsi="Book Antiqua" w:cs="Arial"/>
          <w:b/>
          <w:caps/>
        </w:rPr>
        <w:t xml:space="preserve">NOT </w:t>
      </w:r>
      <w:r>
        <w:rPr>
          <w:rFonts w:ascii="Book Antiqua" w:hAnsi="Book Antiqua" w:cs="Arial"/>
          <w:b/>
          <w:caps/>
        </w:rPr>
        <w:fldChar w:fldCharType="begin">
          <w:ffData>
            <w:name w:val="Text21"/>
            <w:enabled/>
            <w:calcOnExit w:val="0"/>
            <w:textInput>
              <w:default w:val="MADE"/>
            </w:textInput>
          </w:ffData>
        </w:fldChar>
      </w:r>
      <w:r>
        <w:rPr>
          <w:rFonts w:ascii="Book Antiqua" w:hAnsi="Book Antiqua" w:cs="Arial"/>
          <w:b/>
          <w:caps/>
        </w:rPr>
        <w:instrText xml:space="preserve"> FORMTEXT </w:instrText>
      </w:r>
      <w:r>
        <w:rPr>
          <w:rFonts w:ascii="Book Antiqua" w:hAnsi="Book Antiqua" w:cs="Arial"/>
          <w:b/>
          <w:caps/>
        </w:rPr>
      </w:r>
      <w:r>
        <w:rPr>
          <w:rFonts w:ascii="Book Antiqua" w:hAnsi="Book Antiqua" w:cs="Arial"/>
          <w:b/>
          <w:caps/>
        </w:rPr>
        <w:fldChar w:fldCharType="separate"/>
      </w:r>
      <w:r>
        <w:rPr>
          <w:rFonts w:ascii="Book Antiqua" w:hAnsi="Book Antiqua" w:cs="Arial"/>
          <w:b/>
          <w:caps/>
          <w:noProof/>
        </w:rPr>
        <w:t>MADE</w:t>
      </w:r>
      <w:r>
        <w:rPr>
          <w:rFonts w:ascii="Book Antiqua" w:hAnsi="Book Antiqua" w:cs="Arial"/>
          <w:b/>
          <w:caps/>
        </w:rPr>
        <w:fldChar w:fldCharType="end"/>
      </w:r>
      <w:bookmarkEnd w:id="1"/>
      <w:r w:rsidRPr="00271319">
        <w:rPr>
          <w:rFonts w:ascii="Book Antiqua" w:hAnsi="Book Antiqua" w:cs="Arial"/>
          <w:b/>
          <w:caps/>
        </w:rPr>
        <w:t>)</w:t>
      </w:r>
    </w:p>
    <w:p w:rsidR="00F479E0" w:rsidRPr="009B7433" w:rsidRDefault="00F479E0" w:rsidP="00203FEA">
      <w:pPr>
        <w:jc w:val="right"/>
        <w:outlineLvl w:val="0"/>
        <w:rPr>
          <w:rFonts w:ascii="Book Antiqua" w:hAnsi="Book Antiqua" w:cs="Arial"/>
          <w:u w:val="single"/>
        </w:rPr>
      </w:pPr>
      <w:r w:rsidRPr="009B7433">
        <w:rPr>
          <w:rFonts w:ascii="Book Antiqua" w:hAnsi="Book Antiqua" w:cs="Arial"/>
          <w:u w:val="single"/>
        </w:rPr>
        <w:t>Respondent</w:t>
      </w:r>
    </w:p>
    <w:p w:rsidR="00F479E0" w:rsidRPr="009B7433" w:rsidRDefault="00F479E0" w:rsidP="008307DA">
      <w:pPr>
        <w:rPr>
          <w:rFonts w:ascii="Book Antiqua" w:hAnsi="Book Antiqua" w:cs="Arial"/>
          <w:u w:val="single"/>
        </w:rPr>
      </w:pPr>
    </w:p>
    <w:p w:rsidR="00BE48CA" w:rsidRDefault="00BE48CA" w:rsidP="00BE48CA">
      <w:pPr>
        <w:outlineLvl w:val="0"/>
        <w:rPr>
          <w:rFonts w:ascii="Book Antiqua" w:hAnsi="Book Antiqua" w:cs="Arial"/>
          <w:b/>
          <w:u w:val="single"/>
        </w:rPr>
      </w:pPr>
    </w:p>
    <w:p w:rsidR="00F479E0" w:rsidRPr="009B7433" w:rsidRDefault="00F479E0" w:rsidP="00203FEA">
      <w:pPr>
        <w:outlineLvl w:val="0"/>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F479E0" w:rsidRPr="009B7433" w:rsidRDefault="00F479E0" w:rsidP="00203FEA">
      <w:pPr>
        <w:tabs>
          <w:tab w:val="left" w:pos="2520"/>
        </w:tabs>
        <w:outlineLvl w:val="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Mr D Clarke,</w:t>
      </w:r>
      <w:r w:rsidRPr="002F4808">
        <w:rPr>
          <w:rFonts w:ascii="Book Antiqua" w:hAnsi="Book Antiqua" w:cs="Arial"/>
        </w:rPr>
        <w:t xml:space="preserve"> </w:t>
      </w:r>
      <w:r>
        <w:rPr>
          <w:rFonts w:ascii="Book Antiqua" w:hAnsi="Book Antiqua" w:cs="Arial"/>
        </w:rPr>
        <w:t>Home Office Presenting Officer</w:t>
      </w:r>
    </w:p>
    <w:p w:rsidR="00F479E0" w:rsidRPr="009B7433" w:rsidRDefault="00F479E0" w:rsidP="008307DA">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Mr N Butt, of West Ham, solicitors</w:t>
      </w:r>
    </w:p>
    <w:p w:rsidR="00F479E0" w:rsidRDefault="00F479E0" w:rsidP="00831B44">
      <w:pPr>
        <w:tabs>
          <w:tab w:val="left" w:pos="2520"/>
        </w:tabs>
        <w:rPr>
          <w:rFonts w:ascii="Book Antiqua" w:hAnsi="Book Antiqua" w:cs="Arial"/>
          <w:b/>
          <w:u w:val="single"/>
        </w:rPr>
      </w:pPr>
      <w:r>
        <w:rPr>
          <w:rFonts w:ascii="Book Antiqua" w:hAnsi="Book Antiqua" w:cs="Arial"/>
        </w:rPr>
        <w:tab/>
      </w:r>
    </w:p>
    <w:p w:rsidR="00F479E0" w:rsidRDefault="00F479E0" w:rsidP="008307DA">
      <w:pPr>
        <w:tabs>
          <w:tab w:val="left" w:pos="2520"/>
        </w:tabs>
        <w:jc w:val="center"/>
        <w:rPr>
          <w:rFonts w:ascii="Book Antiqua" w:hAnsi="Book Antiqua" w:cs="Arial"/>
          <w:b/>
          <w:u w:val="single"/>
        </w:rPr>
      </w:pPr>
    </w:p>
    <w:p w:rsidR="00F479E0" w:rsidRPr="009B7433" w:rsidRDefault="00F479E0" w:rsidP="00203FEA">
      <w:pPr>
        <w:tabs>
          <w:tab w:val="left" w:pos="2520"/>
        </w:tabs>
        <w:jc w:val="center"/>
        <w:outlineLvl w:val="0"/>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 xml:space="preserve">AND </w:t>
      </w:r>
      <w:r>
        <w:rPr>
          <w:rFonts w:ascii="Book Antiqua" w:hAnsi="Book Antiqua" w:cs="Arial"/>
          <w:b/>
          <w:u w:val="single"/>
        </w:rPr>
        <w:t>REASONS</w:t>
      </w:r>
    </w:p>
    <w:p w:rsidR="00F479E0" w:rsidRDefault="00F479E0" w:rsidP="009D01D3">
      <w:pPr>
        <w:jc w:val="both"/>
      </w:pPr>
    </w:p>
    <w:p w:rsidR="00F479E0" w:rsidRDefault="00F479E0" w:rsidP="00CE7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w:t>
      </w:r>
      <w:r>
        <w:rPr>
          <w:rFonts w:ascii="Book Antiqua" w:hAnsi="Book Antiqua"/>
        </w:rPr>
        <w:tab/>
      </w:r>
      <w:r w:rsidRPr="00041903">
        <w:rPr>
          <w:rFonts w:ascii="Book Antiqua" w:hAnsi="Book Antiqua"/>
        </w:rPr>
        <w:t xml:space="preserve">This is an appeal by the </w:t>
      </w:r>
      <w:r>
        <w:rPr>
          <w:rFonts w:ascii="Book Antiqua" w:hAnsi="Book Antiqua"/>
        </w:rPr>
        <w:t>Secretary of State</w:t>
      </w:r>
      <w:r w:rsidRPr="00041903">
        <w:rPr>
          <w:rFonts w:ascii="Book Antiqua" w:hAnsi="Book Antiqua"/>
        </w:rPr>
        <w:t xml:space="preserve"> against a decision of the First-tier Tribunal allowing an appeal by the appellant against </w:t>
      </w:r>
      <w:r>
        <w:rPr>
          <w:rFonts w:ascii="Book Antiqua" w:hAnsi="Book Antiqua"/>
        </w:rPr>
        <w:t>the d</w:t>
      </w:r>
      <w:r w:rsidRPr="00041903">
        <w:rPr>
          <w:rFonts w:ascii="Book Antiqua" w:hAnsi="Book Antiqua"/>
        </w:rPr>
        <w:t xml:space="preserve">ecision of 3 August 2016 refusing him further leave to remain as the partner of his wife, the sponsor, a person settled in the </w:t>
      </w:r>
      <w:smartTag w:uri="urn:schemas-microsoft-com:office:smarttags" w:element="place">
        <w:smartTag w:uri="urn:schemas-microsoft-com:office:smarttags" w:element="country-region">
          <w:r w:rsidRPr="00041903">
            <w:rPr>
              <w:rFonts w:ascii="Book Antiqua" w:hAnsi="Book Antiqua"/>
            </w:rPr>
            <w:t>UK</w:t>
          </w:r>
        </w:smartTag>
      </w:smartTag>
      <w:r w:rsidRPr="00041903">
        <w:rPr>
          <w:rFonts w:ascii="Book Antiqua" w:hAnsi="Book Antiqua"/>
        </w:rPr>
        <w:t>.  In this decision I will refer to the parties as they were before the First-tier Tribunal, the applicant as the appellant and the Secreta</w:t>
      </w:r>
      <w:r>
        <w:rPr>
          <w:rFonts w:ascii="Book Antiqua" w:hAnsi="Book Antiqua"/>
        </w:rPr>
        <w:t>ry of State as the respondent.</w:t>
      </w:r>
    </w:p>
    <w:p w:rsidR="00F479E0" w:rsidRDefault="00F479E0" w:rsidP="00CE7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rsidR="00817B3B" w:rsidRDefault="00817B3B" w:rsidP="00CE7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rsidR="00F479E0" w:rsidRDefault="00F479E0" w:rsidP="00CE7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C466AC">
        <w:rPr>
          <w:rFonts w:ascii="Book Antiqua" w:hAnsi="Book Antiqua"/>
          <w:u w:val="single"/>
        </w:rPr>
        <w:lastRenderedPageBreak/>
        <w:t>Background</w:t>
      </w:r>
      <w:r>
        <w:rPr>
          <w:rFonts w:ascii="Book Antiqua" w:hAnsi="Book Antiqua"/>
          <w:u w:val="single"/>
        </w:rPr>
        <w:t>.</w:t>
      </w:r>
    </w:p>
    <w:p w:rsidR="00F479E0" w:rsidRDefault="00F479E0" w:rsidP="00CE7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479E0" w:rsidRDefault="00F479E0" w:rsidP="00CE7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C466AC">
        <w:rPr>
          <w:rFonts w:ascii="Book Antiqua" w:hAnsi="Book Antiqua"/>
        </w:rPr>
        <w:t>2.</w:t>
      </w:r>
      <w:r w:rsidRPr="00C466AC">
        <w:rPr>
          <w:rFonts w:ascii="Book Antiqua" w:hAnsi="Book Antiqua"/>
        </w:rPr>
        <w:tab/>
        <w:t xml:space="preserve">The appellant is a citizen of </w:t>
      </w:r>
      <w:smartTag w:uri="urn:schemas-microsoft-com:office:smarttags" w:element="country-region">
        <w:smartTag w:uri="urn:schemas-microsoft-com:office:smarttags" w:element="place">
          <w:r w:rsidRPr="00C466AC">
            <w:rPr>
              <w:rFonts w:ascii="Book Antiqua" w:hAnsi="Book Antiqua"/>
            </w:rPr>
            <w:t>India</w:t>
          </w:r>
        </w:smartTag>
      </w:smartTag>
      <w:r w:rsidRPr="00C466AC">
        <w:rPr>
          <w:rFonts w:ascii="Book Antiqua" w:hAnsi="Book Antiqua"/>
        </w:rPr>
        <w:t xml:space="preserve"> born on 3 August 1980.  He arrived in the </w:t>
      </w:r>
      <w:smartTag w:uri="urn:schemas-microsoft-com:office:smarttags" w:element="place">
        <w:smartTag w:uri="urn:schemas-microsoft-com:office:smarttags" w:element="country-region">
          <w:r w:rsidRPr="00C466AC">
            <w:rPr>
              <w:rFonts w:ascii="Book Antiqua" w:hAnsi="Book Antiqua"/>
            </w:rPr>
            <w:t>UK</w:t>
          </w:r>
        </w:smartTag>
      </w:smartTag>
      <w:r w:rsidRPr="00C466AC">
        <w:rPr>
          <w:rFonts w:ascii="Book Antiqua" w:hAnsi="Book Antiqua"/>
        </w:rPr>
        <w:t xml:space="preserve"> on 13</w:t>
      </w:r>
      <w:r w:rsidRPr="00041903">
        <w:rPr>
          <w:rFonts w:ascii="Book Antiqua" w:hAnsi="Book Antiqua"/>
        </w:rPr>
        <w:t xml:space="preserve"> September 2010 with entry clearance as a Tier 4 (Gen</w:t>
      </w:r>
      <w:r>
        <w:rPr>
          <w:rFonts w:ascii="Book Antiqua" w:hAnsi="Book Antiqua"/>
        </w:rPr>
        <w:t>eral</w:t>
      </w:r>
      <w:r w:rsidRPr="00041903">
        <w:rPr>
          <w:rFonts w:ascii="Book Antiqua" w:hAnsi="Book Antiqua"/>
        </w:rPr>
        <w:t xml:space="preserve">) student with leave to enter until 18 March 2011.  His leave was further extended as a student until 29 November 2013.  On 27 November 2013 he applied for a variation of </w:t>
      </w:r>
      <w:r>
        <w:rPr>
          <w:rFonts w:ascii="Book Antiqua" w:hAnsi="Book Antiqua"/>
        </w:rPr>
        <w:t xml:space="preserve">his </w:t>
      </w:r>
      <w:r w:rsidRPr="00041903">
        <w:rPr>
          <w:rFonts w:ascii="Book Antiqua" w:hAnsi="Book Antiqua"/>
        </w:rPr>
        <w:t xml:space="preserve">leave following his marriage to the sponsor on 14 November 2013.  He was granted limited leave until 13 June 2016.  </w:t>
      </w:r>
      <w:r>
        <w:rPr>
          <w:rFonts w:ascii="Book Antiqua" w:hAnsi="Book Antiqua"/>
        </w:rPr>
        <w:t>He then m</w:t>
      </w:r>
      <w:r w:rsidRPr="00041903">
        <w:rPr>
          <w:rFonts w:ascii="Book Antiqua" w:hAnsi="Book Antiqua"/>
        </w:rPr>
        <w:t xml:space="preserve">ade an application for further leave on 3 </w:t>
      </w:r>
      <w:r>
        <w:rPr>
          <w:rFonts w:ascii="Book Antiqua" w:hAnsi="Book Antiqua"/>
        </w:rPr>
        <w:t>June</w:t>
      </w:r>
      <w:r w:rsidRPr="00041903">
        <w:rPr>
          <w:rFonts w:ascii="Book Antiqua" w:hAnsi="Book Antiqua"/>
        </w:rPr>
        <w:t xml:space="preserve"> 2016 but this was refused on 3 August 2016 </w:t>
      </w:r>
      <w:r>
        <w:rPr>
          <w:rFonts w:ascii="Book Antiqua" w:hAnsi="Book Antiqua"/>
        </w:rPr>
        <w:t xml:space="preserve">on </w:t>
      </w:r>
      <w:r w:rsidRPr="00041903">
        <w:rPr>
          <w:rFonts w:ascii="Book Antiqua" w:hAnsi="Book Antiqua"/>
        </w:rPr>
        <w:t>the basis that on 16 March 2012 in connection with an earlier application for leave to remain as a student he had submitted a TOE</w:t>
      </w:r>
      <w:r>
        <w:rPr>
          <w:rFonts w:ascii="Book Antiqua" w:hAnsi="Book Antiqua"/>
        </w:rPr>
        <w:t>IC</w:t>
      </w:r>
      <w:r w:rsidRPr="00041903">
        <w:rPr>
          <w:rFonts w:ascii="Book Antiqua" w:hAnsi="Book Antiqua"/>
        </w:rPr>
        <w:t xml:space="preserve"> English </w:t>
      </w:r>
      <w:r>
        <w:rPr>
          <w:rFonts w:ascii="Book Antiqua" w:hAnsi="Book Antiqua"/>
        </w:rPr>
        <w:t>L</w:t>
      </w:r>
      <w:r w:rsidRPr="00041903">
        <w:rPr>
          <w:rFonts w:ascii="Book Antiqua" w:hAnsi="Book Antiqua"/>
        </w:rPr>
        <w:t xml:space="preserve">anguage </w:t>
      </w:r>
      <w:r>
        <w:rPr>
          <w:rFonts w:ascii="Book Antiqua" w:hAnsi="Book Antiqua"/>
        </w:rPr>
        <w:t>C</w:t>
      </w:r>
      <w:r w:rsidRPr="00041903">
        <w:rPr>
          <w:rFonts w:ascii="Book Antiqua" w:hAnsi="Book Antiqua"/>
        </w:rPr>
        <w:t xml:space="preserve">ertificate issued by </w:t>
      </w:r>
      <w:r>
        <w:rPr>
          <w:rFonts w:ascii="Book Antiqua" w:hAnsi="Book Antiqua"/>
        </w:rPr>
        <w:t>E</w:t>
      </w:r>
      <w:r w:rsidRPr="00041903">
        <w:rPr>
          <w:rFonts w:ascii="Book Antiqua" w:hAnsi="Book Antiqua"/>
        </w:rPr>
        <w:t xml:space="preserve">ducational </w:t>
      </w:r>
      <w:r>
        <w:rPr>
          <w:rFonts w:ascii="Book Antiqua" w:hAnsi="Book Antiqua"/>
        </w:rPr>
        <w:t>T</w:t>
      </w:r>
      <w:r w:rsidRPr="00041903">
        <w:rPr>
          <w:rFonts w:ascii="Book Antiqua" w:hAnsi="Book Antiqua"/>
        </w:rPr>
        <w:t xml:space="preserve">esting </w:t>
      </w:r>
      <w:r>
        <w:rPr>
          <w:rFonts w:ascii="Book Antiqua" w:hAnsi="Book Antiqua"/>
        </w:rPr>
        <w:t>S</w:t>
      </w:r>
      <w:r w:rsidRPr="00041903">
        <w:rPr>
          <w:rFonts w:ascii="Book Antiqua" w:hAnsi="Book Antiqua"/>
        </w:rPr>
        <w:t>ervice</w:t>
      </w:r>
      <w:r>
        <w:rPr>
          <w:rFonts w:ascii="Book Antiqua" w:hAnsi="Book Antiqua"/>
        </w:rPr>
        <w:t xml:space="preserve"> (“ELS”)</w:t>
      </w:r>
      <w:r w:rsidRPr="00041903">
        <w:rPr>
          <w:rFonts w:ascii="Book Antiqua" w:hAnsi="Book Antiqua"/>
        </w:rPr>
        <w:t xml:space="preserve"> which the respondent believed was obtained by deception.  For this reason</w:t>
      </w:r>
      <w:r>
        <w:rPr>
          <w:rFonts w:ascii="Book Antiqua" w:hAnsi="Book Antiqua"/>
        </w:rPr>
        <w:t>,</w:t>
      </w:r>
      <w:r w:rsidRPr="00041903">
        <w:rPr>
          <w:rFonts w:ascii="Book Antiqua" w:hAnsi="Book Antiqua"/>
        </w:rPr>
        <w:t xml:space="preserve"> it was not accepted that he met the suitability </w:t>
      </w:r>
      <w:r>
        <w:rPr>
          <w:rFonts w:ascii="Book Antiqua" w:hAnsi="Book Antiqua"/>
        </w:rPr>
        <w:t>requirement at para S-LTR.4</w:t>
      </w:r>
      <w:r w:rsidRPr="00041903">
        <w:rPr>
          <w:rFonts w:ascii="Book Antiqua" w:hAnsi="Book Antiqua"/>
        </w:rPr>
        <w:t xml:space="preserve">.2 and so in turn did not meet para </w:t>
      </w:r>
      <w:r>
        <w:rPr>
          <w:rFonts w:ascii="Book Antiqua" w:hAnsi="Book Antiqua"/>
        </w:rPr>
        <w:t>R-LTRP.1.1(c)</w:t>
      </w:r>
      <w:r w:rsidRPr="00041903">
        <w:rPr>
          <w:rFonts w:ascii="Book Antiqua" w:hAnsi="Book Antiqua"/>
        </w:rPr>
        <w:t>(</w:t>
      </w:r>
      <w:r>
        <w:rPr>
          <w:rFonts w:ascii="Book Antiqua" w:hAnsi="Book Antiqua"/>
        </w:rPr>
        <w:t>i</w:t>
      </w:r>
      <w:r w:rsidRPr="00041903">
        <w:rPr>
          <w:rFonts w:ascii="Book Antiqua" w:hAnsi="Book Antiqua"/>
        </w:rPr>
        <w:t xml:space="preserve">) of </w:t>
      </w:r>
      <w:r>
        <w:rPr>
          <w:rFonts w:ascii="Book Antiqua" w:hAnsi="Book Antiqua"/>
        </w:rPr>
        <w:t>A</w:t>
      </w:r>
      <w:r w:rsidRPr="00041903">
        <w:rPr>
          <w:rFonts w:ascii="Book Antiqua" w:hAnsi="Book Antiqua"/>
        </w:rPr>
        <w:t xml:space="preserve">ppendix FM.  </w:t>
      </w:r>
      <w:r>
        <w:rPr>
          <w:rFonts w:ascii="Book Antiqua" w:hAnsi="Book Antiqua"/>
        </w:rPr>
        <w:t>Further, t</w:t>
      </w:r>
      <w:r w:rsidRPr="00041903">
        <w:rPr>
          <w:rFonts w:ascii="Book Antiqua" w:hAnsi="Book Antiqua"/>
        </w:rPr>
        <w:t>he respondent d</w:t>
      </w:r>
      <w:r>
        <w:rPr>
          <w:rFonts w:ascii="Book Antiqua" w:hAnsi="Book Antiqua"/>
        </w:rPr>
        <w:t>id</w:t>
      </w:r>
      <w:r w:rsidRPr="00041903">
        <w:rPr>
          <w:rFonts w:ascii="Book Antiqua" w:hAnsi="Book Antiqua"/>
        </w:rPr>
        <w:t xml:space="preserve"> not accept that the appellant had a claim to remain under para 276</w:t>
      </w:r>
      <w:r>
        <w:rPr>
          <w:rFonts w:ascii="Book Antiqua" w:hAnsi="Book Antiqua"/>
        </w:rPr>
        <w:t>ADE</w:t>
      </w:r>
      <w:r w:rsidRPr="00041903">
        <w:rPr>
          <w:rFonts w:ascii="Book Antiqua" w:hAnsi="Book Antiqua"/>
        </w:rPr>
        <w:t>(</w:t>
      </w:r>
      <w:r>
        <w:rPr>
          <w:rFonts w:ascii="Book Antiqua" w:hAnsi="Book Antiqua"/>
        </w:rPr>
        <w:t>1</w:t>
      </w:r>
      <w:r w:rsidRPr="00041903">
        <w:rPr>
          <w:rFonts w:ascii="Book Antiqua" w:hAnsi="Book Antiqua"/>
        </w:rPr>
        <w:t xml:space="preserve">) of the </w:t>
      </w:r>
      <w:r>
        <w:rPr>
          <w:rFonts w:ascii="Book Antiqua" w:hAnsi="Book Antiqua"/>
        </w:rPr>
        <w:t>R</w:t>
      </w:r>
      <w:r w:rsidRPr="00041903">
        <w:rPr>
          <w:rFonts w:ascii="Book Antiqua" w:hAnsi="Book Antiqua"/>
        </w:rPr>
        <w:t xml:space="preserve">ules or that the facts of this case merited </w:t>
      </w:r>
      <w:r>
        <w:rPr>
          <w:rFonts w:ascii="Book Antiqua" w:hAnsi="Book Antiqua"/>
        </w:rPr>
        <w:t xml:space="preserve">a grant of </w:t>
      </w:r>
      <w:r w:rsidRPr="00041903">
        <w:rPr>
          <w:rFonts w:ascii="Book Antiqua" w:hAnsi="Book Antiqua"/>
        </w:rPr>
        <w:t xml:space="preserve">leave on article 8 grounds outside the </w:t>
      </w:r>
      <w:r>
        <w:rPr>
          <w:rFonts w:ascii="Book Antiqua" w:hAnsi="Book Antiqua"/>
        </w:rPr>
        <w:t>Rules.</w:t>
      </w:r>
    </w:p>
    <w:p w:rsidR="00F479E0" w:rsidRDefault="00F479E0" w:rsidP="00CE7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479E0" w:rsidRDefault="00F479E0" w:rsidP="00CE7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C466AC">
        <w:rPr>
          <w:rFonts w:ascii="Book Antiqua" w:hAnsi="Book Antiqua"/>
          <w:u w:val="single"/>
        </w:rPr>
        <w:t xml:space="preserve">The hearing before the </w:t>
      </w:r>
      <w:r>
        <w:rPr>
          <w:rFonts w:ascii="Book Antiqua" w:hAnsi="Book Antiqua"/>
          <w:u w:val="single"/>
        </w:rPr>
        <w:t>First-tier Tribunal</w:t>
      </w:r>
      <w:r w:rsidRPr="00C466AC">
        <w:rPr>
          <w:rFonts w:ascii="Book Antiqua" w:hAnsi="Book Antiqua"/>
          <w:u w:val="single"/>
        </w:rPr>
        <w:t>.</w:t>
      </w:r>
    </w:p>
    <w:p w:rsidR="00F479E0" w:rsidRDefault="00F479E0" w:rsidP="00CE7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479E0" w:rsidRDefault="00F479E0" w:rsidP="00CE7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w:t>
      </w:r>
      <w:r>
        <w:rPr>
          <w:rFonts w:ascii="Book Antiqua" w:hAnsi="Book Antiqua"/>
        </w:rPr>
        <w:tab/>
      </w:r>
      <w:r w:rsidRPr="00041903">
        <w:rPr>
          <w:rFonts w:ascii="Book Antiqua" w:hAnsi="Book Antiqua"/>
        </w:rPr>
        <w:t xml:space="preserve">At the hearing before the judge, the appellant gave oral evidence adopting his witness statement f at </w:t>
      </w:r>
      <w:r>
        <w:rPr>
          <w:rFonts w:ascii="Book Antiqua" w:hAnsi="Book Antiqua"/>
        </w:rPr>
        <w:t>A</w:t>
      </w:r>
      <w:r w:rsidRPr="00041903">
        <w:rPr>
          <w:rFonts w:ascii="Book Antiqua" w:hAnsi="Book Antiqua"/>
        </w:rPr>
        <w:t xml:space="preserve">21-24 of his appeal bundle.  His wife also attended adopting her witness statement at </w:t>
      </w:r>
      <w:r>
        <w:rPr>
          <w:rFonts w:ascii="Book Antiqua" w:hAnsi="Book Antiqua"/>
        </w:rPr>
        <w:t>A</w:t>
      </w:r>
      <w:r w:rsidRPr="00041903">
        <w:rPr>
          <w:rFonts w:ascii="Book Antiqua" w:hAnsi="Book Antiqua"/>
        </w:rPr>
        <w:t xml:space="preserve">25-27.  The judge noted that there was no cross examination of either witness by the Home Office presenting </w:t>
      </w:r>
      <w:r>
        <w:rPr>
          <w:rFonts w:ascii="Book Antiqua" w:hAnsi="Book Antiqua"/>
        </w:rPr>
        <w:t>officer.</w:t>
      </w:r>
    </w:p>
    <w:p w:rsidR="00F479E0" w:rsidRDefault="00F479E0" w:rsidP="00CE7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479E0" w:rsidRDefault="00F479E0" w:rsidP="00CE7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w:t>
      </w:r>
      <w:r>
        <w:rPr>
          <w:rFonts w:ascii="Book Antiqua" w:hAnsi="Book Antiqua"/>
        </w:rPr>
        <w:tab/>
        <w:t>The j</w:t>
      </w:r>
      <w:r w:rsidRPr="00041903">
        <w:rPr>
          <w:rFonts w:ascii="Book Antiqua" w:hAnsi="Book Antiqua"/>
        </w:rPr>
        <w:t xml:space="preserve">udge considered firstly whether the appellant </w:t>
      </w:r>
      <w:r>
        <w:rPr>
          <w:rFonts w:ascii="Book Antiqua" w:hAnsi="Book Antiqua"/>
        </w:rPr>
        <w:t xml:space="preserve">had </w:t>
      </w:r>
      <w:r w:rsidRPr="00041903">
        <w:rPr>
          <w:rFonts w:ascii="Book Antiqua" w:hAnsi="Book Antiqua"/>
        </w:rPr>
        <w:t xml:space="preserve">engaged in deception </w:t>
      </w:r>
      <w:r>
        <w:rPr>
          <w:rFonts w:ascii="Book Antiqua" w:hAnsi="Book Antiqua"/>
        </w:rPr>
        <w:t>by</w:t>
      </w:r>
      <w:r w:rsidRPr="00041903">
        <w:rPr>
          <w:rFonts w:ascii="Book Antiqua" w:hAnsi="Book Antiqua"/>
        </w:rPr>
        <w:t xml:space="preserve"> us</w:t>
      </w:r>
      <w:r>
        <w:rPr>
          <w:rFonts w:ascii="Book Antiqua" w:hAnsi="Book Antiqua"/>
        </w:rPr>
        <w:t>ing</w:t>
      </w:r>
      <w:r w:rsidRPr="00041903">
        <w:rPr>
          <w:rFonts w:ascii="Book Antiqua" w:hAnsi="Book Antiqua"/>
        </w:rPr>
        <w:t xml:space="preserve"> a proxy test</w:t>
      </w:r>
      <w:r>
        <w:rPr>
          <w:rFonts w:ascii="Book Antiqua" w:hAnsi="Book Antiqua"/>
        </w:rPr>
        <w:t>-</w:t>
      </w:r>
      <w:r w:rsidRPr="00041903">
        <w:rPr>
          <w:rFonts w:ascii="Book Antiqua" w:hAnsi="Book Antiqua"/>
        </w:rPr>
        <w:t xml:space="preserve">taker on 21 February 2012 to obtain the English language qualification he later submitted to the respondent.  </w:t>
      </w:r>
      <w:r>
        <w:rPr>
          <w:rFonts w:ascii="Book Antiqua" w:hAnsi="Book Antiqua"/>
        </w:rPr>
        <w:t>He n</w:t>
      </w:r>
      <w:r w:rsidRPr="00041903">
        <w:rPr>
          <w:rFonts w:ascii="Book Antiqua" w:hAnsi="Book Antiqua"/>
        </w:rPr>
        <w:t>oted that the respondent in the decision letter simply stated that</w:t>
      </w:r>
      <w:r>
        <w:rPr>
          <w:rFonts w:ascii="Book Antiqua" w:hAnsi="Book Antiqua"/>
        </w:rPr>
        <w:t>,</w:t>
      </w:r>
      <w:r w:rsidRPr="00041903">
        <w:rPr>
          <w:rFonts w:ascii="Book Antiqua" w:hAnsi="Book Antiqua"/>
        </w:rPr>
        <w:t xml:space="preserve"> on the basis of information provided by ETS</w:t>
      </w:r>
      <w:r>
        <w:rPr>
          <w:rFonts w:ascii="Book Antiqua" w:hAnsi="Book Antiqua"/>
        </w:rPr>
        <w:t>,</w:t>
      </w:r>
      <w:r w:rsidRPr="00041903">
        <w:rPr>
          <w:rFonts w:ascii="Book Antiqua" w:hAnsi="Book Antiqua"/>
        </w:rPr>
        <w:t xml:space="preserve"> she was satisfied that the appellant</w:t>
      </w:r>
      <w:r>
        <w:rPr>
          <w:rFonts w:ascii="Book Antiqua" w:hAnsi="Book Antiqua"/>
        </w:rPr>
        <w:t>’s</w:t>
      </w:r>
      <w:r w:rsidRPr="00041903">
        <w:rPr>
          <w:rFonts w:ascii="Book Antiqua" w:hAnsi="Book Antiqua"/>
        </w:rPr>
        <w:t xml:space="preserve"> certificate was </w:t>
      </w:r>
      <w:r>
        <w:rPr>
          <w:rFonts w:ascii="Book Antiqua" w:hAnsi="Book Antiqua"/>
        </w:rPr>
        <w:t>fraudulently</w:t>
      </w:r>
      <w:r w:rsidRPr="00041903">
        <w:rPr>
          <w:rFonts w:ascii="Book Antiqua" w:hAnsi="Book Antiqua"/>
        </w:rPr>
        <w:t xml:space="preserve"> obtained </w:t>
      </w:r>
      <w:r>
        <w:rPr>
          <w:rFonts w:ascii="Book Antiqua" w:hAnsi="Book Antiqua"/>
        </w:rPr>
        <w:t xml:space="preserve">and </w:t>
      </w:r>
      <w:r w:rsidRPr="00041903">
        <w:rPr>
          <w:rFonts w:ascii="Book Antiqua" w:hAnsi="Book Antiqua"/>
        </w:rPr>
        <w:t xml:space="preserve">that he had used deception in </w:t>
      </w:r>
      <w:r>
        <w:rPr>
          <w:rFonts w:ascii="Book Antiqua" w:hAnsi="Book Antiqua"/>
        </w:rPr>
        <w:t xml:space="preserve">his </w:t>
      </w:r>
      <w:r w:rsidRPr="00041903">
        <w:rPr>
          <w:rFonts w:ascii="Book Antiqua" w:hAnsi="Book Antiqua"/>
        </w:rPr>
        <w:t>application of 16 March 2012.  In the subsequent appeal bundle the respondent produced generic evidence in witness statements from Rebecca Collins</w:t>
      </w:r>
      <w:r>
        <w:rPr>
          <w:rFonts w:ascii="Book Antiqua" w:hAnsi="Book Antiqua"/>
        </w:rPr>
        <w:t xml:space="preserve"> and</w:t>
      </w:r>
      <w:r w:rsidRPr="00041903">
        <w:rPr>
          <w:rFonts w:ascii="Book Antiqua" w:hAnsi="Book Antiqua"/>
        </w:rPr>
        <w:t xml:space="preserve"> Peter Millington and an expert report from Prof</w:t>
      </w:r>
      <w:r>
        <w:rPr>
          <w:rFonts w:ascii="Book Antiqua" w:hAnsi="Book Antiqua"/>
        </w:rPr>
        <w:t>essor</w:t>
      </w:r>
      <w:r w:rsidRPr="00041903">
        <w:rPr>
          <w:rFonts w:ascii="Book Antiqua" w:hAnsi="Book Antiqua"/>
        </w:rPr>
        <w:t xml:space="preserve"> French.  </w:t>
      </w:r>
      <w:r>
        <w:rPr>
          <w:rFonts w:ascii="Book Antiqua" w:hAnsi="Book Antiqua"/>
        </w:rPr>
        <w:t>There was</w:t>
      </w:r>
      <w:r w:rsidRPr="00041903">
        <w:rPr>
          <w:rFonts w:ascii="Book Antiqua" w:hAnsi="Book Antiqua"/>
        </w:rPr>
        <w:t xml:space="preserve"> also a </w:t>
      </w:r>
      <w:r>
        <w:rPr>
          <w:rFonts w:ascii="Book Antiqua" w:hAnsi="Book Antiqua"/>
        </w:rPr>
        <w:t>document headed ETS SEL</w:t>
      </w:r>
      <w:r w:rsidRPr="00041903">
        <w:rPr>
          <w:rFonts w:ascii="Book Antiqua" w:hAnsi="Book Antiqua"/>
        </w:rPr>
        <w:t xml:space="preserve">T </w:t>
      </w:r>
      <w:r>
        <w:rPr>
          <w:rFonts w:ascii="Book Antiqua" w:hAnsi="Book Antiqua"/>
        </w:rPr>
        <w:t>S</w:t>
      </w:r>
      <w:r w:rsidRPr="00041903">
        <w:rPr>
          <w:rFonts w:ascii="Book Antiqua" w:hAnsi="Book Antiqua"/>
        </w:rPr>
        <w:t xml:space="preserve">ource </w:t>
      </w:r>
      <w:r>
        <w:rPr>
          <w:rFonts w:ascii="Book Antiqua" w:hAnsi="Book Antiqua"/>
        </w:rPr>
        <w:t>Da</w:t>
      </w:r>
      <w:r w:rsidRPr="00041903">
        <w:rPr>
          <w:rFonts w:ascii="Book Antiqua" w:hAnsi="Book Antiqua"/>
        </w:rPr>
        <w:t xml:space="preserve">ta </w:t>
      </w:r>
      <w:r>
        <w:rPr>
          <w:rFonts w:ascii="Book Antiqua" w:hAnsi="Book Antiqua"/>
        </w:rPr>
        <w:t xml:space="preserve">with </w:t>
      </w:r>
      <w:r w:rsidRPr="00041903">
        <w:rPr>
          <w:rFonts w:ascii="Book Antiqua" w:hAnsi="Book Antiqua"/>
        </w:rPr>
        <w:t xml:space="preserve">the results of an ETS </w:t>
      </w:r>
      <w:r>
        <w:rPr>
          <w:rFonts w:ascii="Book Antiqua" w:hAnsi="Book Antiqua"/>
        </w:rPr>
        <w:t>TO</w:t>
      </w:r>
      <w:r w:rsidRPr="00041903">
        <w:rPr>
          <w:rFonts w:ascii="Book Antiqua" w:hAnsi="Book Antiqua"/>
        </w:rPr>
        <w:t xml:space="preserve">EIC </w:t>
      </w:r>
      <w:r>
        <w:rPr>
          <w:rFonts w:ascii="Book Antiqua" w:hAnsi="Book Antiqua"/>
        </w:rPr>
        <w:t>T</w:t>
      </w:r>
      <w:r w:rsidRPr="00041903">
        <w:rPr>
          <w:rFonts w:ascii="Book Antiqua" w:hAnsi="Book Antiqua"/>
        </w:rPr>
        <w:t xml:space="preserve">est </w:t>
      </w:r>
      <w:r>
        <w:rPr>
          <w:rFonts w:ascii="Book Antiqua" w:hAnsi="Book Antiqua"/>
        </w:rPr>
        <w:t>C</w:t>
      </w:r>
      <w:r w:rsidRPr="00041903">
        <w:rPr>
          <w:rFonts w:ascii="Book Antiqua" w:hAnsi="Book Antiqua"/>
        </w:rPr>
        <w:t xml:space="preserve">entre </w:t>
      </w:r>
      <w:r>
        <w:rPr>
          <w:rFonts w:ascii="Book Antiqua" w:hAnsi="Book Antiqua"/>
        </w:rPr>
        <w:t>L</w:t>
      </w:r>
      <w:r w:rsidRPr="00041903">
        <w:rPr>
          <w:rFonts w:ascii="Book Antiqua" w:hAnsi="Book Antiqua"/>
        </w:rPr>
        <w:t xml:space="preserve">ookup </w:t>
      </w:r>
      <w:r>
        <w:rPr>
          <w:rFonts w:ascii="Book Antiqua" w:hAnsi="Book Antiqua"/>
        </w:rPr>
        <w:t>T</w:t>
      </w:r>
      <w:r w:rsidRPr="00041903">
        <w:rPr>
          <w:rFonts w:ascii="Book Antiqua" w:hAnsi="Book Antiqua"/>
        </w:rPr>
        <w:t>ool from the relevant test centre on 21 February 2012</w:t>
      </w:r>
      <w:r>
        <w:rPr>
          <w:rFonts w:ascii="Book Antiqua" w:hAnsi="Book Antiqua"/>
        </w:rPr>
        <w:t xml:space="preserve"> [15].</w:t>
      </w:r>
    </w:p>
    <w:p w:rsidR="00F479E0" w:rsidRDefault="00F479E0" w:rsidP="00CE7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479E0" w:rsidRDefault="00F479E0" w:rsidP="00CE7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5.</w:t>
      </w:r>
      <w:r>
        <w:rPr>
          <w:rFonts w:ascii="Book Antiqua" w:hAnsi="Book Antiqua"/>
        </w:rPr>
        <w:tab/>
      </w:r>
      <w:r w:rsidRPr="00041903">
        <w:rPr>
          <w:rFonts w:ascii="Book Antiqua" w:hAnsi="Book Antiqua"/>
        </w:rPr>
        <w:t xml:space="preserve">The judge said that it appeared likely that the test centre which the appellant said he had attended to sit the exam was engaged in some irregular or fraudulent practices.  The </w:t>
      </w:r>
      <w:r>
        <w:rPr>
          <w:rFonts w:ascii="Book Antiqua" w:hAnsi="Book Antiqua"/>
        </w:rPr>
        <w:t>lookup t</w:t>
      </w:r>
      <w:r w:rsidRPr="00041903">
        <w:rPr>
          <w:rFonts w:ascii="Book Antiqua" w:hAnsi="Book Antiqua"/>
        </w:rPr>
        <w:t>ool for that test centre indicated that out of the 51 individuals (actually or potentially) tested on that date, 38 results had been subsequently categorised as "invalid" and the remaining 13 as "questionable"</w:t>
      </w:r>
      <w:r>
        <w:rPr>
          <w:rFonts w:ascii="Book Antiqua" w:hAnsi="Book Antiqua"/>
        </w:rPr>
        <w:t>.</w:t>
      </w:r>
      <w:r w:rsidRPr="00041903">
        <w:rPr>
          <w:rFonts w:ascii="Book Antiqua" w:hAnsi="Book Antiqua"/>
        </w:rPr>
        <w:t xml:space="preserve"> </w:t>
      </w:r>
      <w:r>
        <w:rPr>
          <w:rFonts w:ascii="Book Antiqua" w:hAnsi="Book Antiqua"/>
        </w:rPr>
        <w:t>T</w:t>
      </w:r>
      <w:r w:rsidRPr="00041903">
        <w:rPr>
          <w:rFonts w:ascii="Book Antiqua" w:hAnsi="Book Antiqua"/>
        </w:rPr>
        <w:t>he judge said that</w:t>
      </w:r>
      <w:r>
        <w:rPr>
          <w:rFonts w:ascii="Book Antiqua" w:hAnsi="Book Antiqua"/>
        </w:rPr>
        <w:t>,</w:t>
      </w:r>
      <w:r w:rsidRPr="00041903">
        <w:rPr>
          <w:rFonts w:ascii="Book Antiqua" w:hAnsi="Book Antiqua"/>
        </w:rPr>
        <w:t xml:space="preserve"> nevertheless</w:t>
      </w:r>
      <w:r>
        <w:rPr>
          <w:rFonts w:ascii="Book Antiqua" w:hAnsi="Book Antiqua"/>
        </w:rPr>
        <w:t>,</w:t>
      </w:r>
      <w:r w:rsidRPr="00041903">
        <w:rPr>
          <w:rFonts w:ascii="Book Antiqua" w:hAnsi="Book Antiqua"/>
        </w:rPr>
        <w:t xml:space="preserve"> he had not been supplied with a </w:t>
      </w:r>
      <w:r>
        <w:rPr>
          <w:rFonts w:ascii="Book Antiqua" w:hAnsi="Book Antiqua"/>
        </w:rPr>
        <w:t>P</w:t>
      </w:r>
      <w:r w:rsidRPr="00041903">
        <w:rPr>
          <w:rFonts w:ascii="Book Antiqua" w:hAnsi="Book Antiqua"/>
        </w:rPr>
        <w:t xml:space="preserve">roject </w:t>
      </w:r>
      <w:r>
        <w:rPr>
          <w:rFonts w:ascii="Book Antiqua" w:hAnsi="Book Antiqua"/>
        </w:rPr>
        <w:t>Façade</w:t>
      </w:r>
      <w:r w:rsidRPr="00041903">
        <w:rPr>
          <w:rFonts w:ascii="Book Antiqua" w:hAnsi="Book Antiqua"/>
        </w:rPr>
        <w:t xml:space="preserve"> report on the test centre and had not been supplied with any information as to why the appellant's test was designated as "invalid</w:t>
      </w:r>
      <w:r>
        <w:rPr>
          <w:rFonts w:ascii="Book Antiqua" w:hAnsi="Book Antiqua"/>
        </w:rPr>
        <w:t>”</w:t>
      </w:r>
      <w:r w:rsidRPr="00041903">
        <w:rPr>
          <w:rFonts w:ascii="Book Antiqua" w:hAnsi="Book Antiqua"/>
        </w:rPr>
        <w:t xml:space="preserve">.  There had been no audio evidence provided indicating that a voice other than the appellants was responding to the questions asked.  </w:t>
      </w:r>
      <w:r>
        <w:rPr>
          <w:rFonts w:ascii="Book Antiqua" w:hAnsi="Book Antiqua"/>
        </w:rPr>
        <w:t>He commented</w:t>
      </w:r>
      <w:r w:rsidRPr="00041903">
        <w:rPr>
          <w:rFonts w:ascii="Book Antiqua" w:hAnsi="Book Antiqua"/>
        </w:rPr>
        <w:t xml:space="preserve"> that there was little or no evidence from ETS as to why the appellant's test was held to be </w:t>
      </w:r>
      <w:r>
        <w:rPr>
          <w:rFonts w:ascii="Book Antiqua" w:hAnsi="Book Antiqua"/>
        </w:rPr>
        <w:t>invalid [18].</w:t>
      </w:r>
    </w:p>
    <w:p w:rsidR="00F479E0" w:rsidRDefault="00F479E0" w:rsidP="00CE7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479E0" w:rsidRDefault="00F479E0" w:rsidP="00CE7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6.</w:t>
      </w:r>
      <w:r>
        <w:rPr>
          <w:rFonts w:ascii="Book Antiqua" w:hAnsi="Book Antiqua"/>
        </w:rPr>
        <w:tab/>
      </w:r>
      <w:r w:rsidRPr="00041903">
        <w:rPr>
          <w:rFonts w:ascii="Book Antiqua" w:hAnsi="Book Antiqua"/>
        </w:rPr>
        <w:t>The judge said that the appellant adamantly denied he had ever engaged in the deception</w:t>
      </w:r>
      <w:r>
        <w:rPr>
          <w:rFonts w:ascii="Book Antiqua" w:hAnsi="Book Antiqua"/>
        </w:rPr>
        <w:t xml:space="preserve"> alleged</w:t>
      </w:r>
      <w:r w:rsidRPr="00041903">
        <w:rPr>
          <w:rFonts w:ascii="Book Antiqua" w:hAnsi="Book Antiqua"/>
        </w:rPr>
        <w:t>.  He noted that</w:t>
      </w:r>
      <w:r>
        <w:rPr>
          <w:rFonts w:ascii="Book Antiqua" w:hAnsi="Book Antiqua"/>
        </w:rPr>
        <w:t>,</w:t>
      </w:r>
      <w:r w:rsidRPr="00041903">
        <w:rPr>
          <w:rFonts w:ascii="Book Antiqua" w:hAnsi="Book Antiqua"/>
        </w:rPr>
        <w:t xml:space="preserve"> prior to arriving in the </w:t>
      </w:r>
      <w:smartTag w:uri="urn:schemas-microsoft-com:office:smarttags" w:element="country-region">
        <w:r w:rsidRPr="00041903">
          <w:rPr>
            <w:rFonts w:ascii="Book Antiqua" w:hAnsi="Book Antiqua"/>
          </w:rPr>
          <w:t>UK</w:t>
        </w:r>
      </w:smartTag>
      <w:r>
        <w:rPr>
          <w:rFonts w:ascii="Book Antiqua" w:hAnsi="Book Antiqua"/>
        </w:rPr>
        <w:t>,</w:t>
      </w:r>
      <w:r w:rsidRPr="00041903">
        <w:rPr>
          <w:rFonts w:ascii="Book Antiqua" w:hAnsi="Book Antiqua"/>
        </w:rPr>
        <w:t xml:space="preserve"> he had already been awarded a </w:t>
      </w:r>
      <w:r>
        <w:rPr>
          <w:rFonts w:ascii="Book Antiqua" w:hAnsi="Book Antiqua"/>
        </w:rPr>
        <w:t>Bachelor’</w:t>
      </w:r>
      <w:r w:rsidRPr="00041903">
        <w:rPr>
          <w:rFonts w:ascii="Book Antiqua" w:hAnsi="Book Antiqua"/>
        </w:rPr>
        <w:t xml:space="preserve">s degree from </w:t>
      </w:r>
      <w:smartTag w:uri="urn:schemas-microsoft-com:office:smarttags" w:element="country-region">
        <w:r w:rsidRPr="00041903">
          <w:rPr>
            <w:rFonts w:ascii="Book Antiqua" w:hAnsi="Book Antiqua"/>
          </w:rPr>
          <w:t>India</w:t>
        </w:r>
      </w:smartTag>
      <w:r w:rsidRPr="00041903">
        <w:rPr>
          <w:rFonts w:ascii="Book Antiqua" w:hAnsi="Book Antiqua"/>
        </w:rPr>
        <w:t xml:space="preserve"> taught in English and that between 2010 to 2013 he undertook further studies in the </w:t>
      </w:r>
      <w:smartTag w:uri="urn:schemas-microsoft-com:office:smarttags" w:element="place">
        <w:smartTag w:uri="urn:schemas-microsoft-com:office:smarttags" w:element="country-region">
          <w:r w:rsidRPr="00041903">
            <w:rPr>
              <w:rFonts w:ascii="Book Antiqua" w:hAnsi="Book Antiqua"/>
            </w:rPr>
            <w:t>UK</w:t>
          </w:r>
        </w:smartTag>
      </w:smartTag>
      <w:r>
        <w:rPr>
          <w:rFonts w:ascii="Book Antiqua" w:hAnsi="Book Antiqua"/>
        </w:rPr>
        <w:t>.  In more</w:t>
      </w:r>
      <w:r w:rsidRPr="00041903">
        <w:rPr>
          <w:rFonts w:ascii="Book Antiqua" w:hAnsi="Book Antiqua"/>
        </w:rPr>
        <w:t xml:space="preserve"> recent years, post-February 2012</w:t>
      </w:r>
      <w:r>
        <w:rPr>
          <w:rFonts w:ascii="Book Antiqua" w:hAnsi="Book Antiqua"/>
        </w:rPr>
        <w:t>,</w:t>
      </w:r>
      <w:r w:rsidRPr="00041903">
        <w:rPr>
          <w:rFonts w:ascii="Book Antiqua" w:hAnsi="Book Antiqua"/>
        </w:rPr>
        <w:t xml:space="preserve"> he had been employed in a managerial post and had submitted a level </w:t>
      </w:r>
      <w:r>
        <w:rPr>
          <w:rFonts w:ascii="Book Antiqua" w:hAnsi="Book Antiqua"/>
        </w:rPr>
        <w:t>A2</w:t>
      </w:r>
      <w:r w:rsidRPr="00041903">
        <w:rPr>
          <w:rFonts w:ascii="Book Antiqua" w:hAnsi="Book Antiqua"/>
        </w:rPr>
        <w:t xml:space="preserve"> (with merit) CEF</w:t>
      </w:r>
      <w:r>
        <w:rPr>
          <w:rFonts w:ascii="Book Antiqua" w:hAnsi="Book Antiqua"/>
        </w:rPr>
        <w:t>R</w:t>
      </w:r>
      <w:r w:rsidRPr="00041903">
        <w:rPr>
          <w:rFonts w:ascii="Book Antiqua" w:hAnsi="Book Antiqua"/>
        </w:rPr>
        <w:t xml:space="preserve"> English language qualification in connection with the application under appeal.  The judge commented that during the hearing</w:t>
      </w:r>
      <w:r>
        <w:rPr>
          <w:rFonts w:ascii="Book Antiqua" w:hAnsi="Book Antiqua"/>
        </w:rPr>
        <w:t>,</w:t>
      </w:r>
      <w:r w:rsidRPr="00041903">
        <w:rPr>
          <w:rFonts w:ascii="Book Antiqua" w:hAnsi="Book Antiqua"/>
        </w:rPr>
        <w:t xml:space="preserve"> </w:t>
      </w:r>
      <w:r>
        <w:rPr>
          <w:rFonts w:ascii="Book Antiqua" w:hAnsi="Book Antiqua"/>
        </w:rPr>
        <w:t>the appellant</w:t>
      </w:r>
      <w:r w:rsidRPr="00041903">
        <w:rPr>
          <w:rFonts w:ascii="Book Antiqua" w:hAnsi="Book Antiqua"/>
        </w:rPr>
        <w:t xml:space="preserve"> had no hesitation understanding the admittedly few questions put to him and was able to respond in good English without hesitation or difficulty.  There </w:t>
      </w:r>
      <w:r>
        <w:rPr>
          <w:rFonts w:ascii="Book Antiqua" w:hAnsi="Book Antiqua"/>
        </w:rPr>
        <w:t>had been</w:t>
      </w:r>
      <w:r w:rsidRPr="00041903">
        <w:rPr>
          <w:rFonts w:ascii="Book Antiqua" w:hAnsi="Book Antiqua"/>
        </w:rPr>
        <w:t xml:space="preserve"> no cross-examination and no direct</w:t>
      </w:r>
      <w:r>
        <w:rPr>
          <w:rFonts w:ascii="Book Antiqua" w:hAnsi="Book Antiqua"/>
        </w:rPr>
        <w:t xml:space="preserve"> challenge to his credibility.  </w:t>
      </w:r>
      <w:r w:rsidRPr="00041903">
        <w:rPr>
          <w:rFonts w:ascii="Book Antiqua" w:hAnsi="Book Antiqua"/>
        </w:rPr>
        <w:t>The judge noted the comments in para</w:t>
      </w:r>
      <w:r>
        <w:rPr>
          <w:rFonts w:ascii="Book Antiqua" w:hAnsi="Book Antiqua"/>
        </w:rPr>
        <w:t>raph</w:t>
      </w:r>
      <w:r w:rsidRPr="00041903">
        <w:rPr>
          <w:rFonts w:ascii="Book Antiqua" w:hAnsi="Book Antiqua"/>
        </w:rPr>
        <w:t xml:space="preserve"> 57 </w:t>
      </w:r>
      <w:r>
        <w:rPr>
          <w:rFonts w:ascii="Book Antiqua" w:hAnsi="Book Antiqua"/>
        </w:rPr>
        <w:t xml:space="preserve">of </w:t>
      </w:r>
      <w:r w:rsidRPr="00041903">
        <w:rPr>
          <w:rFonts w:ascii="Book Antiqua" w:hAnsi="Book Antiqua"/>
        </w:rPr>
        <w:t xml:space="preserve">the Upper Tribunal decision in </w:t>
      </w:r>
      <w:r w:rsidRPr="002D3D8A">
        <w:rPr>
          <w:rFonts w:ascii="Book Antiqua" w:hAnsi="Book Antiqua"/>
          <w:u w:val="single"/>
        </w:rPr>
        <w:t>MA (ETS-TOEIC testing)</w:t>
      </w:r>
      <w:r w:rsidRPr="00041903">
        <w:rPr>
          <w:rFonts w:ascii="Book Antiqua" w:hAnsi="Book Antiqua"/>
        </w:rPr>
        <w:t xml:space="preserve"> [2016] </w:t>
      </w:r>
      <w:r>
        <w:rPr>
          <w:rFonts w:ascii="Book Antiqua" w:hAnsi="Book Antiqua"/>
        </w:rPr>
        <w:t xml:space="preserve">UKUT 450 </w:t>
      </w:r>
      <w:r w:rsidRPr="00041903">
        <w:rPr>
          <w:rFonts w:ascii="Book Antiqua" w:hAnsi="Book Antiqua"/>
        </w:rPr>
        <w:t>that there might be a range of reasons why persons proficient in English might neve</w:t>
      </w:r>
      <w:r>
        <w:rPr>
          <w:rFonts w:ascii="Book Antiqua" w:hAnsi="Book Antiqua"/>
        </w:rPr>
        <w:t>rtheless have engaged in fraud.</w:t>
      </w:r>
    </w:p>
    <w:p w:rsidR="00F479E0" w:rsidRDefault="00F479E0" w:rsidP="00CE7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479E0" w:rsidRDefault="00F479E0" w:rsidP="00CE7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7.</w:t>
      </w:r>
      <w:r>
        <w:rPr>
          <w:rFonts w:ascii="Book Antiqua" w:hAnsi="Book Antiqua"/>
        </w:rPr>
        <w:tab/>
      </w:r>
      <w:r w:rsidRPr="00041903">
        <w:rPr>
          <w:rFonts w:ascii="Book Antiqua" w:hAnsi="Book Antiqua"/>
        </w:rPr>
        <w:t xml:space="preserve">The judge then summarised his conclusions </w:t>
      </w:r>
      <w:r>
        <w:rPr>
          <w:rFonts w:ascii="Book Antiqua" w:hAnsi="Book Antiqua"/>
        </w:rPr>
        <w:t xml:space="preserve">in [20] </w:t>
      </w:r>
      <w:r w:rsidRPr="00041903">
        <w:rPr>
          <w:rFonts w:ascii="Book Antiqua" w:hAnsi="Book Antiqua"/>
        </w:rPr>
        <w:t>as follows:</w:t>
      </w:r>
    </w:p>
    <w:p w:rsidR="00F479E0" w:rsidRDefault="00F479E0" w:rsidP="00CE7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1134" w:hanging="1134"/>
        <w:jc w:val="both"/>
        <w:rPr>
          <w:rFonts w:ascii="Book Antiqua" w:hAnsi="Book Antiqua"/>
          <w:sz w:val="22"/>
          <w:szCs w:val="22"/>
        </w:rPr>
      </w:pPr>
      <w:r>
        <w:rPr>
          <w:rFonts w:ascii="Book Antiqua" w:hAnsi="Book Antiqua"/>
          <w:sz w:val="22"/>
          <w:szCs w:val="22"/>
        </w:rPr>
        <w:tab/>
      </w:r>
      <w:r w:rsidRPr="00CE012D">
        <w:rPr>
          <w:rFonts w:ascii="Book Antiqua" w:hAnsi="Book Antiqua"/>
          <w:sz w:val="22"/>
          <w:szCs w:val="22"/>
        </w:rPr>
        <w:t xml:space="preserve">"There are a number of decisions relating to ‘TOEIC cases’ that discuss matters such as the ‘shifting evidential burden’ and other issues (see most recently </w:t>
      </w:r>
      <w:r w:rsidRPr="002D3D8A">
        <w:rPr>
          <w:rFonts w:ascii="Book Antiqua" w:hAnsi="Book Antiqua"/>
          <w:sz w:val="22"/>
          <w:szCs w:val="22"/>
          <w:u w:val="single"/>
        </w:rPr>
        <w:t>Ahsan and others v SSHD</w:t>
      </w:r>
      <w:r w:rsidRPr="00CE012D">
        <w:rPr>
          <w:rFonts w:ascii="Book Antiqua" w:hAnsi="Book Antiqua"/>
          <w:sz w:val="22"/>
          <w:szCs w:val="22"/>
        </w:rPr>
        <w:t xml:space="preserve"> [2017] EWCA Civ 2009</w:t>
      </w:r>
      <w:r>
        <w:rPr>
          <w:rFonts w:ascii="Book Antiqua" w:hAnsi="Book Antiqua"/>
          <w:sz w:val="22"/>
          <w:szCs w:val="22"/>
        </w:rPr>
        <w:t>)</w:t>
      </w:r>
      <w:r w:rsidRPr="00CE012D">
        <w:rPr>
          <w:rFonts w:ascii="Book Antiqua" w:hAnsi="Book Antiqua"/>
          <w:sz w:val="22"/>
          <w:szCs w:val="22"/>
        </w:rPr>
        <w:t xml:space="preserve"> but ultimately the legal rule is that he asserts has the legal burden and must prove.  Looking at this case in the round, I find that the respondent has failed to prove to the appropriate civil standard that the appellant made ‘false representations’ in a previous application to the Home Office UKVI.  He therefore meets the ‘suitability</w:t>
      </w:r>
      <w:r>
        <w:rPr>
          <w:rFonts w:ascii="Book Antiqua" w:hAnsi="Book Antiqua"/>
          <w:sz w:val="22"/>
          <w:szCs w:val="22"/>
        </w:rPr>
        <w:t>’ requirement</w:t>
      </w:r>
      <w:r w:rsidRPr="00CE012D">
        <w:rPr>
          <w:rFonts w:ascii="Book Antiqua" w:hAnsi="Book Antiqua"/>
          <w:sz w:val="22"/>
          <w:szCs w:val="22"/>
        </w:rPr>
        <w:t xml:space="preserve"> </w:t>
      </w:r>
      <w:r>
        <w:rPr>
          <w:rFonts w:ascii="Book Antiqua" w:hAnsi="Book Antiqua"/>
          <w:sz w:val="22"/>
          <w:szCs w:val="22"/>
        </w:rPr>
        <w:t>in</w:t>
      </w:r>
      <w:r w:rsidRPr="00CE012D">
        <w:rPr>
          <w:rFonts w:ascii="Book Antiqua" w:hAnsi="Book Antiqua"/>
          <w:sz w:val="22"/>
          <w:szCs w:val="22"/>
        </w:rPr>
        <w:t xml:space="preserve"> para S-LTR.4.2 appendix FM and so meets the requirements of para R-LTRP.1.1 (a)-(c) of </w:t>
      </w:r>
      <w:r>
        <w:rPr>
          <w:rFonts w:ascii="Book Antiqua" w:hAnsi="Book Antiqua"/>
          <w:sz w:val="22"/>
          <w:szCs w:val="22"/>
        </w:rPr>
        <w:t>A</w:t>
      </w:r>
      <w:r w:rsidRPr="00CE012D">
        <w:rPr>
          <w:rFonts w:ascii="Book Antiqua" w:hAnsi="Book Antiqua"/>
          <w:sz w:val="22"/>
          <w:szCs w:val="22"/>
        </w:rPr>
        <w:t>ppendix FM.”</w:t>
      </w: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sz w:val="22"/>
          <w:szCs w:val="22"/>
        </w:rPr>
      </w:pP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sz w:val="22"/>
          <w:szCs w:val="22"/>
        </w:rPr>
        <w:t>8.</w:t>
      </w:r>
      <w:r>
        <w:rPr>
          <w:rFonts w:ascii="Book Antiqua" w:hAnsi="Book Antiqua"/>
          <w:sz w:val="22"/>
          <w:szCs w:val="22"/>
        </w:rPr>
        <w:tab/>
        <w:t>I</w:t>
      </w:r>
      <w:r w:rsidRPr="00041903">
        <w:rPr>
          <w:rFonts w:ascii="Book Antiqua" w:hAnsi="Book Antiqua"/>
        </w:rPr>
        <w:t>n the alternative</w:t>
      </w:r>
      <w:r>
        <w:rPr>
          <w:rFonts w:ascii="Book Antiqua" w:hAnsi="Book Antiqua"/>
        </w:rPr>
        <w:t>,</w:t>
      </w:r>
      <w:r w:rsidRPr="00041903">
        <w:rPr>
          <w:rFonts w:ascii="Book Antiqua" w:hAnsi="Book Antiqua"/>
        </w:rPr>
        <w:t xml:space="preserve"> the judge went on to consider the </w:t>
      </w:r>
      <w:r>
        <w:rPr>
          <w:rFonts w:ascii="Book Antiqua" w:hAnsi="Book Antiqua"/>
        </w:rPr>
        <w:t>discretionary element of para S-LTR</w:t>
      </w:r>
      <w:r w:rsidRPr="00041903">
        <w:rPr>
          <w:rFonts w:ascii="Book Antiqua" w:hAnsi="Book Antiqua"/>
        </w:rPr>
        <w:t>4.2 and said that</w:t>
      </w:r>
      <w:r>
        <w:rPr>
          <w:rFonts w:ascii="Book Antiqua" w:hAnsi="Book Antiqua"/>
        </w:rPr>
        <w:t>,</w:t>
      </w:r>
      <w:r w:rsidRPr="00041903">
        <w:rPr>
          <w:rFonts w:ascii="Book Antiqua" w:hAnsi="Book Antiqua"/>
        </w:rPr>
        <w:t xml:space="preserve"> even if he had found that the respondent had proved </w:t>
      </w:r>
      <w:r>
        <w:rPr>
          <w:rFonts w:ascii="Book Antiqua" w:hAnsi="Book Antiqua"/>
        </w:rPr>
        <w:t xml:space="preserve">that </w:t>
      </w:r>
      <w:r w:rsidRPr="00041903">
        <w:rPr>
          <w:rFonts w:ascii="Book Antiqua" w:hAnsi="Book Antiqua"/>
        </w:rPr>
        <w:t>the appellant had made false representations in early 2012</w:t>
      </w:r>
      <w:r>
        <w:rPr>
          <w:rFonts w:ascii="Book Antiqua" w:hAnsi="Book Antiqua"/>
        </w:rPr>
        <w:t>,</w:t>
      </w:r>
      <w:r w:rsidRPr="00041903">
        <w:rPr>
          <w:rFonts w:ascii="Book Antiqua" w:hAnsi="Book Antiqua"/>
        </w:rPr>
        <w:t xml:space="preserve"> he would nevertheless have found </w:t>
      </w:r>
      <w:r>
        <w:rPr>
          <w:rFonts w:ascii="Book Antiqua" w:hAnsi="Book Antiqua"/>
        </w:rPr>
        <w:t xml:space="preserve">that </w:t>
      </w:r>
      <w:r w:rsidRPr="00041903">
        <w:rPr>
          <w:rFonts w:ascii="Book Antiqua" w:hAnsi="Book Antiqua"/>
        </w:rPr>
        <w:t xml:space="preserve">this incident by itself would be insufficient to deny </w:t>
      </w:r>
      <w:r>
        <w:rPr>
          <w:rFonts w:ascii="Book Antiqua" w:hAnsi="Book Antiqua"/>
        </w:rPr>
        <w:t>him</w:t>
      </w:r>
      <w:r w:rsidRPr="00041903">
        <w:rPr>
          <w:rFonts w:ascii="Book Antiqua" w:hAnsi="Book Antiqua"/>
        </w:rPr>
        <w:t xml:space="preserve"> the right to remain in the UK with his settled wife and British child</w:t>
      </w:r>
      <w:r>
        <w:rPr>
          <w:rFonts w:ascii="Book Antiqua" w:hAnsi="Book Antiqua"/>
        </w:rPr>
        <w:t>.  He</w:t>
      </w:r>
      <w:r w:rsidRPr="00041903">
        <w:rPr>
          <w:rFonts w:ascii="Book Antiqua" w:hAnsi="Book Antiqua"/>
        </w:rPr>
        <w:t xml:space="preserve"> said that</w:t>
      </w:r>
      <w:r>
        <w:rPr>
          <w:rFonts w:ascii="Book Antiqua" w:hAnsi="Book Antiqua"/>
        </w:rPr>
        <w:t>,</w:t>
      </w:r>
      <w:r w:rsidRPr="00041903">
        <w:rPr>
          <w:rFonts w:ascii="Book Antiqua" w:hAnsi="Book Antiqua"/>
        </w:rPr>
        <w:t xml:space="preserve"> bearing in mind that the appellant had lived in the UK for over seven years, was married </w:t>
      </w:r>
      <w:r>
        <w:rPr>
          <w:rFonts w:ascii="Book Antiqua" w:hAnsi="Book Antiqua"/>
        </w:rPr>
        <w:t xml:space="preserve">to a </w:t>
      </w:r>
      <w:r w:rsidRPr="00041903">
        <w:rPr>
          <w:rFonts w:ascii="Book Antiqua" w:hAnsi="Book Antiqua"/>
        </w:rPr>
        <w:t>woman settled in the UK and had a UK born British citizen child</w:t>
      </w:r>
      <w:r>
        <w:rPr>
          <w:rFonts w:ascii="Book Antiqua" w:hAnsi="Book Antiqua"/>
        </w:rPr>
        <w:t>,</w:t>
      </w:r>
      <w:r w:rsidRPr="00041903">
        <w:rPr>
          <w:rFonts w:ascii="Book Antiqua" w:hAnsi="Book Antiqua"/>
        </w:rPr>
        <w:t xml:space="preserve"> he would have found that the removal had consequences of such gravity as to engage article 8 and that the public interest question would focus on the suitability requirement that he had failed to meet together with other relevant considerations set out at </w:t>
      </w:r>
      <w:r>
        <w:rPr>
          <w:rFonts w:ascii="Book Antiqua" w:hAnsi="Book Antiqua"/>
        </w:rPr>
        <w:t>s.117</w:t>
      </w:r>
      <w:r w:rsidRPr="00041903">
        <w:rPr>
          <w:rFonts w:ascii="Book Antiqua" w:hAnsi="Book Antiqua"/>
        </w:rPr>
        <w:t xml:space="preserve">B of the </w:t>
      </w:r>
      <w:r>
        <w:rPr>
          <w:rFonts w:ascii="Book Antiqua" w:hAnsi="Book Antiqua"/>
        </w:rPr>
        <w:t>Nationality, Immigration and Asylum A</w:t>
      </w:r>
      <w:r w:rsidRPr="00041903">
        <w:rPr>
          <w:rFonts w:ascii="Book Antiqua" w:hAnsi="Book Antiqua"/>
        </w:rPr>
        <w:t>ct 2002</w:t>
      </w:r>
      <w:r>
        <w:rPr>
          <w:rFonts w:ascii="Book Antiqua" w:hAnsi="Book Antiqua"/>
        </w:rPr>
        <w:t>.</w:t>
      </w: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9.</w:t>
      </w:r>
      <w:r>
        <w:rPr>
          <w:rFonts w:ascii="Book Antiqua" w:hAnsi="Book Antiqua"/>
        </w:rPr>
        <w:tab/>
      </w:r>
      <w:r w:rsidRPr="00041903">
        <w:rPr>
          <w:rFonts w:ascii="Book Antiqua" w:hAnsi="Book Antiqua"/>
        </w:rPr>
        <w:t>When considering proportionality</w:t>
      </w:r>
      <w:r>
        <w:rPr>
          <w:rFonts w:ascii="Book Antiqua" w:hAnsi="Book Antiqua"/>
        </w:rPr>
        <w:t>, the judge</w:t>
      </w:r>
      <w:r w:rsidRPr="00041903">
        <w:rPr>
          <w:rFonts w:ascii="Book Antiqua" w:hAnsi="Book Antiqua"/>
        </w:rPr>
        <w:t xml:space="preserve"> took into account the duty under s</w:t>
      </w:r>
      <w:r>
        <w:rPr>
          <w:rFonts w:ascii="Book Antiqua" w:hAnsi="Book Antiqua"/>
        </w:rPr>
        <w:t>.</w:t>
      </w:r>
      <w:r w:rsidRPr="00041903">
        <w:rPr>
          <w:rFonts w:ascii="Book Antiqua" w:hAnsi="Book Antiqua"/>
        </w:rPr>
        <w:t xml:space="preserve">55 of the Borders, </w:t>
      </w:r>
      <w:r>
        <w:rPr>
          <w:rFonts w:ascii="Book Antiqua" w:hAnsi="Book Antiqua"/>
        </w:rPr>
        <w:t>C</w:t>
      </w:r>
      <w:r w:rsidRPr="00041903">
        <w:rPr>
          <w:rFonts w:ascii="Book Antiqua" w:hAnsi="Book Antiqua"/>
        </w:rPr>
        <w:t xml:space="preserve">itizenship and </w:t>
      </w:r>
      <w:r>
        <w:rPr>
          <w:rFonts w:ascii="Book Antiqua" w:hAnsi="Book Antiqua"/>
        </w:rPr>
        <w:t>I</w:t>
      </w:r>
      <w:r w:rsidRPr="00041903">
        <w:rPr>
          <w:rFonts w:ascii="Book Antiqua" w:hAnsi="Book Antiqua"/>
        </w:rPr>
        <w:t xml:space="preserve">mmigration </w:t>
      </w:r>
      <w:r>
        <w:rPr>
          <w:rFonts w:ascii="Book Antiqua" w:hAnsi="Book Antiqua"/>
        </w:rPr>
        <w:t>Ac</w:t>
      </w:r>
      <w:r w:rsidRPr="00041903">
        <w:rPr>
          <w:rFonts w:ascii="Book Antiqua" w:hAnsi="Book Antiqua"/>
        </w:rPr>
        <w:t xml:space="preserve">t 2009 to safeguard and promote the welfare of a child and to take his best interests as an integral </w:t>
      </w:r>
      <w:r>
        <w:rPr>
          <w:rFonts w:ascii="Book Antiqua" w:hAnsi="Book Antiqua"/>
        </w:rPr>
        <w:t xml:space="preserve">and </w:t>
      </w:r>
      <w:r w:rsidRPr="00041903">
        <w:rPr>
          <w:rFonts w:ascii="Book Antiqua" w:hAnsi="Book Antiqua"/>
        </w:rPr>
        <w:t xml:space="preserve">a primary consideration </w:t>
      </w:r>
      <w:r>
        <w:rPr>
          <w:rFonts w:ascii="Book Antiqua" w:hAnsi="Book Antiqua"/>
        </w:rPr>
        <w:t>in</w:t>
      </w:r>
      <w:r w:rsidRPr="00041903">
        <w:rPr>
          <w:rFonts w:ascii="Book Antiqua" w:hAnsi="Book Antiqua"/>
        </w:rPr>
        <w:t xml:space="preserve"> the proportionality assessment.  He also referred to the respondent's policy guidance in the </w:t>
      </w:r>
      <w:r>
        <w:rPr>
          <w:rFonts w:ascii="Book Antiqua" w:hAnsi="Book Antiqua"/>
        </w:rPr>
        <w:t>I</w:t>
      </w:r>
      <w:r w:rsidRPr="00041903">
        <w:rPr>
          <w:rFonts w:ascii="Book Antiqua" w:hAnsi="Book Antiqua"/>
        </w:rPr>
        <w:t xml:space="preserve">mmigration </w:t>
      </w:r>
      <w:r>
        <w:rPr>
          <w:rFonts w:ascii="Book Antiqua" w:hAnsi="Book Antiqua"/>
        </w:rPr>
        <w:t>D</w:t>
      </w:r>
      <w:r w:rsidRPr="00041903">
        <w:rPr>
          <w:rFonts w:ascii="Book Antiqua" w:hAnsi="Book Antiqua"/>
        </w:rPr>
        <w:t xml:space="preserve">irectorate </w:t>
      </w:r>
      <w:r>
        <w:rPr>
          <w:rFonts w:ascii="Book Antiqua" w:hAnsi="Book Antiqua"/>
        </w:rPr>
        <w:t>I</w:t>
      </w:r>
      <w:r w:rsidRPr="00041903">
        <w:rPr>
          <w:rFonts w:ascii="Book Antiqua" w:hAnsi="Book Antiqua"/>
        </w:rPr>
        <w:t>nstruction-</w:t>
      </w:r>
      <w:r>
        <w:rPr>
          <w:rFonts w:ascii="Book Antiqua" w:hAnsi="Book Antiqua"/>
        </w:rPr>
        <w:t>F</w:t>
      </w:r>
      <w:r w:rsidRPr="00041903">
        <w:rPr>
          <w:rFonts w:ascii="Book Antiqua" w:hAnsi="Book Antiqua"/>
        </w:rPr>
        <w:t xml:space="preserve">amily </w:t>
      </w:r>
      <w:r>
        <w:rPr>
          <w:rFonts w:ascii="Book Antiqua" w:hAnsi="Book Antiqua"/>
        </w:rPr>
        <w:t>M</w:t>
      </w:r>
      <w:r w:rsidRPr="00041903">
        <w:rPr>
          <w:rFonts w:ascii="Book Antiqua" w:hAnsi="Book Antiqua"/>
        </w:rPr>
        <w:t xml:space="preserve">igration-(August 2015) at section 11.2.3.  </w:t>
      </w:r>
      <w:r>
        <w:rPr>
          <w:rFonts w:ascii="Book Antiqua" w:hAnsi="Book Antiqua"/>
        </w:rPr>
        <w:t>Taking t</w:t>
      </w:r>
      <w:r w:rsidRPr="00041903">
        <w:rPr>
          <w:rFonts w:ascii="Book Antiqua" w:hAnsi="Book Antiqua"/>
        </w:rPr>
        <w:t>hese factors into account</w:t>
      </w:r>
      <w:r>
        <w:rPr>
          <w:rFonts w:ascii="Book Antiqua" w:hAnsi="Book Antiqua"/>
        </w:rPr>
        <w:t>,</w:t>
      </w:r>
      <w:r w:rsidRPr="00041903">
        <w:rPr>
          <w:rFonts w:ascii="Book Antiqua" w:hAnsi="Book Antiqua"/>
        </w:rPr>
        <w:t xml:space="preserve"> even if the appellant had engaged in deception in early 2012 sufficient to justify the refusal of his 2016 application for leave to remain</w:t>
      </w:r>
      <w:r>
        <w:rPr>
          <w:rFonts w:ascii="Book Antiqua" w:hAnsi="Book Antiqua"/>
        </w:rPr>
        <w:t>,</w:t>
      </w:r>
      <w:r w:rsidRPr="00041903">
        <w:rPr>
          <w:rFonts w:ascii="Book Antiqua" w:hAnsi="Book Antiqua"/>
        </w:rPr>
        <w:t xml:space="preserve"> the consequence would be unduly harsh on his minor </w:t>
      </w:r>
      <w:r w:rsidRPr="00041903">
        <w:rPr>
          <w:rFonts w:ascii="Book Antiqua" w:hAnsi="Book Antiqua"/>
        </w:rPr>
        <w:lastRenderedPageBreak/>
        <w:t>British citizen child</w:t>
      </w:r>
      <w:r>
        <w:rPr>
          <w:rFonts w:ascii="Book Antiqua" w:hAnsi="Book Antiqua"/>
        </w:rPr>
        <w:t xml:space="preserve"> [22]</w:t>
      </w:r>
      <w:r w:rsidRPr="00041903">
        <w:rPr>
          <w:rFonts w:ascii="Book Antiqua" w:hAnsi="Book Antiqua"/>
        </w:rPr>
        <w:t xml:space="preserve">.  </w:t>
      </w:r>
      <w:r>
        <w:rPr>
          <w:rFonts w:ascii="Book Antiqua" w:hAnsi="Book Antiqua"/>
        </w:rPr>
        <w:t>He</w:t>
      </w:r>
      <w:r w:rsidRPr="00041903">
        <w:rPr>
          <w:rFonts w:ascii="Book Antiqua" w:hAnsi="Book Antiqua"/>
        </w:rPr>
        <w:t xml:space="preserve"> would therefore have allowed the appeal on the basis </w:t>
      </w:r>
      <w:r>
        <w:rPr>
          <w:rFonts w:ascii="Book Antiqua" w:hAnsi="Book Antiqua"/>
        </w:rPr>
        <w:t>that</w:t>
      </w:r>
      <w:r w:rsidRPr="00041903">
        <w:rPr>
          <w:rFonts w:ascii="Book Antiqua" w:hAnsi="Book Antiqua"/>
        </w:rPr>
        <w:t xml:space="preserve"> the d</w:t>
      </w:r>
      <w:r>
        <w:rPr>
          <w:rFonts w:ascii="Book Antiqua" w:hAnsi="Book Antiqua"/>
        </w:rPr>
        <w:t>ecis</w:t>
      </w:r>
      <w:r w:rsidRPr="00041903">
        <w:rPr>
          <w:rFonts w:ascii="Book Antiqua" w:hAnsi="Book Antiqua"/>
        </w:rPr>
        <w:t xml:space="preserve">ion to refuse </w:t>
      </w:r>
      <w:r>
        <w:rPr>
          <w:rFonts w:ascii="Book Antiqua" w:hAnsi="Book Antiqua"/>
        </w:rPr>
        <w:t>leave</w:t>
      </w:r>
      <w:r w:rsidRPr="00041903">
        <w:rPr>
          <w:rFonts w:ascii="Book Antiqua" w:hAnsi="Book Antiqua"/>
        </w:rPr>
        <w:t xml:space="preserve"> would have been disproportionate</w:t>
      </w:r>
      <w:r>
        <w:rPr>
          <w:rFonts w:ascii="Book Antiqua" w:hAnsi="Book Antiqua"/>
        </w:rPr>
        <w:t xml:space="preserve"> [26].</w:t>
      </w: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479E0" w:rsidRPr="00276EC5"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276EC5">
        <w:rPr>
          <w:rFonts w:ascii="Book Antiqua" w:hAnsi="Book Antiqua"/>
          <w:u w:val="single"/>
        </w:rPr>
        <w:t xml:space="preserve">The Grounds of Appeal and Submissions. </w:t>
      </w: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10.</w:t>
      </w:r>
      <w:r>
        <w:rPr>
          <w:rFonts w:ascii="Book Antiqua" w:hAnsi="Book Antiqua"/>
        </w:rPr>
        <w:tab/>
        <w:t>T</w:t>
      </w:r>
      <w:r w:rsidRPr="00041903">
        <w:rPr>
          <w:rFonts w:ascii="Book Antiqua" w:hAnsi="Book Antiqua"/>
        </w:rPr>
        <w:t xml:space="preserve">he grounds of appeal argue </w:t>
      </w:r>
      <w:r>
        <w:rPr>
          <w:rFonts w:ascii="Book Antiqua" w:hAnsi="Book Antiqua"/>
        </w:rPr>
        <w:t xml:space="preserve">in ground 1 </w:t>
      </w:r>
      <w:r w:rsidRPr="00041903">
        <w:rPr>
          <w:rFonts w:ascii="Book Antiqua" w:hAnsi="Book Antiqua"/>
        </w:rPr>
        <w:t>that whether the appellant had engaged in deception or not</w:t>
      </w:r>
      <w:r>
        <w:rPr>
          <w:rFonts w:ascii="Book Antiqua" w:hAnsi="Book Antiqua"/>
        </w:rPr>
        <w:t>,</w:t>
      </w:r>
      <w:r w:rsidRPr="00041903">
        <w:rPr>
          <w:rFonts w:ascii="Book Antiqua" w:hAnsi="Book Antiqua"/>
        </w:rPr>
        <w:t xml:space="preserve"> the judge would </w:t>
      </w:r>
      <w:r>
        <w:rPr>
          <w:rFonts w:ascii="Book Antiqua" w:hAnsi="Book Antiqua"/>
        </w:rPr>
        <w:t xml:space="preserve">still </w:t>
      </w:r>
      <w:r w:rsidRPr="00041903">
        <w:rPr>
          <w:rFonts w:ascii="Book Antiqua" w:hAnsi="Book Antiqua"/>
        </w:rPr>
        <w:t xml:space="preserve">have found that refusal was unduly harsh on the child but the ETS findings were material to the outcome of article 8 proportionality and the judge had erred by failing to take that factor into account and by using nationality as a trump card.  There was no explanation why it would not be reasonable for the appellant's young child to leave the UK.  The judge had failed properly to consider the deception issue, </w:t>
      </w:r>
      <w:r>
        <w:rPr>
          <w:rFonts w:ascii="Book Antiqua" w:hAnsi="Book Antiqua"/>
        </w:rPr>
        <w:t xml:space="preserve">his </w:t>
      </w:r>
      <w:r w:rsidRPr="00041903">
        <w:rPr>
          <w:rFonts w:ascii="Book Antiqua" w:hAnsi="Book Antiqua"/>
        </w:rPr>
        <w:t>precarious immigration status and the family ties to India.</w:t>
      </w: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11.</w:t>
      </w:r>
      <w:r>
        <w:rPr>
          <w:rFonts w:ascii="Book Antiqua" w:hAnsi="Book Antiqua"/>
        </w:rPr>
        <w:tab/>
        <w:t>Ground 2</w:t>
      </w:r>
      <w:r w:rsidRPr="00041903">
        <w:rPr>
          <w:rFonts w:ascii="Book Antiqua" w:hAnsi="Book Antiqua"/>
        </w:rPr>
        <w:t xml:space="preserve"> </w:t>
      </w:r>
      <w:r>
        <w:rPr>
          <w:rFonts w:ascii="Book Antiqua" w:hAnsi="Book Antiqua"/>
        </w:rPr>
        <w:t xml:space="preserve">argues </w:t>
      </w:r>
      <w:r w:rsidRPr="00041903">
        <w:rPr>
          <w:rFonts w:ascii="Book Antiqua" w:hAnsi="Book Antiqua"/>
        </w:rPr>
        <w:t>that the judge failed to provide adequate reasons why the legal burden of proving that the appellant had acted dishonestly had not been discharged.  The respondent had provided a number of documents including witness statements from Peter Millington and Rebecca Collins, the report by Prof</w:t>
      </w:r>
      <w:r>
        <w:rPr>
          <w:rFonts w:ascii="Book Antiqua" w:hAnsi="Book Antiqua"/>
        </w:rPr>
        <w:t>essor</w:t>
      </w:r>
      <w:r w:rsidRPr="00041903">
        <w:rPr>
          <w:rFonts w:ascii="Book Antiqua" w:hAnsi="Book Antiqua"/>
        </w:rPr>
        <w:t xml:space="preserve"> French and the source data.  In the light of that evidence the respondent had reasonably concluded that the appellant had used deception and the judge had provided inadequate reasons for finding that the appellant was credible.  </w:t>
      </w: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12.</w:t>
      </w:r>
      <w:r>
        <w:rPr>
          <w:rFonts w:ascii="Book Antiqua" w:hAnsi="Book Antiqua"/>
        </w:rPr>
        <w:tab/>
        <w:t>Ground 3</w:t>
      </w:r>
      <w:r w:rsidRPr="00041903">
        <w:rPr>
          <w:rFonts w:ascii="Book Antiqua" w:hAnsi="Book Antiqua"/>
        </w:rPr>
        <w:t xml:space="preserve"> argue</w:t>
      </w:r>
      <w:r>
        <w:rPr>
          <w:rFonts w:ascii="Book Antiqua" w:hAnsi="Book Antiqua"/>
        </w:rPr>
        <w:t>s</w:t>
      </w:r>
      <w:r w:rsidRPr="00041903">
        <w:rPr>
          <w:rFonts w:ascii="Book Antiqua" w:hAnsi="Book Antiqua"/>
        </w:rPr>
        <w:t xml:space="preserve"> that the judge applied an impermissibly high standard of proof in determining the deception issue.  His findings made it clear that he had applied a far more </w:t>
      </w:r>
      <w:r>
        <w:rPr>
          <w:rFonts w:ascii="Book Antiqua" w:hAnsi="Book Antiqua"/>
        </w:rPr>
        <w:t>onerous</w:t>
      </w:r>
      <w:r w:rsidRPr="00041903">
        <w:rPr>
          <w:rFonts w:ascii="Book Antiqua" w:hAnsi="Book Antiqua"/>
        </w:rPr>
        <w:t xml:space="preserve"> standard </w:t>
      </w:r>
      <w:r>
        <w:rPr>
          <w:rFonts w:ascii="Book Antiqua" w:hAnsi="Book Antiqua"/>
        </w:rPr>
        <w:t xml:space="preserve">than </w:t>
      </w:r>
      <w:r w:rsidRPr="00041903">
        <w:rPr>
          <w:rFonts w:ascii="Book Antiqua" w:hAnsi="Book Antiqua"/>
        </w:rPr>
        <w:t xml:space="preserve">the balance of probabilities.  </w:t>
      </w: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13.</w:t>
      </w:r>
      <w:r>
        <w:rPr>
          <w:rFonts w:ascii="Book Antiqua" w:hAnsi="Book Antiqua"/>
        </w:rPr>
        <w:tab/>
      </w:r>
      <w:r w:rsidRPr="00041903">
        <w:rPr>
          <w:rFonts w:ascii="Book Antiqua" w:hAnsi="Book Antiqua"/>
        </w:rPr>
        <w:t>Mr Clarke adopted his grounds.  He submitted that the gener</w:t>
      </w:r>
      <w:r>
        <w:rPr>
          <w:rFonts w:ascii="Book Antiqua" w:hAnsi="Book Antiqua"/>
        </w:rPr>
        <w:t>ic</w:t>
      </w:r>
      <w:r w:rsidRPr="00041903">
        <w:rPr>
          <w:rFonts w:ascii="Book Antiqua" w:hAnsi="Book Antiqua"/>
        </w:rPr>
        <w:t xml:space="preserve"> evidence provided was sufficient to discharge the evidential burden.  The judge</w:t>
      </w:r>
      <w:r>
        <w:rPr>
          <w:rFonts w:ascii="Book Antiqua" w:hAnsi="Book Antiqua"/>
        </w:rPr>
        <w:t>’</w:t>
      </w:r>
      <w:r w:rsidRPr="00041903">
        <w:rPr>
          <w:rFonts w:ascii="Book Antiqua" w:hAnsi="Book Antiqua"/>
        </w:rPr>
        <w:t>s approach effectively inferred that that dat</w:t>
      </w:r>
      <w:r>
        <w:rPr>
          <w:rFonts w:ascii="Book Antiqua" w:hAnsi="Book Antiqua"/>
        </w:rPr>
        <w:t>a</w:t>
      </w:r>
      <w:r w:rsidRPr="00041903">
        <w:rPr>
          <w:rFonts w:ascii="Book Antiqua" w:hAnsi="Book Antiqua"/>
        </w:rPr>
        <w:t xml:space="preserve"> was unreliable.  He had made no finding that the burden had shifted from the respondent on</w:t>
      </w:r>
      <w:r>
        <w:rPr>
          <w:rFonts w:ascii="Book Antiqua" w:hAnsi="Book Antiqua"/>
        </w:rPr>
        <w:t xml:space="preserve"> </w:t>
      </w:r>
      <w:r w:rsidRPr="00041903">
        <w:rPr>
          <w:rFonts w:ascii="Book Antiqua" w:hAnsi="Book Antiqua"/>
        </w:rPr>
        <w:t>to the appellant in the light of that evidence.  In summary</w:t>
      </w:r>
      <w:r>
        <w:rPr>
          <w:rFonts w:ascii="Book Antiqua" w:hAnsi="Book Antiqua"/>
        </w:rPr>
        <w:t>,</w:t>
      </w:r>
      <w:r w:rsidRPr="00041903">
        <w:rPr>
          <w:rFonts w:ascii="Book Antiqua" w:hAnsi="Book Antiqua"/>
        </w:rPr>
        <w:t xml:space="preserve"> he submitted that the issue </w:t>
      </w:r>
      <w:r>
        <w:rPr>
          <w:rFonts w:ascii="Book Antiqua" w:hAnsi="Book Antiqua"/>
        </w:rPr>
        <w:t>of de</w:t>
      </w:r>
      <w:r w:rsidRPr="00041903">
        <w:rPr>
          <w:rFonts w:ascii="Book Antiqua" w:hAnsi="Book Antiqua"/>
        </w:rPr>
        <w:t xml:space="preserve">ception had not been adequately considered by the </w:t>
      </w:r>
      <w:r>
        <w:rPr>
          <w:rFonts w:ascii="Book Antiqua" w:hAnsi="Book Antiqua"/>
        </w:rPr>
        <w:t>judge</w:t>
      </w:r>
      <w:r w:rsidRPr="00041903">
        <w:rPr>
          <w:rFonts w:ascii="Book Antiqua" w:hAnsi="Book Antiqua"/>
        </w:rPr>
        <w:t xml:space="preserve">.  </w:t>
      </w:r>
      <w:r>
        <w:rPr>
          <w:rFonts w:ascii="Book Antiqua" w:hAnsi="Book Antiqua"/>
        </w:rPr>
        <w:t>He ack</w:t>
      </w:r>
      <w:r w:rsidRPr="00041903">
        <w:rPr>
          <w:rFonts w:ascii="Book Antiqua" w:hAnsi="Book Antiqua"/>
        </w:rPr>
        <w:t>nowledge</w:t>
      </w:r>
      <w:r>
        <w:rPr>
          <w:rFonts w:ascii="Book Antiqua" w:hAnsi="Book Antiqua"/>
        </w:rPr>
        <w:t>d</w:t>
      </w:r>
      <w:r w:rsidRPr="00041903">
        <w:rPr>
          <w:rFonts w:ascii="Book Antiqua" w:hAnsi="Book Antiqua"/>
        </w:rPr>
        <w:t xml:space="preserve"> that the fact that the appellant had not been cross-examined </w:t>
      </w:r>
      <w:r>
        <w:rPr>
          <w:rFonts w:ascii="Book Antiqua" w:hAnsi="Book Antiqua"/>
        </w:rPr>
        <w:t xml:space="preserve">was a </w:t>
      </w:r>
      <w:r w:rsidRPr="00041903">
        <w:rPr>
          <w:rFonts w:ascii="Book Antiqua" w:hAnsi="Book Antiqua"/>
        </w:rPr>
        <w:t>relevant factor to be taken into account in assessing whether the judge's decision had been open to him</w:t>
      </w:r>
      <w:r>
        <w:rPr>
          <w:rFonts w:ascii="Book Antiqua" w:hAnsi="Book Antiqua"/>
        </w:rPr>
        <w:t xml:space="preserve"> but he argued</w:t>
      </w:r>
      <w:r w:rsidRPr="00041903">
        <w:rPr>
          <w:rFonts w:ascii="Book Antiqua" w:hAnsi="Book Antiqua"/>
        </w:rPr>
        <w:t xml:space="preserve"> </w:t>
      </w:r>
      <w:r>
        <w:rPr>
          <w:rFonts w:ascii="Book Antiqua" w:hAnsi="Book Antiqua"/>
        </w:rPr>
        <w:t>t</w:t>
      </w:r>
      <w:r w:rsidRPr="00041903">
        <w:rPr>
          <w:rFonts w:ascii="Book Antiqua" w:hAnsi="Book Antiqua"/>
        </w:rPr>
        <w:t>hat</w:t>
      </w:r>
      <w:r>
        <w:rPr>
          <w:rFonts w:ascii="Book Antiqua" w:hAnsi="Book Antiqua"/>
        </w:rPr>
        <w:t>,</w:t>
      </w:r>
      <w:r w:rsidRPr="00041903">
        <w:rPr>
          <w:rFonts w:ascii="Book Antiqua" w:hAnsi="Book Antiqua"/>
        </w:rPr>
        <w:t xml:space="preserve"> if deception was est</w:t>
      </w:r>
      <w:r>
        <w:rPr>
          <w:rFonts w:ascii="Book Antiqua" w:hAnsi="Book Antiqua"/>
        </w:rPr>
        <w:t>ablished</w:t>
      </w:r>
      <w:r w:rsidRPr="00041903">
        <w:rPr>
          <w:rFonts w:ascii="Book Antiqua" w:hAnsi="Book Antiqua"/>
        </w:rPr>
        <w:t xml:space="preserve">, </w:t>
      </w:r>
      <w:r>
        <w:rPr>
          <w:rFonts w:ascii="Book Antiqua" w:hAnsi="Book Antiqua"/>
        </w:rPr>
        <w:t>that</w:t>
      </w:r>
      <w:r w:rsidRPr="00041903">
        <w:rPr>
          <w:rFonts w:ascii="Book Antiqua" w:hAnsi="Book Antiqua"/>
        </w:rPr>
        <w:t xml:space="preserve"> had not </w:t>
      </w:r>
      <w:r>
        <w:rPr>
          <w:rFonts w:ascii="Book Antiqua" w:hAnsi="Book Antiqua"/>
        </w:rPr>
        <w:t xml:space="preserve">been properly taken into </w:t>
      </w:r>
      <w:r w:rsidRPr="00041903">
        <w:rPr>
          <w:rFonts w:ascii="Book Antiqua" w:hAnsi="Book Antiqua"/>
        </w:rPr>
        <w:t xml:space="preserve">account </w:t>
      </w:r>
      <w:r>
        <w:rPr>
          <w:rFonts w:ascii="Book Antiqua" w:hAnsi="Book Antiqua"/>
        </w:rPr>
        <w:t>in the</w:t>
      </w:r>
      <w:r w:rsidRPr="00041903">
        <w:rPr>
          <w:rFonts w:ascii="Book Antiqua" w:hAnsi="Book Antiqua"/>
        </w:rPr>
        <w:t xml:space="preserve"> </w:t>
      </w:r>
      <w:r>
        <w:rPr>
          <w:rFonts w:ascii="Book Antiqua" w:hAnsi="Book Antiqua"/>
        </w:rPr>
        <w:t>assessment of proportionality.</w:t>
      </w: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14.</w:t>
      </w:r>
      <w:r>
        <w:rPr>
          <w:rFonts w:ascii="Book Antiqua" w:hAnsi="Book Antiqua"/>
        </w:rPr>
        <w:tab/>
      </w:r>
      <w:r w:rsidRPr="00041903">
        <w:rPr>
          <w:rFonts w:ascii="Book Antiqua" w:hAnsi="Book Antiqua"/>
        </w:rPr>
        <w:t xml:space="preserve">Mr Butt </w:t>
      </w:r>
      <w:r>
        <w:rPr>
          <w:rFonts w:ascii="Book Antiqua" w:hAnsi="Book Antiqua"/>
        </w:rPr>
        <w:t>adopted his skeleton argument submitting, in</w:t>
      </w:r>
      <w:r w:rsidRPr="00041903">
        <w:rPr>
          <w:rFonts w:ascii="Book Antiqua" w:hAnsi="Book Antiqua"/>
        </w:rPr>
        <w:t xml:space="preserve"> substance</w:t>
      </w:r>
      <w:r>
        <w:rPr>
          <w:rFonts w:ascii="Book Antiqua" w:hAnsi="Book Antiqua"/>
        </w:rPr>
        <w:t>,</w:t>
      </w:r>
      <w:r w:rsidRPr="00041903">
        <w:rPr>
          <w:rFonts w:ascii="Book Antiqua" w:hAnsi="Book Antiqua"/>
        </w:rPr>
        <w:t xml:space="preserve"> that the judge had reached a decision properly open to him on the issue of deception and that the respondent was seeking to re</w:t>
      </w:r>
      <w:r>
        <w:rPr>
          <w:rFonts w:ascii="Book Antiqua" w:hAnsi="Book Antiqua"/>
        </w:rPr>
        <w:t>-open an issue of fact.</w:t>
      </w: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2F6FBA">
        <w:rPr>
          <w:rFonts w:ascii="Book Antiqua" w:hAnsi="Book Antiqua"/>
          <w:u w:val="single"/>
        </w:rPr>
        <w:t>Assessment of the Issues.</w:t>
      </w: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15.</w:t>
      </w:r>
      <w:r>
        <w:rPr>
          <w:rFonts w:ascii="Book Antiqua" w:hAnsi="Book Antiqua"/>
        </w:rPr>
        <w:tab/>
      </w:r>
      <w:r w:rsidRPr="00041903">
        <w:rPr>
          <w:rFonts w:ascii="Book Antiqua" w:hAnsi="Book Antiqua"/>
        </w:rPr>
        <w:t xml:space="preserve">The first issue in this appeal is whether the judge erred in law in his finding that the respondent had failed to prove deception.  </w:t>
      </w:r>
      <w:r>
        <w:rPr>
          <w:rFonts w:ascii="Book Antiqua" w:hAnsi="Book Antiqua"/>
        </w:rPr>
        <w:t>The</w:t>
      </w:r>
      <w:r w:rsidRPr="00041903">
        <w:rPr>
          <w:rFonts w:ascii="Book Antiqua" w:hAnsi="Book Antiqua"/>
        </w:rPr>
        <w:t xml:space="preserve"> assertion </w:t>
      </w:r>
      <w:r>
        <w:rPr>
          <w:rFonts w:ascii="Book Antiqua" w:hAnsi="Book Antiqua"/>
        </w:rPr>
        <w:t>is</w:t>
      </w:r>
      <w:r w:rsidRPr="00041903">
        <w:rPr>
          <w:rFonts w:ascii="Book Antiqua" w:hAnsi="Book Antiqua"/>
        </w:rPr>
        <w:t xml:space="preserve"> that the test taken on 21 February 2012 was by a proxy test</w:t>
      </w:r>
      <w:r>
        <w:rPr>
          <w:rFonts w:ascii="Book Antiqua" w:hAnsi="Book Antiqua"/>
        </w:rPr>
        <w:t>-</w:t>
      </w:r>
      <w:r w:rsidRPr="00041903">
        <w:rPr>
          <w:rFonts w:ascii="Book Antiqua" w:hAnsi="Book Antiqua"/>
        </w:rPr>
        <w:t xml:space="preserve">taker </w:t>
      </w:r>
      <w:r>
        <w:rPr>
          <w:rFonts w:ascii="Book Antiqua" w:hAnsi="Book Antiqua"/>
        </w:rPr>
        <w:t xml:space="preserve">and not by </w:t>
      </w:r>
      <w:r w:rsidRPr="00041903">
        <w:rPr>
          <w:rFonts w:ascii="Book Antiqua" w:hAnsi="Book Antiqua"/>
        </w:rPr>
        <w:t xml:space="preserve">the appellant.  The judge properly </w:t>
      </w:r>
      <w:r w:rsidRPr="00041903">
        <w:rPr>
          <w:rFonts w:ascii="Book Antiqua" w:hAnsi="Book Antiqua"/>
        </w:rPr>
        <w:lastRenderedPageBreak/>
        <w:t>direct</w:t>
      </w:r>
      <w:r>
        <w:rPr>
          <w:rFonts w:ascii="Book Antiqua" w:hAnsi="Book Antiqua"/>
        </w:rPr>
        <w:t>ed</w:t>
      </w:r>
      <w:r w:rsidRPr="00041903">
        <w:rPr>
          <w:rFonts w:ascii="Book Antiqua" w:hAnsi="Book Antiqua"/>
        </w:rPr>
        <w:t xml:space="preserve"> himself in [16] on the approach to the evidence</w:t>
      </w:r>
      <w:r>
        <w:rPr>
          <w:rFonts w:ascii="Book Antiqua" w:hAnsi="Book Antiqua"/>
        </w:rPr>
        <w:t>,</w:t>
      </w:r>
      <w:r w:rsidRPr="00041903">
        <w:rPr>
          <w:rFonts w:ascii="Book Antiqua" w:hAnsi="Book Antiqua"/>
        </w:rPr>
        <w:t xml:space="preserve"> referring to the decisions in </w:t>
      </w:r>
      <w:r w:rsidRPr="002F6FBA">
        <w:rPr>
          <w:rFonts w:ascii="Book Antiqua" w:hAnsi="Book Antiqua"/>
          <w:u w:val="single"/>
        </w:rPr>
        <w:t>SM and Quadir (ETS–Evidence-Burden)</w:t>
      </w:r>
      <w:r w:rsidRPr="00041903">
        <w:rPr>
          <w:rFonts w:ascii="Book Antiqua" w:hAnsi="Book Antiqua"/>
        </w:rPr>
        <w:t xml:space="preserve"> [2016] </w:t>
      </w:r>
      <w:r>
        <w:rPr>
          <w:rFonts w:ascii="Book Antiqua" w:hAnsi="Book Antiqua"/>
        </w:rPr>
        <w:t xml:space="preserve">UKUT 229 </w:t>
      </w:r>
      <w:r w:rsidRPr="00041903">
        <w:rPr>
          <w:rFonts w:ascii="Book Antiqua" w:hAnsi="Book Antiqua"/>
        </w:rPr>
        <w:t xml:space="preserve">and </w:t>
      </w:r>
      <w:r w:rsidRPr="002F6FBA">
        <w:rPr>
          <w:rFonts w:ascii="Book Antiqua" w:hAnsi="Book Antiqua"/>
          <w:u w:val="single"/>
        </w:rPr>
        <w:t>MA</w:t>
      </w:r>
      <w:r w:rsidRPr="00041903">
        <w:rPr>
          <w:rFonts w:ascii="Book Antiqua" w:hAnsi="Book Antiqua"/>
        </w:rPr>
        <w:t xml:space="preserve">.  </w:t>
      </w:r>
      <w:r>
        <w:rPr>
          <w:rFonts w:ascii="Book Antiqua" w:hAnsi="Book Antiqua"/>
        </w:rPr>
        <w:t>When c</w:t>
      </w:r>
      <w:r w:rsidRPr="00041903">
        <w:rPr>
          <w:rFonts w:ascii="Book Antiqua" w:hAnsi="Book Antiqua"/>
        </w:rPr>
        <w:t>onsidering the generic evidence</w:t>
      </w:r>
      <w:r>
        <w:rPr>
          <w:rFonts w:ascii="Book Antiqua" w:hAnsi="Book Antiqua"/>
        </w:rPr>
        <w:t>,</w:t>
      </w:r>
      <w:r w:rsidRPr="00041903">
        <w:rPr>
          <w:rFonts w:ascii="Book Antiqua" w:hAnsi="Book Antiqua"/>
        </w:rPr>
        <w:t xml:space="preserve"> the judge commented that he had not been supplied with a </w:t>
      </w:r>
      <w:r>
        <w:rPr>
          <w:rFonts w:ascii="Book Antiqua" w:hAnsi="Book Antiqua"/>
        </w:rPr>
        <w:t>P</w:t>
      </w:r>
      <w:r w:rsidRPr="00041903">
        <w:rPr>
          <w:rFonts w:ascii="Book Antiqua" w:hAnsi="Book Antiqua"/>
        </w:rPr>
        <w:t xml:space="preserve">roject </w:t>
      </w:r>
      <w:r>
        <w:rPr>
          <w:rFonts w:ascii="Book Antiqua" w:hAnsi="Book Antiqua"/>
        </w:rPr>
        <w:t>Fa</w:t>
      </w:r>
      <w:r w:rsidRPr="00041903">
        <w:rPr>
          <w:rFonts w:ascii="Book Antiqua" w:hAnsi="Book Antiqua"/>
        </w:rPr>
        <w:t xml:space="preserve">çade report or any information as to why the appellant's test was designated as invalid.  </w:t>
      </w:r>
      <w:r>
        <w:rPr>
          <w:rFonts w:ascii="Book Antiqua" w:hAnsi="Book Antiqua"/>
        </w:rPr>
        <w:t>He also took into account</w:t>
      </w:r>
      <w:r w:rsidRPr="00041903">
        <w:rPr>
          <w:rFonts w:ascii="Book Antiqua" w:hAnsi="Book Antiqua"/>
        </w:rPr>
        <w:t xml:space="preserve"> that there was little or no evidence from ETS as to why </w:t>
      </w:r>
      <w:r>
        <w:rPr>
          <w:rFonts w:ascii="Book Antiqua" w:hAnsi="Book Antiqua"/>
        </w:rPr>
        <w:t>his</w:t>
      </w:r>
      <w:r w:rsidRPr="00041903">
        <w:rPr>
          <w:rFonts w:ascii="Book Antiqua" w:hAnsi="Book Antiqua"/>
        </w:rPr>
        <w:t xml:space="preserve"> test had been held to be </w:t>
      </w:r>
      <w:r>
        <w:rPr>
          <w:rFonts w:ascii="Book Antiqua" w:hAnsi="Book Antiqua"/>
        </w:rPr>
        <w:t>invalid</w:t>
      </w:r>
      <w:r w:rsidRPr="00041903">
        <w:rPr>
          <w:rFonts w:ascii="Book Antiqua" w:hAnsi="Book Antiqua"/>
        </w:rPr>
        <w:t xml:space="preserve">.  </w:t>
      </w: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16.</w:t>
      </w:r>
      <w:r>
        <w:rPr>
          <w:rFonts w:ascii="Book Antiqua" w:hAnsi="Book Antiqua"/>
        </w:rPr>
        <w:tab/>
      </w:r>
      <w:r w:rsidRPr="00041903">
        <w:rPr>
          <w:rFonts w:ascii="Book Antiqua" w:hAnsi="Book Antiqua"/>
        </w:rPr>
        <w:t xml:space="preserve">The appellant had adamantly denied that he had ever engaged in deception and had given evidence to this effect.  </w:t>
      </w:r>
      <w:r>
        <w:rPr>
          <w:rFonts w:ascii="Book Antiqua" w:hAnsi="Book Antiqua"/>
        </w:rPr>
        <w:t>A</w:t>
      </w:r>
      <w:r w:rsidRPr="00041903">
        <w:rPr>
          <w:rFonts w:ascii="Book Antiqua" w:hAnsi="Book Antiqua"/>
        </w:rPr>
        <w:t xml:space="preserve">s the judge noted, he was not cross-examined </w:t>
      </w:r>
      <w:r>
        <w:rPr>
          <w:rFonts w:ascii="Book Antiqua" w:hAnsi="Book Antiqua"/>
        </w:rPr>
        <w:t xml:space="preserve">and </w:t>
      </w:r>
      <w:r w:rsidRPr="00041903">
        <w:rPr>
          <w:rFonts w:ascii="Book Antiqua" w:hAnsi="Book Antiqua"/>
        </w:rPr>
        <w:t>there was no direct challenge to his credibility.  When this factor is taken with the evidence before the judge about the appellant</w:t>
      </w:r>
      <w:r>
        <w:rPr>
          <w:rFonts w:ascii="Book Antiqua" w:hAnsi="Book Antiqua"/>
        </w:rPr>
        <w:t>’s</w:t>
      </w:r>
      <w:r w:rsidRPr="00041903">
        <w:rPr>
          <w:rFonts w:ascii="Book Antiqua" w:hAnsi="Book Antiqua"/>
        </w:rPr>
        <w:t xml:space="preserve"> English </w:t>
      </w:r>
      <w:r>
        <w:rPr>
          <w:rFonts w:ascii="Book Antiqua" w:hAnsi="Book Antiqua"/>
        </w:rPr>
        <w:t xml:space="preserve">language </w:t>
      </w:r>
      <w:r w:rsidRPr="00041903">
        <w:rPr>
          <w:rFonts w:ascii="Book Antiqua" w:hAnsi="Book Antiqua"/>
        </w:rPr>
        <w:t>ability</w:t>
      </w:r>
      <w:r>
        <w:rPr>
          <w:rFonts w:ascii="Book Antiqua" w:hAnsi="Book Antiqua"/>
        </w:rPr>
        <w:t>,</w:t>
      </w:r>
      <w:r w:rsidRPr="00041903">
        <w:rPr>
          <w:rFonts w:ascii="Book Antiqua" w:hAnsi="Book Antiqua"/>
        </w:rPr>
        <w:t xml:space="preserve"> including the fact that prior to arriving in the UK he had been awarded a </w:t>
      </w:r>
      <w:r>
        <w:rPr>
          <w:rFonts w:ascii="Book Antiqua" w:hAnsi="Book Antiqua"/>
        </w:rPr>
        <w:t>Bachelor’</w:t>
      </w:r>
      <w:r w:rsidRPr="00041903">
        <w:rPr>
          <w:rFonts w:ascii="Book Antiqua" w:hAnsi="Book Antiqua"/>
        </w:rPr>
        <w:t xml:space="preserve">s degree taught in English and had subsequently undertaken further studies in English, I am satisfied that it was open to the </w:t>
      </w:r>
      <w:r>
        <w:rPr>
          <w:rFonts w:ascii="Book Antiqua" w:hAnsi="Book Antiqua"/>
        </w:rPr>
        <w:t>judge t</w:t>
      </w:r>
      <w:r w:rsidRPr="00041903">
        <w:rPr>
          <w:rFonts w:ascii="Book Antiqua" w:hAnsi="Book Antiqua"/>
        </w:rPr>
        <w:t>o find that the respondent had failed to discharge the onus of showing that the appellant</w:t>
      </w:r>
      <w:r>
        <w:rPr>
          <w:rFonts w:ascii="Book Antiqua" w:hAnsi="Book Antiqua"/>
        </w:rPr>
        <w:t xml:space="preserve"> had been guilty of deception.</w:t>
      </w: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17.</w:t>
      </w:r>
      <w:r>
        <w:rPr>
          <w:rFonts w:ascii="Book Antiqua" w:hAnsi="Book Antiqua"/>
        </w:rPr>
        <w:tab/>
      </w:r>
      <w:r w:rsidRPr="00041903">
        <w:rPr>
          <w:rFonts w:ascii="Book Antiqua" w:hAnsi="Book Antiqua"/>
        </w:rPr>
        <w:t xml:space="preserve">It </w:t>
      </w:r>
      <w:r>
        <w:rPr>
          <w:rFonts w:ascii="Book Antiqua" w:hAnsi="Book Antiqua"/>
        </w:rPr>
        <w:t>i</w:t>
      </w:r>
      <w:r w:rsidRPr="00041903">
        <w:rPr>
          <w:rFonts w:ascii="Book Antiqua" w:hAnsi="Book Antiqua"/>
        </w:rPr>
        <w:t xml:space="preserve">s </w:t>
      </w:r>
      <w:r>
        <w:rPr>
          <w:rFonts w:ascii="Book Antiqua" w:hAnsi="Book Antiqua"/>
        </w:rPr>
        <w:t xml:space="preserve">further </w:t>
      </w:r>
      <w:r w:rsidRPr="00041903">
        <w:rPr>
          <w:rFonts w:ascii="Book Antiqua" w:hAnsi="Book Antiqua"/>
        </w:rPr>
        <w:t xml:space="preserve">argued that the </w:t>
      </w:r>
      <w:r>
        <w:rPr>
          <w:rFonts w:ascii="Book Antiqua" w:hAnsi="Book Antiqua"/>
        </w:rPr>
        <w:t>j</w:t>
      </w:r>
      <w:r w:rsidRPr="00041903">
        <w:rPr>
          <w:rFonts w:ascii="Book Antiqua" w:hAnsi="Book Antiqua"/>
        </w:rPr>
        <w:t xml:space="preserve">udge failed to consider whether the evidential burden had been discharged but I am not satisfied that this is the case.  The judge referred at [20] to decisions that discussed matters such as the </w:t>
      </w:r>
      <w:r>
        <w:rPr>
          <w:rFonts w:ascii="Book Antiqua" w:hAnsi="Book Antiqua"/>
        </w:rPr>
        <w:t>‘</w:t>
      </w:r>
      <w:r w:rsidRPr="00041903">
        <w:rPr>
          <w:rFonts w:ascii="Book Antiqua" w:hAnsi="Book Antiqua"/>
        </w:rPr>
        <w:t>shifting evidential burden</w:t>
      </w:r>
      <w:r>
        <w:rPr>
          <w:rFonts w:ascii="Book Antiqua" w:hAnsi="Book Antiqua"/>
        </w:rPr>
        <w:t>’</w:t>
      </w:r>
      <w:r w:rsidRPr="00041903">
        <w:rPr>
          <w:rFonts w:ascii="Book Antiqua" w:hAnsi="Book Antiqua"/>
        </w:rPr>
        <w:t xml:space="preserve"> but he was </w:t>
      </w:r>
      <w:r>
        <w:rPr>
          <w:rFonts w:ascii="Book Antiqua" w:hAnsi="Book Antiqua"/>
        </w:rPr>
        <w:t>right t</w:t>
      </w:r>
      <w:r w:rsidRPr="00041903">
        <w:rPr>
          <w:rFonts w:ascii="Book Antiqua" w:hAnsi="Book Antiqua"/>
        </w:rPr>
        <w:t xml:space="preserve">o comment that ultimately the legal rule was that he who asserted had the legal burden and must prove.  There was no </w:t>
      </w:r>
      <w:r>
        <w:rPr>
          <w:rFonts w:ascii="Book Antiqua" w:hAnsi="Book Antiqua"/>
        </w:rPr>
        <w:t>dispute</w:t>
      </w:r>
      <w:r w:rsidRPr="00041903">
        <w:rPr>
          <w:rFonts w:ascii="Book Antiqua" w:hAnsi="Book Antiqua"/>
        </w:rPr>
        <w:t xml:space="preserve"> that the generic evidence produced by the respondent was sufficient to discharge the evidential burden, putting an onus on the appellant to provide an explanation.  </w:t>
      </w:r>
      <w:r>
        <w:rPr>
          <w:rFonts w:ascii="Book Antiqua" w:hAnsi="Book Antiqua"/>
        </w:rPr>
        <w:t>But he</w:t>
      </w:r>
      <w:r w:rsidRPr="00041903">
        <w:rPr>
          <w:rFonts w:ascii="Book Antiqua" w:hAnsi="Book Antiqua"/>
        </w:rPr>
        <w:t xml:space="preserve"> did provide that explanation in his witness statement and oral evidence and it was for the judge to assess</w:t>
      </w:r>
      <w:r>
        <w:rPr>
          <w:rFonts w:ascii="Book Antiqua" w:hAnsi="Book Antiqua"/>
        </w:rPr>
        <w:t>,</w:t>
      </w:r>
      <w:r w:rsidRPr="00041903">
        <w:rPr>
          <w:rFonts w:ascii="Book Antiqua" w:hAnsi="Book Antiqua"/>
        </w:rPr>
        <w:t xml:space="preserve"> looking at the evidence as a whole including the background evidence relating to the appellant's competence in English</w:t>
      </w:r>
      <w:r>
        <w:rPr>
          <w:rFonts w:ascii="Book Antiqua" w:hAnsi="Book Antiqua"/>
        </w:rPr>
        <w:t>,</w:t>
      </w:r>
      <w:r w:rsidRPr="00041903">
        <w:rPr>
          <w:rFonts w:ascii="Book Antiqua" w:hAnsi="Book Antiqua"/>
        </w:rPr>
        <w:t xml:space="preserve"> whether he had used </w:t>
      </w:r>
      <w:r>
        <w:rPr>
          <w:rFonts w:ascii="Book Antiqua" w:hAnsi="Book Antiqua"/>
        </w:rPr>
        <w:t xml:space="preserve">a </w:t>
      </w:r>
      <w:r w:rsidRPr="00041903">
        <w:rPr>
          <w:rFonts w:ascii="Book Antiqua" w:hAnsi="Book Antiqua"/>
        </w:rPr>
        <w:t>p</w:t>
      </w:r>
      <w:r>
        <w:rPr>
          <w:rFonts w:ascii="Book Antiqua" w:hAnsi="Book Antiqua"/>
        </w:rPr>
        <w:t>r</w:t>
      </w:r>
      <w:r w:rsidRPr="00041903">
        <w:rPr>
          <w:rFonts w:ascii="Book Antiqua" w:hAnsi="Book Antiqua"/>
        </w:rPr>
        <w:t>oxy test</w:t>
      </w:r>
      <w:r>
        <w:rPr>
          <w:rFonts w:ascii="Book Antiqua" w:hAnsi="Book Antiqua"/>
        </w:rPr>
        <w:t>-</w:t>
      </w:r>
      <w:r w:rsidRPr="00041903">
        <w:rPr>
          <w:rFonts w:ascii="Book Antiqua" w:hAnsi="Book Antiqua"/>
        </w:rPr>
        <w:t>taker rather than take</w:t>
      </w:r>
      <w:r>
        <w:rPr>
          <w:rFonts w:ascii="Book Antiqua" w:hAnsi="Book Antiqua"/>
        </w:rPr>
        <w:t>n</w:t>
      </w:r>
      <w:r w:rsidRPr="00041903">
        <w:rPr>
          <w:rFonts w:ascii="Book Antiqua" w:hAnsi="Book Antiqua"/>
        </w:rPr>
        <w:t xml:space="preserve"> the test himself.  The judge found that </w:t>
      </w:r>
      <w:r>
        <w:rPr>
          <w:rFonts w:ascii="Book Antiqua" w:hAnsi="Book Antiqua"/>
        </w:rPr>
        <w:t xml:space="preserve">this </w:t>
      </w:r>
      <w:r w:rsidRPr="00041903">
        <w:rPr>
          <w:rFonts w:ascii="Book Antiqua" w:hAnsi="Book Antiqua"/>
        </w:rPr>
        <w:t xml:space="preserve">had not been shown.  </w:t>
      </w: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18.</w:t>
      </w:r>
      <w:r>
        <w:rPr>
          <w:rFonts w:ascii="Book Antiqua" w:hAnsi="Book Antiqua"/>
        </w:rPr>
        <w:tab/>
      </w:r>
      <w:r w:rsidRPr="00041903">
        <w:rPr>
          <w:rFonts w:ascii="Book Antiqua" w:hAnsi="Book Antiqua"/>
        </w:rPr>
        <w:t>I am not satisfied that the judge erred in law in his approach to th</w:t>
      </w:r>
      <w:r>
        <w:rPr>
          <w:rFonts w:ascii="Book Antiqua" w:hAnsi="Book Antiqua"/>
        </w:rPr>
        <w:t>e</w:t>
      </w:r>
      <w:r w:rsidRPr="00041903">
        <w:rPr>
          <w:rFonts w:ascii="Book Antiqua" w:hAnsi="Book Antiqua"/>
        </w:rPr>
        <w:t xml:space="preserve"> assessment of </w:t>
      </w:r>
      <w:r>
        <w:rPr>
          <w:rFonts w:ascii="Book Antiqua" w:hAnsi="Book Antiqua"/>
        </w:rPr>
        <w:t xml:space="preserve">this </w:t>
      </w:r>
      <w:r w:rsidRPr="00041903">
        <w:rPr>
          <w:rFonts w:ascii="Book Antiqua" w:hAnsi="Book Antiqua"/>
        </w:rPr>
        <w:t xml:space="preserve">issue of fact.  There was no need for a long disquisition </w:t>
      </w:r>
      <w:r>
        <w:rPr>
          <w:rFonts w:ascii="Book Antiqua" w:hAnsi="Book Antiqua"/>
        </w:rPr>
        <w:t>on</w:t>
      </w:r>
      <w:r w:rsidRPr="00041903">
        <w:rPr>
          <w:rFonts w:ascii="Book Antiqua" w:hAnsi="Book Antiqua"/>
        </w:rPr>
        <w:t xml:space="preserve"> the various cases about shifting the evidential burden.  </w:t>
      </w:r>
      <w:r>
        <w:rPr>
          <w:rFonts w:ascii="Book Antiqua" w:hAnsi="Book Antiqua"/>
        </w:rPr>
        <w:t>The j</w:t>
      </w:r>
      <w:r w:rsidRPr="00041903">
        <w:rPr>
          <w:rFonts w:ascii="Book Antiqua" w:hAnsi="Book Antiqua"/>
        </w:rPr>
        <w:t>udge properly direct</w:t>
      </w:r>
      <w:r>
        <w:rPr>
          <w:rFonts w:ascii="Book Antiqua" w:hAnsi="Book Antiqua"/>
        </w:rPr>
        <w:t xml:space="preserve">ed </w:t>
      </w:r>
      <w:r w:rsidRPr="00041903">
        <w:rPr>
          <w:rFonts w:ascii="Book Antiqua" w:hAnsi="Book Antiqua"/>
        </w:rPr>
        <w:t xml:space="preserve">himself that the respondent had to meet the civil standard and </w:t>
      </w:r>
      <w:r>
        <w:rPr>
          <w:rFonts w:ascii="Book Antiqua" w:hAnsi="Book Antiqua"/>
        </w:rPr>
        <w:t>he</w:t>
      </w:r>
      <w:r w:rsidRPr="00041903">
        <w:rPr>
          <w:rFonts w:ascii="Book Antiqua" w:hAnsi="Book Antiqua"/>
        </w:rPr>
        <w:t xml:space="preserve"> found that he had not done so.  I am</w:t>
      </w:r>
      <w:r>
        <w:rPr>
          <w:rFonts w:ascii="Book Antiqua" w:hAnsi="Book Antiqua"/>
        </w:rPr>
        <w:t>,</w:t>
      </w:r>
      <w:r w:rsidRPr="00041903">
        <w:rPr>
          <w:rFonts w:ascii="Book Antiqua" w:hAnsi="Book Antiqua"/>
        </w:rPr>
        <w:t xml:space="preserve"> therefore</w:t>
      </w:r>
      <w:r>
        <w:rPr>
          <w:rFonts w:ascii="Book Antiqua" w:hAnsi="Book Antiqua"/>
        </w:rPr>
        <w:t>,</w:t>
      </w:r>
      <w:r w:rsidRPr="00041903">
        <w:rPr>
          <w:rFonts w:ascii="Book Antiqua" w:hAnsi="Book Antiqua"/>
        </w:rPr>
        <w:t xml:space="preserve"> satisfied that his finding was open to him </w:t>
      </w:r>
      <w:r>
        <w:rPr>
          <w:rFonts w:ascii="Book Antiqua" w:hAnsi="Book Antiqua"/>
        </w:rPr>
        <w:t xml:space="preserve">for </w:t>
      </w:r>
      <w:r w:rsidRPr="00041903">
        <w:rPr>
          <w:rFonts w:ascii="Book Antiqua" w:hAnsi="Book Antiqua"/>
        </w:rPr>
        <w:t>the reasons he gave</w:t>
      </w:r>
      <w:r>
        <w:rPr>
          <w:rFonts w:ascii="Book Antiqua" w:hAnsi="Book Antiqua"/>
        </w:rPr>
        <w:t xml:space="preserve"> and there is no substance in the argument that the judge applied an impermissibly high standard of proof.</w:t>
      </w: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19.</w:t>
      </w:r>
      <w:r>
        <w:rPr>
          <w:rFonts w:ascii="Book Antiqua" w:hAnsi="Book Antiqua"/>
        </w:rPr>
        <w:tab/>
      </w:r>
      <w:r w:rsidRPr="00041903">
        <w:rPr>
          <w:rFonts w:ascii="Book Antiqua" w:hAnsi="Book Antiqua"/>
        </w:rPr>
        <w:t>In the circumstances</w:t>
      </w:r>
      <w:r>
        <w:rPr>
          <w:rFonts w:ascii="Book Antiqua" w:hAnsi="Book Antiqua"/>
        </w:rPr>
        <w:t>,</w:t>
      </w:r>
      <w:r w:rsidRPr="00041903">
        <w:rPr>
          <w:rFonts w:ascii="Book Antiqua" w:hAnsi="Book Antiqua"/>
        </w:rPr>
        <w:t xml:space="preserve"> I need not deal at any </w:t>
      </w:r>
      <w:r>
        <w:rPr>
          <w:rFonts w:ascii="Book Antiqua" w:hAnsi="Book Antiqua"/>
        </w:rPr>
        <w:t xml:space="preserve">great </w:t>
      </w:r>
      <w:r w:rsidRPr="00041903">
        <w:rPr>
          <w:rFonts w:ascii="Book Antiqua" w:hAnsi="Book Antiqua"/>
        </w:rPr>
        <w:t xml:space="preserve">length with the </w:t>
      </w:r>
      <w:r>
        <w:rPr>
          <w:rFonts w:ascii="Book Antiqua" w:hAnsi="Book Antiqua"/>
        </w:rPr>
        <w:t>alternative</w:t>
      </w:r>
      <w:r w:rsidRPr="00041903">
        <w:rPr>
          <w:rFonts w:ascii="Book Antiqua" w:hAnsi="Book Antiqua"/>
        </w:rPr>
        <w:t xml:space="preserve"> </w:t>
      </w:r>
      <w:r>
        <w:rPr>
          <w:rFonts w:ascii="Book Antiqua" w:hAnsi="Book Antiqua"/>
        </w:rPr>
        <w:t xml:space="preserve">finding </w:t>
      </w:r>
      <w:r w:rsidRPr="00041903">
        <w:rPr>
          <w:rFonts w:ascii="Book Antiqua" w:hAnsi="Book Antiqua"/>
        </w:rPr>
        <w:t>where the judge said that he would have found</w:t>
      </w:r>
      <w:r>
        <w:rPr>
          <w:rFonts w:ascii="Book Antiqua" w:hAnsi="Book Antiqua"/>
        </w:rPr>
        <w:t>,</w:t>
      </w:r>
      <w:r w:rsidRPr="00041903">
        <w:rPr>
          <w:rFonts w:ascii="Book Antiqua" w:hAnsi="Book Antiqua"/>
        </w:rPr>
        <w:t xml:space="preserve"> in any event</w:t>
      </w:r>
      <w:r>
        <w:rPr>
          <w:rFonts w:ascii="Book Antiqua" w:hAnsi="Book Antiqua"/>
        </w:rPr>
        <w:t>,</w:t>
      </w:r>
      <w:r w:rsidRPr="00041903">
        <w:rPr>
          <w:rFonts w:ascii="Book Antiqua" w:hAnsi="Book Antiqua"/>
        </w:rPr>
        <w:t xml:space="preserve"> in the particular circumstances of this appeal that </w:t>
      </w:r>
      <w:r>
        <w:rPr>
          <w:rFonts w:ascii="Book Antiqua" w:hAnsi="Book Antiqua"/>
        </w:rPr>
        <w:t>the refusal of further leave</w:t>
      </w:r>
      <w:r w:rsidRPr="00041903">
        <w:rPr>
          <w:rFonts w:ascii="Book Antiqua" w:hAnsi="Book Antiqua"/>
        </w:rPr>
        <w:t xml:space="preserve"> would be disproportionate to a legitimate aim</w:t>
      </w:r>
      <w:r>
        <w:rPr>
          <w:rFonts w:ascii="Book Antiqua" w:hAnsi="Book Antiqua"/>
        </w:rPr>
        <w:t xml:space="preserve">.  </w:t>
      </w:r>
      <w:r w:rsidRPr="00041903">
        <w:rPr>
          <w:rFonts w:ascii="Book Antiqua" w:hAnsi="Book Antiqua"/>
        </w:rPr>
        <w:t>He explained why</w:t>
      </w:r>
      <w:r>
        <w:rPr>
          <w:rFonts w:ascii="Book Antiqua" w:hAnsi="Book Antiqua"/>
        </w:rPr>
        <w:t>,</w:t>
      </w:r>
      <w:r w:rsidRPr="00041903">
        <w:rPr>
          <w:rFonts w:ascii="Book Antiqua" w:hAnsi="Book Antiqua"/>
        </w:rPr>
        <w:t xml:space="preserve"> even if there was deception</w:t>
      </w:r>
      <w:r>
        <w:rPr>
          <w:rFonts w:ascii="Book Antiqua" w:hAnsi="Book Antiqua"/>
        </w:rPr>
        <w:t>, he was</w:t>
      </w:r>
      <w:r w:rsidRPr="00041903">
        <w:rPr>
          <w:rFonts w:ascii="Book Antiqua" w:hAnsi="Book Antiqua"/>
        </w:rPr>
        <w:t xml:space="preserve"> satisfied in the light of the length of the appellant's residence in the UK and the impact that his removal would have on both his wife and young child that his removal </w:t>
      </w:r>
      <w:r>
        <w:rPr>
          <w:rFonts w:ascii="Book Antiqua" w:hAnsi="Book Antiqua"/>
        </w:rPr>
        <w:t xml:space="preserve">following the refusal of leave </w:t>
      </w:r>
      <w:r w:rsidRPr="00041903">
        <w:rPr>
          <w:rFonts w:ascii="Book Antiqua" w:hAnsi="Book Antiqua"/>
        </w:rPr>
        <w:t>would be unduly harsh for his child</w:t>
      </w:r>
      <w:r>
        <w:rPr>
          <w:rFonts w:ascii="Book Antiqua" w:hAnsi="Book Antiqua"/>
        </w:rPr>
        <w:t xml:space="preserve"> and, accordingly, disproportionate.  Suffice</w:t>
      </w:r>
      <w:r w:rsidRPr="00041903">
        <w:rPr>
          <w:rFonts w:ascii="Book Antiqua" w:hAnsi="Book Antiqua"/>
        </w:rPr>
        <w:t xml:space="preserve"> to say that whilst another judge might have made a different decision, I am satisfied that this </w:t>
      </w:r>
      <w:r>
        <w:rPr>
          <w:rFonts w:ascii="Book Antiqua" w:hAnsi="Book Antiqua"/>
        </w:rPr>
        <w:t>judge</w:t>
      </w:r>
      <w:r w:rsidRPr="00041903">
        <w:rPr>
          <w:rFonts w:ascii="Book Antiqua" w:hAnsi="Book Antiqua"/>
        </w:rPr>
        <w:t xml:space="preserve"> reached a decision </w:t>
      </w:r>
      <w:r>
        <w:rPr>
          <w:rFonts w:ascii="Book Antiqua" w:hAnsi="Book Antiqua"/>
        </w:rPr>
        <w:t xml:space="preserve">properly </w:t>
      </w:r>
      <w:r w:rsidRPr="00041903">
        <w:rPr>
          <w:rFonts w:ascii="Book Antiqua" w:hAnsi="Book Antiqua"/>
        </w:rPr>
        <w:t>open to him</w:t>
      </w:r>
      <w:r>
        <w:rPr>
          <w:rFonts w:ascii="Book Antiqua" w:hAnsi="Book Antiqua"/>
        </w:rPr>
        <w:t>, which cannot be categorised as irrational or perverse</w:t>
      </w:r>
      <w:r w:rsidRPr="00041903">
        <w:rPr>
          <w:rFonts w:ascii="Book Antiqua" w:hAnsi="Book Antiqua"/>
        </w:rPr>
        <w:t xml:space="preserve">.  </w:t>
      </w: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73542B">
        <w:rPr>
          <w:rFonts w:ascii="Book Antiqua" w:hAnsi="Book Antiqua"/>
          <w:u w:val="single"/>
        </w:rPr>
        <w:t>Decision</w:t>
      </w:r>
      <w:r>
        <w:rPr>
          <w:rFonts w:ascii="Book Antiqua" w:hAnsi="Book Antiqua"/>
          <w:u w:val="single"/>
        </w:rPr>
        <w:t>.</w:t>
      </w:r>
    </w:p>
    <w:p w:rsidR="00F479E0"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479E0" w:rsidRPr="00041903" w:rsidRDefault="00F479E0" w:rsidP="00CE7FAE">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20.</w:t>
      </w:r>
      <w:r>
        <w:rPr>
          <w:rFonts w:ascii="Book Antiqua" w:hAnsi="Book Antiqua"/>
        </w:rPr>
        <w:tab/>
      </w:r>
      <w:r w:rsidRPr="00041903">
        <w:rPr>
          <w:rFonts w:ascii="Book Antiqua" w:hAnsi="Book Antiqua"/>
        </w:rPr>
        <w:t>The grounds do not satisfy me that the judge erred in law.  It follows that the First-tier Tribunal decision stands.</w:t>
      </w:r>
    </w:p>
    <w:p w:rsidR="00F479E0" w:rsidRPr="00041903" w:rsidRDefault="00F479E0" w:rsidP="00CE7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479E0" w:rsidRDefault="00F479E0" w:rsidP="00DB6CFE">
      <w:pPr>
        <w:ind w:left="540" w:hanging="540"/>
        <w:jc w:val="both"/>
        <w:rPr>
          <w:rFonts w:ascii="Book Antiqua" w:hAnsi="Book Antiqua"/>
        </w:rPr>
      </w:pPr>
    </w:p>
    <w:p w:rsidR="00F479E0" w:rsidRDefault="00F479E0" w:rsidP="00CE7FAE">
      <w:pPr>
        <w:jc w:val="both"/>
        <w:rPr>
          <w:rFonts w:ascii="Book Antiqua" w:hAnsi="Book Antiqua"/>
        </w:rPr>
      </w:pPr>
    </w:p>
    <w:p w:rsidR="00F479E0" w:rsidRDefault="00F479E0" w:rsidP="00716101">
      <w:pPr>
        <w:jc w:val="both"/>
        <w:rPr>
          <w:rFonts w:ascii="Book Antiqua" w:hAnsi="Book Antiqua"/>
        </w:rPr>
      </w:pPr>
    </w:p>
    <w:p w:rsidR="00F479E0" w:rsidRDefault="00F479E0" w:rsidP="00DB6CFE">
      <w:pPr>
        <w:ind w:left="540" w:hanging="540"/>
        <w:jc w:val="both"/>
        <w:rPr>
          <w:rFonts w:ascii="Book Antiqua" w:hAnsi="Book Antiqua"/>
        </w:rPr>
      </w:pPr>
    </w:p>
    <w:p w:rsidR="00F479E0" w:rsidRDefault="00F479E0" w:rsidP="00DB6CFE">
      <w:pPr>
        <w:ind w:left="540" w:hanging="540"/>
        <w:jc w:val="both"/>
        <w:rPr>
          <w:rFonts w:ascii="Book Antiqua" w:hAnsi="Book Antiqua"/>
        </w:rPr>
      </w:pPr>
      <w:r>
        <w:rPr>
          <w:rFonts w:ascii="Book Antiqua" w:hAnsi="Book Antiqua"/>
        </w:rPr>
        <w:t xml:space="preserve">Signed:            </w:t>
      </w:r>
      <w:r w:rsidRPr="008C707C">
        <w:rPr>
          <w:rFonts w:ascii="Bradley Hand" w:hAnsi="Bradley Hand"/>
          <w:sz w:val="28"/>
          <w:szCs w:val="28"/>
        </w:rPr>
        <w:t xml:space="preserve"> H J E Latter </w:t>
      </w:r>
      <w:r>
        <w:rPr>
          <w:rFonts w:ascii="Book Antiqua" w:hAnsi="Book Antiqua"/>
        </w:rPr>
        <w:t xml:space="preserve">                                                        Dated: 21 June 2018</w:t>
      </w:r>
    </w:p>
    <w:p w:rsidR="00F479E0" w:rsidRDefault="00F479E0" w:rsidP="00DB6CFE">
      <w:pPr>
        <w:ind w:left="540" w:hanging="540"/>
        <w:jc w:val="both"/>
        <w:rPr>
          <w:rFonts w:ascii="Book Antiqua" w:hAnsi="Book Antiqua"/>
        </w:rPr>
      </w:pPr>
    </w:p>
    <w:p w:rsidR="00F479E0" w:rsidRDefault="00F479E0" w:rsidP="00DB6CFE">
      <w:pPr>
        <w:ind w:left="540" w:hanging="540"/>
        <w:jc w:val="both"/>
        <w:rPr>
          <w:rFonts w:ascii="Book Antiqua" w:hAnsi="Book Antiqua"/>
        </w:rPr>
      </w:pPr>
    </w:p>
    <w:p w:rsidR="00F479E0" w:rsidRPr="007A56C4" w:rsidRDefault="00F479E0" w:rsidP="0036725E">
      <w:pPr>
        <w:ind w:left="540" w:hanging="540"/>
        <w:jc w:val="both"/>
        <w:outlineLvl w:val="0"/>
        <w:rPr>
          <w:rFonts w:ascii="Book Antiqua" w:hAnsi="Book Antiqua"/>
        </w:rPr>
      </w:pPr>
      <w:r>
        <w:rPr>
          <w:rFonts w:ascii="Book Antiqua" w:hAnsi="Book Antiqua"/>
        </w:rPr>
        <w:t>Deputy Upper Tribunal Judge Latter</w:t>
      </w:r>
    </w:p>
    <w:sectPr w:rsidR="00F479E0" w:rsidRPr="007A56C4" w:rsidSect="001502A2">
      <w:headerReference w:type="default" r:id="rId8"/>
      <w:footerReference w:type="even" r:id="rId9"/>
      <w:footerReference w:type="default" r:id="rId10"/>
      <w:footerReference w:type="first" r:id="rId11"/>
      <w:pgSz w:w="11900" w:h="16840"/>
      <w:pgMar w:top="1440" w:right="1138" w:bottom="1440"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9E0" w:rsidRDefault="00F479E0" w:rsidP="007C7FB8">
      <w:r>
        <w:separator/>
      </w:r>
    </w:p>
  </w:endnote>
  <w:endnote w:type="continuationSeparator" w:id="0">
    <w:p w:rsidR="00F479E0" w:rsidRDefault="00F479E0" w:rsidP="007C7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w:altName w:val="Courier New"/>
    <w:panose1 w:val="00000000000000000000"/>
    <w:charset w:val="4D"/>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9E0" w:rsidRDefault="00F479E0" w:rsidP="00A82E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479E0" w:rsidRDefault="00F479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9E0" w:rsidRDefault="00F479E0" w:rsidP="00A82E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94A72">
      <w:rPr>
        <w:rStyle w:val="PageNumber"/>
        <w:noProof/>
      </w:rPr>
      <w:t>6</w:t>
    </w:r>
    <w:r>
      <w:rPr>
        <w:rStyle w:val="PageNumber"/>
      </w:rPr>
      <w:fldChar w:fldCharType="end"/>
    </w:r>
  </w:p>
  <w:p w:rsidR="00F479E0" w:rsidRDefault="00F479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9E0" w:rsidRPr="00397FAB" w:rsidRDefault="00F479E0" w:rsidP="00397FAB">
    <w:pPr>
      <w:pStyle w:val="Footer"/>
      <w:jc w:val="center"/>
      <w:rPr>
        <w:rFonts w:ascii="Book Antiqua" w:hAnsi="Book Antiqua"/>
        <w:b/>
      </w:rPr>
    </w:pPr>
    <w:r w:rsidRPr="00397FAB">
      <w:rPr>
        <w:rFonts w:ascii="Book Antiqua" w:hAnsi="Book Antiqua"/>
        <w:b/>
      </w:rPr>
      <w:t>© CROWN COPYRIGHT 201</w:t>
    </w:r>
    <w:r>
      <w:rPr>
        <w:rFonts w:ascii="Book Antiqua" w:hAnsi="Book Antiqua"/>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9E0" w:rsidRDefault="00F479E0" w:rsidP="007C7FB8">
      <w:r>
        <w:separator/>
      </w:r>
    </w:p>
  </w:footnote>
  <w:footnote w:type="continuationSeparator" w:id="0">
    <w:p w:rsidR="00F479E0" w:rsidRDefault="00F479E0" w:rsidP="007C7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9E0" w:rsidRPr="008B5F59" w:rsidRDefault="00BE48CA" w:rsidP="008B5F59">
    <w:pPr>
      <w:pStyle w:val="Header"/>
      <w:jc w:val="right"/>
      <w:rPr>
        <w:rFonts w:ascii="Book Antiqua" w:hAnsi="Book Antiqua"/>
        <w:sz w:val="16"/>
        <w:szCs w:val="16"/>
      </w:rPr>
    </w:pPr>
    <w:r>
      <w:rPr>
        <w:rFonts w:ascii="Book Antiqua" w:hAnsi="Book Antiqua"/>
        <w:sz w:val="16"/>
        <w:szCs w:val="16"/>
      </w:rPr>
      <w:t>Appeal number</w:t>
    </w:r>
    <w:r w:rsidR="00F479E0">
      <w:rPr>
        <w:rFonts w:ascii="Book Antiqua" w:hAnsi="Book Antiqua"/>
        <w:sz w:val="16"/>
        <w:szCs w:val="16"/>
      </w:rPr>
      <w:t>: HU/19608/2016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18"/>
    <w:rsid w:val="00025159"/>
    <w:rsid w:val="00041903"/>
    <w:rsid w:val="00072203"/>
    <w:rsid w:val="000947D9"/>
    <w:rsid w:val="000C1CCE"/>
    <w:rsid w:val="000D1090"/>
    <w:rsid w:val="000D12E8"/>
    <w:rsid w:val="000E2A40"/>
    <w:rsid w:val="00114835"/>
    <w:rsid w:val="00135853"/>
    <w:rsid w:val="00144FD4"/>
    <w:rsid w:val="001502A2"/>
    <w:rsid w:val="0015310B"/>
    <w:rsid w:val="001B13ED"/>
    <w:rsid w:val="001B593A"/>
    <w:rsid w:val="001F7642"/>
    <w:rsid w:val="00203FEA"/>
    <w:rsid w:val="002067FC"/>
    <w:rsid w:val="00206C2B"/>
    <w:rsid w:val="0021085F"/>
    <w:rsid w:val="00224546"/>
    <w:rsid w:val="002620CF"/>
    <w:rsid w:val="00271319"/>
    <w:rsid w:val="00276EC5"/>
    <w:rsid w:val="002B1BA8"/>
    <w:rsid w:val="002D3D8A"/>
    <w:rsid w:val="002F4808"/>
    <w:rsid w:val="002F6FBA"/>
    <w:rsid w:val="00320620"/>
    <w:rsid w:val="00321DA0"/>
    <w:rsid w:val="00323A7B"/>
    <w:rsid w:val="00336A6D"/>
    <w:rsid w:val="00340A0F"/>
    <w:rsid w:val="0036725E"/>
    <w:rsid w:val="00372955"/>
    <w:rsid w:val="003743B6"/>
    <w:rsid w:val="00383E38"/>
    <w:rsid w:val="00397FAB"/>
    <w:rsid w:val="003B6FAC"/>
    <w:rsid w:val="003F51C4"/>
    <w:rsid w:val="00406DB0"/>
    <w:rsid w:val="004514B7"/>
    <w:rsid w:val="004537AA"/>
    <w:rsid w:val="004C42C9"/>
    <w:rsid w:val="004D0138"/>
    <w:rsid w:val="0059097A"/>
    <w:rsid w:val="005A1727"/>
    <w:rsid w:val="005F4C66"/>
    <w:rsid w:val="0060349E"/>
    <w:rsid w:val="00696362"/>
    <w:rsid w:val="006A5060"/>
    <w:rsid w:val="00714955"/>
    <w:rsid w:val="00716101"/>
    <w:rsid w:val="0073123D"/>
    <w:rsid w:val="0073542B"/>
    <w:rsid w:val="007360C7"/>
    <w:rsid w:val="00747F74"/>
    <w:rsid w:val="00781761"/>
    <w:rsid w:val="00794A72"/>
    <w:rsid w:val="00795748"/>
    <w:rsid w:val="007A56C4"/>
    <w:rsid w:val="007C2EA9"/>
    <w:rsid w:val="007C7FB8"/>
    <w:rsid w:val="007D3489"/>
    <w:rsid w:val="007D55E1"/>
    <w:rsid w:val="007F47C7"/>
    <w:rsid w:val="00817B3B"/>
    <w:rsid w:val="008307DA"/>
    <w:rsid w:val="00831B44"/>
    <w:rsid w:val="008466FF"/>
    <w:rsid w:val="00890724"/>
    <w:rsid w:val="008A7385"/>
    <w:rsid w:val="008B5F59"/>
    <w:rsid w:val="008C2E3C"/>
    <w:rsid w:val="008C707C"/>
    <w:rsid w:val="008E0898"/>
    <w:rsid w:val="00945C8F"/>
    <w:rsid w:val="00947CBC"/>
    <w:rsid w:val="00966AD3"/>
    <w:rsid w:val="00972BDB"/>
    <w:rsid w:val="00995185"/>
    <w:rsid w:val="009B7433"/>
    <w:rsid w:val="009D01D3"/>
    <w:rsid w:val="009D35BB"/>
    <w:rsid w:val="00A07CDD"/>
    <w:rsid w:val="00A16E60"/>
    <w:rsid w:val="00A712F5"/>
    <w:rsid w:val="00A82EA0"/>
    <w:rsid w:val="00AB2208"/>
    <w:rsid w:val="00AC404E"/>
    <w:rsid w:val="00B018BA"/>
    <w:rsid w:val="00B24797"/>
    <w:rsid w:val="00B33F2C"/>
    <w:rsid w:val="00B37BAA"/>
    <w:rsid w:val="00B51236"/>
    <w:rsid w:val="00B546EA"/>
    <w:rsid w:val="00B70AB7"/>
    <w:rsid w:val="00B962CC"/>
    <w:rsid w:val="00BA1B40"/>
    <w:rsid w:val="00BC6CD0"/>
    <w:rsid w:val="00BE0B84"/>
    <w:rsid w:val="00BE48CA"/>
    <w:rsid w:val="00BF5903"/>
    <w:rsid w:val="00C466AC"/>
    <w:rsid w:val="00C77D98"/>
    <w:rsid w:val="00C87310"/>
    <w:rsid w:val="00CC6E2F"/>
    <w:rsid w:val="00CC6F4F"/>
    <w:rsid w:val="00CD7B18"/>
    <w:rsid w:val="00CE012D"/>
    <w:rsid w:val="00CE7FAE"/>
    <w:rsid w:val="00CF3DD2"/>
    <w:rsid w:val="00CF3F2A"/>
    <w:rsid w:val="00D14044"/>
    <w:rsid w:val="00D60195"/>
    <w:rsid w:val="00D7270B"/>
    <w:rsid w:val="00D82D55"/>
    <w:rsid w:val="00DA0BAC"/>
    <w:rsid w:val="00DA1BF0"/>
    <w:rsid w:val="00DB6CFE"/>
    <w:rsid w:val="00DF35B6"/>
    <w:rsid w:val="00E01FC7"/>
    <w:rsid w:val="00E12D04"/>
    <w:rsid w:val="00E34AB0"/>
    <w:rsid w:val="00E4038F"/>
    <w:rsid w:val="00E47B5D"/>
    <w:rsid w:val="00E506D1"/>
    <w:rsid w:val="00E57BCD"/>
    <w:rsid w:val="00E81828"/>
    <w:rsid w:val="00EC2627"/>
    <w:rsid w:val="00EF58EB"/>
    <w:rsid w:val="00F011A6"/>
    <w:rsid w:val="00F10CD5"/>
    <w:rsid w:val="00F112F4"/>
    <w:rsid w:val="00F479E0"/>
    <w:rsid w:val="00F76BF6"/>
    <w:rsid w:val="00F846EC"/>
    <w:rsid w:val="00F8618A"/>
    <w:rsid w:val="00FB2E68"/>
    <w:rsid w:val="00FC4A0D"/>
    <w:rsid w:val="00FE0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66E2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6E60"/>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C7FB8"/>
    <w:pPr>
      <w:tabs>
        <w:tab w:val="center" w:pos="4513"/>
        <w:tab w:val="right" w:pos="9026"/>
      </w:tabs>
    </w:pPr>
    <w:rPr>
      <w:rFonts w:ascii="Calibri" w:eastAsia="Calibri" w:hAnsi="Calibri"/>
      <w:lang w:eastAsia="en-US"/>
    </w:rPr>
  </w:style>
  <w:style w:type="character" w:customStyle="1" w:styleId="HeaderChar">
    <w:name w:val="Header Char"/>
    <w:basedOn w:val="DefaultParagraphFont"/>
    <w:link w:val="Header"/>
    <w:uiPriority w:val="99"/>
    <w:locked/>
    <w:rsid w:val="007C7FB8"/>
    <w:rPr>
      <w:rFonts w:cs="Times New Roman"/>
    </w:rPr>
  </w:style>
  <w:style w:type="paragraph" w:styleId="Footer">
    <w:name w:val="footer"/>
    <w:basedOn w:val="Normal"/>
    <w:link w:val="FooterChar"/>
    <w:uiPriority w:val="99"/>
    <w:rsid w:val="007C7FB8"/>
    <w:pPr>
      <w:tabs>
        <w:tab w:val="center" w:pos="4513"/>
        <w:tab w:val="right" w:pos="9026"/>
      </w:tabs>
    </w:pPr>
    <w:rPr>
      <w:rFonts w:ascii="Calibri" w:eastAsia="Calibri" w:hAnsi="Calibri"/>
      <w:lang w:eastAsia="en-US"/>
    </w:rPr>
  </w:style>
  <w:style w:type="character" w:customStyle="1" w:styleId="FooterChar">
    <w:name w:val="Footer Char"/>
    <w:basedOn w:val="DefaultParagraphFont"/>
    <w:link w:val="Footer"/>
    <w:uiPriority w:val="99"/>
    <w:locked/>
    <w:rsid w:val="007C7FB8"/>
    <w:rPr>
      <w:rFonts w:cs="Times New Roman"/>
    </w:rPr>
  </w:style>
  <w:style w:type="character" w:styleId="PageNumber">
    <w:name w:val="page number"/>
    <w:basedOn w:val="DefaultParagraphFont"/>
    <w:uiPriority w:val="99"/>
    <w:semiHidden/>
    <w:rsid w:val="00F112F4"/>
    <w:rPr>
      <w:rFonts w:cs="Times New Roman"/>
    </w:rPr>
  </w:style>
  <w:style w:type="paragraph" w:styleId="DocumentMap">
    <w:name w:val="Document Map"/>
    <w:basedOn w:val="Normal"/>
    <w:link w:val="DocumentMapChar"/>
    <w:uiPriority w:val="99"/>
    <w:semiHidden/>
    <w:rsid w:val="00203FEA"/>
  </w:style>
  <w:style w:type="character" w:customStyle="1" w:styleId="DocumentMapChar">
    <w:name w:val="Document Map Char"/>
    <w:basedOn w:val="DefaultParagraphFont"/>
    <w:link w:val="DocumentMap"/>
    <w:uiPriority w:val="99"/>
    <w:semiHidden/>
    <w:locked/>
    <w:rsid w:val="00203FEA"/>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BF030-675B-405D-9A25-23C1FA269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2113</Words>
  <Characters>12050</Characters>
  <Application>Microsoft Office Word</Application>
  <DocSecurity>0</DocSecurity>
  <Lines>100</Lines>
  <Paragraphs>28</Paragraphs>
  <ScaleCrop>false</ScaleCrop>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2018-07-16T14:07:00Z</dcterms:created>
  <dcterms:modified xsi:type="dcterms:W3CDTF">2018-07-16T14:07:00Z</dcterms:modified>
</cp:coreProperties>
</file>