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7CA" w:rsidRPr="00824DBC" w:rsidRDefault="00A53185" w:rsidP="0050388A">
      <w:pPr>
        <w:jc w:val="center"/>
        <w:rPr>
          <w:caps/>
          <w:color w:val="000000"/>
          <w:sz w:val="16"/>
          <w:szCs w:val="16"/>
        </w:rPr>
      </w:pPr>
      <w:r w:rsidRPr="00824DBC">
        <w:rPr>
          <w:noProof/>
        </w:rPr>
        <w:drawing>
          <wp:inline distT="0" distB="0" distL="0" distR="0" wp14:anchorId="0F3FEC25" wp14:editId="2253070F">
            <wp:extent cx="1173600" cy="1033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3600" cy="1033200"/>
                    </a:xfrm>
                    <a:prstGeom prst="rect">
                      <a:avLst/>
                    </a:prstGeom>
                    <a:noFill/>
                    <a:ln>
                      <a:noFill/>
                    </a:ln>
                  </pic:spPr>
                </pic:pic>
              </a:graphicData>
            </a:graphic>
          </wp:inline>
        </w:drawing>
      </w:r>
    </w:p>
    <w:p w:rsidR="003257CA" w:rsidRPr="00824DBC" w:rsidRDefault="003257CA" w:rsidP="002630D9">
      <w:pPr>
        <w:tabs>
          <w:tab w:val="right" w:pos="9720"/>
        </w:tabs>
        <w:spacing w:line="360" w:lineRule="auto"/>
        <w:ind w:right="-82"/>
        <w:rPr>
          <w:b/>
          <w:color w:val="000000"/>
        </w:rPr>
      </w:pPr>
      <w:r w:rsidRPr="00824DBC">
        <w:rPr>
          <w:b/>
          <w:color w:val="000000"/>
        </w:rPr>
        <w:t xml:space="preserve">Upper Tribunal </w:t>
      </w:r>
    </w:p>
    <w:p w:rsidR="003257CA" w:rsidRPr="00824DBC" w:rsidRDefault="003257CA" w:rsidP="002630D9">
      <w:pPr>
        <w:tabs>
          <w:tab w:val="right" w:pos="9720"/>
        </w:tabs>
        <w:spacing w:line="360" w:lineRule="auto"/>
        <w:ind w:right="-82"/>
        <w:rPr>
          <w:b/>
          <w:color w:val="000000"/>
        </w:rPr>
      </w:pPr>
      <w:r w:rsidRPr="00824DBC">
        <w:rPr>
          <w:b/>
          <w:color w:val="000000"/>
        </w:rPr>
        <w:t>(</w:t>
      </w:r>
      <w:r w:rsidR="00A04B4A" w:rsidRPr="00824DBC">
        <w:rPr>
          <w:b/>
          <w:color w:val="000000"/>
        </w:rPr>
        <w:t xml:space="preserve">Immigration and Asylum </w:t>
      </w:r>
      <w:proofErr w:type="gramStart"/>
      <w:r w:rsidR="00A04B4A" w:rsidRPr="00824DBC">
        <w:rPr>
          <w:b/>
          <w:color w:val="000000"/>
        </w:rPr>
        <w:t xml:space="preserve">Chamber)   </w:t>
      </w:r>
      <w:proofErr w:type="gramEnd"/>
      <w:r w:rsidR="00A04B4A" w:rsidRPr="00824DBC">
        <w:rPr>
          <w:b/>
          <w:color w:val="000000"/>
        </w:rPr>
        <w:t xml:space="preserve">                       </w:t>
      </w:r>
      <w:r w:rsidRPr="00824DBC">
        <w:rPr>
          <w:b/>
          <w:color w:val="000000"/>
        </w:rPr>
        <w:t xml:space="preserve">Appeal Number: </w:t>
      </w:r>
      <w:r w:rsidR="007B3613" w:rsidRPr="00824DBC">
        <w:rPr>
          <w:b/>
          <w:color w:val="000000"/>
        </w:rPr>
        <w:t>HU/</w:t>
      </w:r>
      <w:r w:rsidR="00AB331B" w:rsidRPr="00824DBC">
        <w:rPr>
          <w:b/>
          <w:color w:val="000000"/>
        </w:rPr>
        <w:t>19880</w:t>
      </w:r>
      <w:r w:rsidR="007B3613" w:rsidRPr="00824DBC">
        <w:rPr>
          <w:b/>
          <w:color w:val="000000"/>
        </w:rPr>
        <w:t>/201</w:t>
      </w:r>
      <w:r w:rsidR="00AB331B" w:rsidRPr="00824DBC">
        <w:rPr>
          <w:b/>
          <w:color w:val="000000"/>
        </w:rPr>
        <w:t>6</w:t>
      </w:r>
    </w:p>
    <w:p w:rsidR="003257CA" w:rsidRPr="00824DBC" w:rsidRDefault="00CB6CFF" w:rsidP="002630D9">
      <w:pPr>
        <w:tabs>
          <w:tab w:val="right" w:pos="9720"/>
        </w:tabs>
        <w:spacing w:line="360" w:lineRule="auto"/>
        <w:ind w:right="-82"/>
        <w:rPr>
          <w:b/>
          <w:i/>
          <w:color w:val="000000"/>
        </w:rPr>
      </w:pPr>
      <w:r w:rsidRPr="00824DBC">
        <w:rPr>
          <w:b/>
          <w:color w:val="000000"/>
        </w:rPr>
        <w:t xml:space="preserve">                                                                                                                                                                                                                                                                         </w:t>
      </w:r>
    </w:p>
    <w:p w:rsidR="003257CA" w:rsidRPr="00824DBC" w:rsidRDefault="003257CA" w:rsidP="002630D9">
      <w:pPr>
        <w:spacing w:line="360" w:lineRule="auto"/>
        <w:jc w:val="center"/>
        <w:rPr>
          <w:b/>
          <w:color w:val="000000"/>
          <w:u w:val="single"/>
        </w:rPr>
      </w:pPr>
      <w:r w:rsidRPr="00824DBC">
        <w:rPr>
          <w:b/>
          <w:color w:val="000000"/>
          <w:u w:val="single"/>
        </w:rPr>
        <w:t>THE IMMIGRATION ACTS</w:t>
      </w:r>
    </w:p>
    <w:tbl>
      <w:tblPr>
        <w:tblW w:w="0" w:type="auto"/>
        <w:tblLook w:val="01E0" w:firstRow="1" w:lastRow="1" w:firstColumn="1" w:lastColumn="1" w:noHBand="0" w:noVBand="0"/>
      </w:tblPr>
      <w:tblGrid>
        <w:gridCol w:w="5699"/>
        <w:gridCol w:w="3939"/>
      </w:tblGrid>
      <w:tr w:rsidR="003257CA" w:rsidRPr="00824DBC" w:rsidTr="007B3613">
        <w:tc>
          <w:tcPr>
            <w:tcW w:w="5699" w:type="dxa"/>
          </w:tcPr>
          <w:p w:rsidR="003257CA" w:rsidRPr="00824DBC" w:rsidRDefault="003257CA" w:rsidP="002630D9">
            <w:pPr>
              <w:spacing w:line="360" w:lineRule="auto"/>
              <w:jc w:val="both"/>
              <w:rPr>
                <w:b/>
              </w:rPr>
            </w:pPr>
            <w:r w:rsidRPr="00824DBC">
              <w:rPr>
                <w:b/>
              </w:rPr>
              <w:t xml:space="preserve">Heard at </w:t>
            </w:r>
            <w:r w:rsidR="003A447D" w:rsidRPr="00824DBC">
              <w:rPr>
                <w:b/>
              </w:rPr>
              <w:t>Royal Courts of Justice</w:t>
            </w:r>
          </w:p>
        </w:tc>
        <w:tc>
          <w:tcPr>
            <w:tcW w:w="3939" w:type="dxa"/>
          </w:tcPr>
          <w:p w:rsidR="003257CA" w:rsidRPr="00824DBC" w:rsidRDefault="003257CA" w:rsidP="002630D9">
            <w:pPr>
              <w:spacing w:line="360" w:lineRule="auto"/>
              <w:jc w:val="both"/>
              <w:rPr>
                <w:b/>
                <w:color w:val="000000"/>
              </w:rPr>
            </w:pPr>
            <w:r w:rsidRPr="00824DBC">
              <w:rPr>
                <w:b/>
                <w:color w:val="000000"/>
              </w:rPr>
              <w:t>Decision &amp; Reasons Promulgated</w:t>
            </w:r>
          </w:p>
        </w:tc>
      </w:tr>
      <w:tr w:rsidR="003257CA" w:rsidRPr="00824DBC" w:rsidTr="007B3613">
        <w:tc>
          <w:tcPr>
            <w:tcW w:w="5699" w:type="dxa"/>
          </w:tcPr>
          <w:p w:rsidR="003257CA" w:rsidRPr="00824DBC" w:rsidRDefault="003257CA" w:rsidP="002630D9">
            <w:pPr>
              <w:spacing w:line="360" w:lineRule="auto"/>
              <w:jc w:val="both"/>
              <w:rPr>
                <w:b/>
              </w:rPr>
            </w:pPr>
            <w:r w:rsidRPr="00824DBC">
              <w:rPr>
                <w:b/>
              </w:rPr>
              <w:t xml:space="preserve">On </w:t>
            </w:r>
            <w:r w:rsidR="00F75148" w:rsidRPr="00824DBC">
              <w:rPr>
                <w:b/>
              </w:rPr>
              <w:t>6 August</w:t>
            </w:r>
            <w:r w:rsidRPr="00824DBC">
              <w:rPr>
                <w:b/>
              </w:rPr>
              <w:t xml:space="preserve"> 2018</w:t>
            </w:r>
          </w:p>
        </w:tc>
        <w:tc>
          <w:tcPr>
            <w:tcW w:w="3939" w:type="dxa"/>
          </w:tcPr>
          <w:p w:rsidR="003257CA" w:rsidRPr="00824DBC" w:rsidRDefault="00B26BA7" w:rsidP="002630D9">
            <w:pPr>
              <w:spacing w:line="360" w:lineRule="auto"/>
              <w:jc w:val="both"/>
              <w:rPr>
                <w:b/>
              </w:rPr>
            </w:pPr>
            <w:r w:rsidRPr="00824DBC">
              <w:rPr>
                <w:b/>
              </w:rPr>
              <w:t>On 20 August 2018</w:t>
            </w:r>
          </w:p>
        </w:tc>
      </w:tr>
      <w:tr w:rsidR="003257CA" w:rsidRPr="00824DBC" w:rsidTr="007B3613">
        <w:tc>
          <w:tcPr>
            <w:tcW w:w="5699" w:type="dxa"/>
          </w:tcPr>
          <w:p w:rsidR="003257CA" w:rsidRPr="00824DBC" w:rsidRDefault="003257CA" w:rsidP="002630D9">
            <w:pPr>
              <w:spacing w:line="360" w:lineRule="auto"/>
              <w:jc w:val="both"/>
              <w:rPr>
                <w:b/>
              </w:rPr>
            </w:pPr>
          </w:p>
        </w:tc>
        <w:tc>
          <w:tcPr>
            <w:tcW w:w="3939" w:type="dxa"/>
          </w:tcPr>
          <w:p w:rsidR="003257CA" w:rsidRPr="00824DBC" w:rsidRDefault="003257CA" w:rsidP="002630D9">
            <w:pPr>
              <w:spacing w:line="360" w:lineRule="auto"/>
              <w:jc w:val="both"/>
              <w:rPr>
                <w:b/>
              </w:rPr>
            </w:pPr>
          </w:p>
        </w:tc>
      </w:tr>
    </w:tbl>
    <w:p w:rsidR="003257CA" w:rsidRPr="00824DBC" w:rsidRDefault="003257CA" w:rsidP="002630D9">
      <w:pPr>
        <w:spacing w:line="360" w:lineRule="auto"/>
        <w:jc w:val="center"/>
        <w:rPr>
          <w:b/>
        </w:rPr>
      </w:pPr>
      <w:r w:rsidRPr="00824DBC">
        <w:rPr>
          <w:b/>
        </w:rPr>
        <w:t>Before</w:t>
      </w:r>
    </w:p>
    <w:p w:rsidR="00A04B4A" w:rsidRPr="00824DBC" w:rsidRDefault="00A04B4A" w:rsidP="00A04B4A">
      <w:pPr>
        <w:jc w:val="center"/>
        <w:rPr>
          <w:b/>
        </w:rPr>
      </w:pPr>
    </w:p>
    <w:p w:rsidR="003257CA" w:rsidRPr="00824DBC" w:rsidRDefault="003257CA" w:rsidP="002630D9">
      <w:pPr>
        <w:spacing w:line="360" w:lineRule="auto"/>
        <w:jc w:val="center"/>
        <w:rPr>
          <w:b/>
          <w:color w:val="000000"/>
        </w:rPr>
      </w:pPr>
      <w:r w:rsidRPr="00824DBC">
        <w:rPr>
          <w:b/>
          <w:color w:val="000000"/>
        </w:rPr>
        <w:t>UPPER TRIBUNAL JUDGE FINCH</w:t>
      </w:r>
    </w:p>
    <w:p w:rsidR="00A04B4A" w:rsidRPr="00824DBC" w:rsidRDefault="00A04B4A" w:rsidP="00A04B4A">
      <w:pPr>
        <w:jc w:val="center"/>
        <w:rPr>
          <w:b/>
          <w:color w:val="000000"/>
        </w:rPr>
      </w:pPr>
    </w:p>
    <w:p w:rsidR="003257CA" w:rsidRPr="00824DBC" w:rsidRDefault="003257CA" w:rsidP="00A04B4A">
      <w:pPr>
        <w:jc w:val="center"/>
        <w:rPr>
          <w:b/>
        </w:rPr>
      </w:pPr>
      <w:r w:rsidRPr="00824DBC">
        <w:rPr>
          <w:b/>
        </w:rPr>
        <w:t>Between</w:t>
      </w:r>
    </w:p>
    <w:p w:rsidR="00A04B4A" w:rsidRPr="00824DBC" w:rsidRDefault="00A04B4A" w:rsidP="00A04B4A">
      <w:pPr>
        <w:jc w:val="center"/>
        <w:rPr>
          <w:b/>
        </w:rPr>
      </w:pPr>
    </w:p>
    <w:p w:rsidR="00F75148" w:rsidRPr="00824DBC" w:rsidRDefault="00AB331B" w:rsidP="002630D9">
      <w:pPr>
        <w:spacing w:line="360" w:lineRule="auto"/>
        <w:jc w:val="center"/>
        <w:rPr>
          <w:b/>
        </w:rPr>
      </w:pPr>
      <w:r w:rsidRPr="00824DBC">
        <w:rPr>
          <w:b/>
        </w:rPr>
        <w:t>JARGALASIKHAN DORJKHUU</w:t>
      </w:r>
    </w:p>
    <w:p w:rsidR="00DD4868" w:rsidRPr="00824DBC" w:rsidRDefault="00DD4868" w:rsidP="002630D9">
      <w:pPr>
        <w:spacing w:line="360" w:lineRule="auto"/>
        <w:jc w:val="center"/>
        <w:rPr>
          <w:u w:val="single"/>
        </w:rPr>
      </w:pPr>
      <w:r w:rsidRPr="00824DBC">
        <w:rPr>
          <w:b/>
        </w:rPr>
        <w:t xml:space="preserve">                                                                                                                                      </w:t>
      </w:r>
      <w:r w:rsidRPr="00824DBC">
        <w:rPr>
          <w:u w:val="single"/>
        </w:rPr>
        <w:t xml:space="preserve">Appellant </w:t>
      </w:r>
    </w:p>
    <w:p w:rsidR="00DD4868" w:rsidRPr="00824DBC" w:rsidRDefault="00A04B4A" w:rsidP="002630D9">
      <w:pPr>
        <w:spacing w:line="360" w:lineRule="auto"/>
        <w:jc w:val="center"/>
        <w:rPr>
          <w:b/>
        </w:rPr>
      </w:pPr>
      <w:r w:rsidRPr="00824DBC">
        <w:rPr>
          <w:b/>
        </w:rPr>
        <w:t>A</w:t>
      </w:r>
      <w:r w:rsidR="00DD4868" w:rsidRPr="00824DBC">
        <w:rPr>
          <w:b/>
        </w:rPr>
        <w:t>nd</w:t>
      </w:r>
    </w:p>
    <w:p w:rsidR="00A04B4A" w:rsidRPr="00824DBC" w:rsidRDefault="00A04B4A" w:rsidP="00A04B4A">
      <w:pPr>
        <w:jc w:val="center"/>
        <w:rPr>
          <w:b/>
        </w:rPr>
      </w:pPr>
    </w:p>
    <w:p w:rsidR="007B3613" w:rsidRPr="00824DBC" w:rsidRDefault="00F75148" w:rsidP="002630D9">
      <w:pPr>
        <w:spacing w:line="360" w:lineRule="auto"/>
        <w:jc w:val="center"/>
        <w:rPr>
          <w:b/>
        </w:rPr>
      </w:pPr>
      <w:r w:rsidRPr="00824DBC">
        <w:rPr>
          <w:b/>
        </w:rPr>
        <w:t xml:space="preserve">THE SECRETARY OF STATE FOR THE HOME DEPARTMENT </w:t>
      </w:r>
    </w:p>
    <w:p w:rsidR="00DD4868" w:rsidRPr="00824DBC" w:rsidRDefault="00DD4868" w:rsidP="002630D9">
      <w:pPr>
        <w:spacing w:line="360" w:lineRule="auto"/>
        <w:jc w:val="center"/>
        <w:rPr>
          <w:u w:val="single"/>
        </w:rPr>
      </w:pPr>
      <w:r w:rsidRPr="00824DBC">
        <w:rPr>
          <w:b/>
        </w:rPr>
        <w:t xml:space="preserve">                                       </w:t>
      </w:r>
      <w:r w:rsidRPr="00824DBC">
        <w:rPr>
          <w:b/>
        </w:rPr>
        <w:tab/>
      </w:r>
      <w:r w:rsidRPr="00824DBC">
        <w:rPr>
          <w:b/>
        </w:rPr>
        <w:tab/>
      </w:r>
      <w:r w:rsidRPr="00824DBC">
        <w:rPr>
          <w:b/>
        </w:rPr>
        <w:tab/>
      </w:r>
      <w:r w:rsidRPr="00824DBC">
        <w:rPr>
          <w:b/>
        </w:rPr>
        <w:tab/>
      </w:r>
      <w:r w:rsidRPr="00824DBC">
        <w:rPr>
          <w:b/>
        </w:rPr>
        <w:tab/>
      </w:r>
      <w:r w:rsidRPr="00824DBC">
        <w:rPr>
          <w:b/>
        </w:rPr>
        <w:tab/>
      </w:r>
      <w:r w:rsidRPr="00824DBC">
        <w:rPr>
          <w:b/>
        </w:rPr>
        <w:tab/>
      </w:r>
      <w:r w:rsidRPr="00824DBC">
        <w:rPr>
          <w:b/>
        </w:rPr>
        <w:tab/>
      </w:r>
      <w:r w:rsidRPr="00824DBC">
        <w:rPr>
          <w:b/>
        </w:rPr>
        <w:tab/>
      </w:r>
      <w:r w:rsidRPr="00824DBC">
        <w:rPr>
          <w:b/>
        </w:rPr>
        <w:tab/>
      </w:r>
      <w:r w:rsidRPr="00824DBC">
        <w:t xml:space="preserve">  </w:t>
      </w:r>
      <w:r w:rsidRPr="00824DBC">
        <w:rPr>
          <w:u w:val="single"/>
        </w:rPr>
        <w:t xml:space="preserve">Respondent </w:t>
      </w:r>
    </w:p>
    <w:p w:rsidR="003257CA" w:rsidRPr="00824DBC" w:rsidRDefault="003257CA" w:rsidP="002630D9">
      <w:pPr>
        <w:spacing w:line="360" w:lineRule="auto"/>
      </w:pPr>
      <w:r w:rsidRPr="00824DBC">
        <w:rPr>
          <w:b/>
          <w:u w:val="single"/>
        </w:rPr>
        <w:t>Representation</w:t>
      </w:r>
      <w:r w:rsidRPr="00824DBC">
        <w:rPr>
          <w:b/>
        </w:rPr>
        <w:t xml:space="preserve">: </w:t>
      </w:r>
    </w:p>
    <w:p w:rsidR="00A04B4A" w:rsidRPr="00824DBC" w:rsidRDefault="00A04B4A" w:rsidP="00A04B4A">
      <w:pPr>
        <w:tabs>
          <w:tab w:val="left" w:pos="2520"/>
        </w:tabs>
      </w:pPr>
    </w:p>
    <w:p w:rsidR="005D603D" w:rsidRPr="00824DBC" w:rsidRDefault="003257CA" w:rsidP="00A04B4A">
      <w:pPr>
        <w:tabs>
          <w:tab w:val="left" w:pos="2520"/>
        </w:tabs>
      </w:pPr>
      <w:r w:rsidRPr="00824DBC">
        <w:t>For the Appellant:</w:t>
      </w:r>
      <w:r w:rsidRPr="00824DBC">
        <w:tab/>
      </w:r>
      <w:r w:rsidR="00AF27B5" w:rsidRPr="00824DBC">
        <w:t>Present but not legally represented</w:t>
      </w:r>
      <w:r w:rsidRPr="00824DBC">
        <w:tab/>
      </w:r>
      <w:r w:rsidRPr="00824DBC">
        <w:tab/>
      </w:r>
    </w:p>
    <w:p w:rsidR="005D603D" w:rsidRPr="00824DBC" w:rsidRDefault="003257CA" w:rsidP="00A04B4A">
      <w:pPr>
        <w:tabs>
          <w:tab w:val="left" w:pos="2520"/>
        </w:tabs>
      </w:pPr>
      <w:r w:rsidRPr="00824DBC">
        <w:t>For the Respondent</w:t>
      </w:r>
      <w:r w:rsidR="005D603D" w:rsidRPr="00824DBC">
        <w:t>s</w:t>
      </w:r>
      <w:r w:rsidRPr="00824DBC">
        <w:t>:</w:t>
      </w:r>
      <w:r w:rsidRPr="00824DBC">
        <w:tab/>
      </w:r>
      <w:r w:rsidR="00AF27B5" w:rsidRPr="00824DBC">
        <w:t>Mr. T. Melvin, Home Office Presenting Officer</w:t>
      </w:r>
      <w:r w:rsidRPr="00824DBC">
        <w:t xml:space="preserve">              </w:t>
      </w:r>
    </w:p>
    <w:p w:rsidR="003257CA" w:rsidRPr="00824DBC" w:rsidRDefault="003257CA" w:rsidP="002630D9">
      <w:pPr>
        <w:tabs>
          <w:tab w:val="left" w:pos="2520"/>
        </w:tabs>
        <w:spacing w:line="360" w:lineRule="auto"/>
      </w:pPr>
    </w:p>
    <w:p w:rsidR="003257CA" w:rsidRPr="00824DBC" w:rsidRDefault="003257CA" w:rsidP="002630D9">
      <w:pPr>
        <w:spacing w:line="360" w:lineRule="auto"/>
        <w:jc w:val="center"/>
        <w:rPr>
          <w:b/>
          <w:u w:val="single"/>
        </w:rPr>
      </w:pPr>
      <w:r w:rsidRPr="00824DBC">
        <w:rPr>
          <w:b/>
          <w:u w:val="single"/>
        </w:rPr>
        <w:t>DECISION AND REASONS</w:t>
      </w:r>
    </w:p>
    <w:p w:rsidR="003257CA" w:rsidRPr="00824DBC" w:rsidRDefault="003257CA" w:rsidP="002630D9">
      <w:pPr>
        <w:spacing w:line="360" w:lineRule="auto"/>
        <w:jc w:val="both"/>
        <w:rPr>
          <w:b/>
        </w:rPr>
      </w:pPr>
      <w:r w:rsidRPr="00824DBC">
        <w:rPr>
          <w:b/>
        </w:rPr>
        <w:t xml:space="preserve">                                                                                                                                                                                                                                                                                                                                                                                                                                                            </w:t>
      </w:r>
    </w:p>
    <w:p w:rsidR="003257CA" w:rsidRPr="00824DBC" w:rsidRDefault="003257CA" w:rsidP="002630D9">
      <w:pPr>
        <w:spacing w:line="360" w:lineRule="auto"/>
        <w:jc w:val="both"/>
        <w:rPr>
          <w:b/>
        </w:rPr>
      </w:pPr>
      <w:r w:rsidRPr="00824DBC">
        <w:rPr>
          <w:b/>
        </w:rPr>
        <w:t xml:space="preserve">BACKGROUND TO THE APPEAL </w:t>
      </w:r>
    </w:p>
    <w:p w:rsidR="006E0E00" w:rsidRPr="00824DBC" w:rsidRDefault="006E0E00" w:rsidP="002630D9">
      <w:pPr>
        <w:spacing w:line="360" w:lineRule="auto"/>
        <w:jc w:val="both"/>
        <w:rPr>
          <w:b/>
        </w:rPr>
      </w:pPr>
    </w:p>
    <w:p w:rsidR="003257CA" w:rsidRPr="00824DBC" w:rsidRDefault="003257CA" w:rsidP="002630D9">
      <w:pPr>
        <w:spacing w:line="360" w:lineRule="auto"/>
        <w:ind w:left="567" w:hanging="567"/>
        <w:jc w:val="both"/>
      </w:pPr>
      <w:r w:rsidRPr="00824DBC">
        <w:t>1.</w:t>
      </w:r>
      <w:r w:rsidRPr="00824DBC">
        <w:tab/>
        <w:t xml:space="preserve">The </w:t>
      </w:r>
      <w:r w:rsidR="006B2C82" w:rsidRPr="00824DBC">
        <w:t>Respondent</w:t>
      </w:r>
      <w:r w:rsidR="008130CE" w:rsidRPr="00824DBC">
        <w:t xml:space="preserve"> </w:t>
      </w:r>
      <w:r w:rsidR="007B3613" w:rsidRPr="00824DBC">
        <w:t xml:space="preserve">is a national of </w:t>
      </w:r>
      <w:r w:rsidR="00AB331B" w:rsidRPr="00824DBC">
        <w:t>Mongolia</w:t>
      </w:r>
      <w:r w:rsidR="007B3613" w:rsidRPr="00824DBC">
        <w:t>.</w:t>
      </w:r>
      <w:r w:rsidR="00AB331B" w:rsidRPr="00824DBC">
        <w:t xml:space="preserve"> He entered the United Kingdom as a visitor on 25 February 2007 and remained here after his visa expired until 1 February 2016 when he applied for leave to remain as the partner of a British national.  </w:t>
      </w:r>
      <w:r w:rsidR="00A44767" w:rsidRPr="00824DBC">
        <w:t xml:space="preserve">He </w:t>
      </w:r>
      <w:r w:rsidR="0022735C" w:rsidRPr="00824DBC">
        <w:t xml:space="preserve">and his partner are planning to </w:t>
      </w:r>
      <w:r w:rsidR="00AF27B5" w:rsidRPr="00824DBC">
        <w:t>ge</w:t>
      </w:r>
      <w:r w:rsidR="0022735C" w:rsidRPr="00824DBC">
        <w:t xml:space="preserve">t </w:t>
      </w:r>
      <w:r w:rsidR="00A44767" w:rsidRPr="00824DBC">
        <w:t xml:space="preserve">married and they have </w:t>
      </w:r>
      <w:r w:rsidR="00AB331B" w:rsidRPr="00824DBC">
        <w:t>t</w:t>
      </w:r>
      <w:r w:rsidR="00AF27B5" w:rsidRPr="00824DBC">
        <w:t>hree</w:t>
      </w:r>
      <w:r w:rsidR="00AB331B" w:rsidRPr="00824DBC">
        <w:t xml:space="preserve"> British national children. </w:t>
      </w:r>
      <w:r w:rsidR="00AF27B5" w:rsidRPr="00824DBC">
        <w:t>The</w:t>
      </w:r>
      <w:r w:rsidR="00F949E3" w:rsidRPr="00824DBC">
        <w:t xml:space="preserve">ir children </w:t>
      </w:r>
      <w:r w:rsidR="00AF27B5" w:rsidRPr="00824DBC">
        <w:t xml:space="preserve">were born on 23 April 2014, 29 July 2015 and 26 June 2017. </w:t>
      </w:r>
      <w:r w:rsidR="00F949E3" w:rsidRPr="00824DBC">
        <w:t xml:space="preserve">The Appellant’s </w:t>
      </w:r>
      <w:r w:rsidR="007B3613" w:rsidRPr="00824DBC">
        <w:t xml:space="preserve">application was refused on </w:t>
      </w:r>
      <w:r w:rsidR="00AB331B" w:rsidRPr="00824DBC">
        <w:t>24 May</w:t>
      </w:r>
      <w:r w:rsidR="00F75148" w:rsidRPr="00824DBC">
        <w:t xml:space="preserve"> 2016 and he </w:t>
      </w:r>
      <w:r w:rsidR="007B3613" w:rsidRPr="00824DBC">
        <w:t>appeal</w:t>
      </w:r>
      <w:r w:rsidR="00F75148" w:rsidRPr="00824DBC">
        <w:t>ed</w:t>
      </w:r>
      <w:r w:rsidR="007B3613" w:rsidRPr="00824DBC">
        <w:t xml:space="preserve"> against this decision.</w:t>
      </w:r>
      <w:r w:rsidRPr="00824DBC">
        <w:t xml:space="preserve"> </w:t>
      </w:r>
    </w:p>
    <w:p w:rsidR="003257CA" w:rsidRPr="00824DBC" w:rsidRDefault="003257CA" w:rsidP="002630D9">
      <w:pPr>
        <w:spacing w:line="360" w:lineRule="auto"/>
        <w:ind w:left="567" w:hanging="567"/>
        <w:jc w:val="both"/>
      </w:pPr>
      <w:r w:rsidRPr="00824DBC">
        <w:lastRenderedPageBreak/>
        <w:t>2.</w:t>
      </w:r>
      <w:r w:rsidRPr="00824DBC">
        <w:tab/>
      </w:r>
      <w:r w:rsidR="006E0E00" w:rsidRPr="00824DBC">
        <w:t xml:space="preserve">The Appellant’s appeal was dismissed by First-tier Tribunal Judge </w:t>
      </w:r>
      <w:proofErr w:type="spellStart"/>
      <w:r w:rsidR="006E0E00" w:rsidRPr="00824DBC">
        <w:t>Anstis</w:t>
      </w:r>
      <w:proofErr w:type="spellEnd"/>
      <w:r w:rsidR="006E0E00" w:rsidRPr="00824DBC">
        <w:t xml:space="preserve"> at Harmondsworth in a decision promulgated on 23 March 2018</w:t>
      </w:r>
      <w:r w:rsidR="008130CE" w:rsidRPr="00824DBC">
        <w:t xml:space="preserve">. The </w:t>
      </w:r>
      <w:r w:rsidR="006B2C82" w:rsidRPr="00824DBC">
        <w:t>Appellant</w:t>
      </w:r>
      <w:r w:rsidR="008130CE" w:rsidRPr="00824DBC">
        <w:t xml:space="preserve"> </w:t>
      </w:r>
      <w:r w:rsidR="00E63C44" w:rsidRPr="00824DBC">
        <w:t xml:space="preserve">sought permission to </w:t>
      </w:r>
      <w:r w:rsidR="008130CE" w:rsidRPr="00824DBC">
        <w:t xml:space="preserve">appeal and </w:t>
      </w:r>
      <w:r w:rsidR="00F75148" w:rsidRPr="00824DBC">
        <w:t xml:space="preserve">Upper </w:t>
      </w:r>
      <w:r w:rsidR="008130CE" w:rsidRPr="00824DBC">
        <w:t xml:space="preserve">Tribunal Judge </w:t>
      </w:r>
      <w:r w:rsidR="00F75148" w:rsidRPr="00824DBC">
        <w:t xml:space="preserve">Plimmer </w:t>
      </w:r>
      <w:r w:rsidR="008130CE" w:rsidRPr="00824DBC">
        <w:t>granted h</w:t>
      </w:r>
      <w:r w:rsidR="006E0E00" w:rsidRPr="00824DBC">
        <w:t>im</w:t>
      </w:r>
      <w:r w:rsidR="008130CE" w:rsidRPr="00824DBC">
        <w:t xml:space="preserve"> permission to appeal on </w:t>
      </w:r>
      <w:r w:rsidR="00F75148" w:rsidRPr="00824DBC">
        <w:t>21 June</w:t>
      </w:r>
      <w:r w:rsidR="00E63C44" w:rsidRPr="00824DBC">
        <w:t xml:space="preserve"> 2018</w:t>
      </w:r>
      <w:r w:rsidR="008130CE" w:rsidRPr="00824DBC">
        <w:t xml:space="preserve">. </w:t>
      </w:r>
    </w:p>
    <w:p w:rsidR="003257CA" w:rsidRPr="00824DBC" w:rsidRDefault="003257CA" w:rsidP="002630D9">
      <w:pPr>
        <w:spacing w:line="360" w:lineRule="auto"/>
        <w:ind w:left="567" w:hanging="567"/>
        <w:jc w:val="both"/>
      </w:pPr>
      <w:r w:rsidRPr="00824DBC">
        <w:t xml:space="preserve">                                                                                                                                                                                                                                                                                   </w:t>
      </w:r>
    </w:p>
    <w:p w:rsidR="003257CA" w:rsidRPr="00824DBC" w:rsidRDefault="003257CA" w:rsidP="002630D9">
      <w:pPr>
        <w:spacing w:line="360" w:lineRule="auto"/>
        <w:ind w:left="567" w:hanging="567"/>
        <w:jc w:val="both"/>
        <w:rPr>
          <w:b/>
        </w:rPr>
      </w:pPr>
      <w:r w:rsidRPr="00824DBC">
        <w:rPr>
          <w:b/>
        </w:rPr>
        <w:t xml:space="preserve">ERROR OF LAW HEARING </w:t>
      </w:r>
    </w:p>
    <w:p w:rsidR="003257CA" w:rsidRPr="00824DBC" w:rsidRDefault="003257CA" w:rsidP="002630D9">
      <w:pPr>
        <w:spacing w:line="360" w:lineRule="auto"/>
        <w:ind w:left="567" w:hanging="567"/>
        <w:jc w:val="both"/>
      </w:pPr>
    </w:p>
    <w:p w:rsidR="003257CA" w:rsidRPr="00824DBC" w:rsidRDefault="006E0E00" w:rsidP="002630D9">
      <w:pPr>
        <w:spacing w:line="360" w:lineRule="auto"/>
        <w:ind w:left="567" w:hanging="567"/>
        <w:jc w:val="both"/>
      </w:pPr>
      <w:r w:rsidRPr="00824DBC">
        <w:t>3</w:t>
      </w:r>
      <w:r w:rsidR="003257CA" w:rsidRPr="00824DBC">
        <w:t>.</w:t>
      </w:r>
      <w:r w:rsidR="003257CA" w:rsidRPr="00824DBC">
        <w:tab/>
      </w:r>
      <w:r w:rsidR="00AF27B5" w:rsidRPr="00824DBC">
        <w:t>T</w:t>
      </w:r>
      <w:r w:rsidR="00845B37" w:rsidRPr="00824DBC">
        <w:t xml:space="preserve">he </w:t>
      </w:r>
      <w:r w:rsidR="00F75148" w:rsidRPr="00824DBC">
        <w:t xml:space="preserve">Appellant </w:t>
      </w:r>
      <w:r w:rsidR="00AF27B5" w:rsidRPr="00824DBC">
        <w:t xml:space="preserve">was not legally represented and handed up documents which indicated that when he and his partner tried to book their marriage at a register office, their case was referred to the Home Office. He said that they were interviewed for three or four hours and then the Home Office informed the register office that the marriage could go ahead. </w:t>
      </w:r>
      <w:r w:rsidR="00884B84" w:rsidRPr="00824DBC">
        <w:t xml:space="preserve">He also relied on the fact that he had three British children and that the oldest child was about to start school in September 2018. </w:t>
      </w:r>
      <w:r w:rsidR="00AF27B5" w:rsidRPr="00824DBC">
        <w:t>One of the documents showed that the marriage was now booked for 27 September 2018. The Home Office Presenting Officer relied on the grounds of refusal and the Rule 24 response which he handed in at the hearing</w:t>
      </w:r>
      <w:r w:rsidR="00F949E3" w:rsidRPr="00824DBC">
        <w:t xml:space="preserve"> and said that he had no copy of any marriage interviews</w:t>
      </w:r>
      <w:r w:rsidR="00AF27B5" w:rsidRPr="00824DBC">
        <w:t xml:space="preserve">. </w:t>
      </w:r>
      <w:r w:rsidR="003257CA" w:rsidRPr="00824DBC">
        <w:t xml:space="preserve">   </w:t>
      </w:r>
    </w:p>
    <w:p w:rsidR="003257CA" w:rsidRPr="00824DBC" w:rsidRDefault="003257CA" w:rsidP="00590558">
      <w:pPr>
        <w:spacing w:line="360" w:lineRule="auto"/>
        <w:ind w:left="567" w:hanging="567"/>
        <w:jc w:val="both"/>
        <w:rPr>
          <w:b/>
        </w:rPr>
      </w:pPr>
    </w:p>
    <w:p w:rsidR="003257CA" w:rsidRPr="00824DBC" w:rsidRDefault="003257CA" w:rsidP="00590558">
      <w:pPr>
        <w:spacing w:line="360" w:lineRule="auto"/>
        <w:ind w:left="567" w:hanging="567"/>
        <w:jc w:val="both"/>
        <w:rPr>
          <w:b/>
        </w:rPr>
      </w:pPr>
      <w:r w:rsidRPr="00824DBC">
        <w:rPr>
          <w:b/>
        </w:rPr>
        <w:t xml:space="preserve">ERROR OF LAW DECISION </w:t>
      </w:r>
    </w:p>
    <w:p w:rsidR="003257CA" w:rsidRPr="00824DBC" w:rsidRDefault="003257CA" w:rsidP="00590558">
      <w:pPr>
        <w:spacing w:line="360" w:lineRule="auto"/>
        <w:ind w:left="567" w:hanging="567"/>
        <w:jc w:val="both"/>
        <w:rPr>
          <w:b/>
        </w:rPr>
      </w:pPr>
    </w:p>
    <w:p w:rsidR="006E0E00" w:rsidRPr="00824DBC" w:rsidRDefault="00A44767" w:rsidP="002D56FD">
      <w:pPr>
        <w:spacing w:line="360" w:lineRule="auto"/>
        <w:ind w:left="567" w:hanging="567"/>
        <w:jc w:val="both"/>
      </w:pPr>
      <w:r w:rsidRPr="00824DBC">
        <w:t>4</w:t>
      </w:r>
      <w:r w:rsidR="006B2C82" w:rsidRPr="00824DBC">
        <w:t>.</w:t>
      </w:r>
      <w:r w:rsidR="006B2C82" w:rsidRPr="00824DBC">
        <w:tab/>
      </w:r>
      <w:r w:rsidR="00F75148" w:rsidRPr="00824DBC">
        <w:t xml:space="preserve">In </w:t>
      </w:r>
      <w:r w:rsidR="00AB331B" w:rsidRPr="00824DBC">
        <w:t xml:space="preserve">the refusal letter the Respondent accepted that the Appellant met the suitability and eligibility requirements of Appendix FM but noted that he could not meet the immigration status requirements because he had overstayed his previous leave. </w:t>
      </w:r>
    </w:p>
    <w:p w:rsidR="006E0E00" w:rsidRPr="00824DBC" w:rsidRDefault="006E0E00" w:rsidP="002D56FD">
      <w:pPr>
        <w:spacing w:line="360" w:lineRule="auto"/>
        <w:ind w:left="567" w:hanging="567"/>
        <w:jc w:val="both"/>
      </w:pPr>
    </w:p>
    <w:p w:rsidR="006E0E00" w:rsidRPr="00824DBC" w:rsidRDefault="00A44767" w:rsidP="002D56FD">
      <w:pPr>
        <w:spacing w:line="360" w:lineRule="auto"/>
        <w:ind w:left="567" w:hanging="567"/>
        <w:jc w:val="both"/>
      </w:pPr>
      <w:r w:rsidRPr="00824DBC">
        <w:t>5</w:t>
      </w:r>
      <w:r w:rsidR="006E0E00" w:rsidRPr="00824DBC">
        <w:t>.</w:t>
      </w:r>
      <w:r w:rsidR="006E0E00" w:rsidRPr="00824DBC">
        <w:tab/>
        <w:t xml:space="preserve">However, </w:t>
      </w:r>
      <w:r w:rsidR="00AB331B" w:rsidRPr="00824DBC">
        <w:t xml:space="preserve">paragraph EX.1. of Appendix FM </w:t>
      </w:r>
      <w:r w:rsidR="006E0E00" w:rsidRPr="00824DBC">
        <w:t>states that:</w:t>
      </w:r>
    </w:p>
    <w:p w:rsidR="006E0E00" w:rsidRPr="00824DBC" w:rsidRDefault="006E0E00" w:rsidP="002D56FD">
      <w:pPr>
        <w:spacing w:line="360" w:lineRule="auto"/>
        <w:ind w:left="567" w:hanging="567"/>
        <w:jc w:val="both"/>
      </w:pPr>
    </w:p>
    <w:p w:rsidR="006E0E00" w:rsidRPr="00824DBC" w:rsidRDefault="006E0E00" w:rsidP="002D56FD">
      <w:pPr>
        <w:spacing w:line="360" w:lineRule="auto"/>
        <w:ind w:left="567" w:hanging="567"/>
        <w:jc w:val="both"/>
      </w:pPr>
      <w:r w:rsidRPr="00824DBC">
        <w:tab/>
        <w:t>“This paragraph applies if</w:t>
      </w:r>
    </w:p>
    <w:p w:rsidR="006E0E00" w:rsidRPr="00824DBC" w:rsidRDefault="006E0E00" w:rsidP="002D56FD">
      <w:pPr>
        <w:spacing w:line="360" w:lineRule="auto"/>
        <w:ind w:left="567" w:hanging="567"/>
        <w:jc w:val="both"/>
      </w:pPr>
    </w:p>
    <w:p w:rsidR="006E0E00" w:rsidRPr="00824DBC" w:rsidRDefault="006E0E00" w:rsidP="002D56FD">
      <w:pPr>
        <w:spacing w:line="360" w:lineRule="auto"/>
        <w:ind w:left="567" w:hanging="567"/>
        <w:jc w:val="both"/>
      </w:pPr>
      <w:r w:rsidRPr="00824DBC">
        <w:tab/>
        <w:t>(a)</w:t>
      </w:r>
      <w:r w:rsidRPr="00824DBC">
        <w:tab/>
        <w:t>(</w:t>
      </w:r>
      <w:proofErr w:type="spellStart"/>
      <w:r w:rsidRPr="00824DBC">
        <w:t>i</w:t>
      </w:r>
      <w:proofErr w:type="spellEnd"/>
      <w:r w:rsidRPr="00824DBC">
        <w:t>) the applicant has a genuine and subsisting parental relationship with a child who-</w:t>
      </w:r>
    </w:p>
    <w:p w:rsidR="006E0E00" w:rsidRPr="00824DBC" w:rsidRDefault="006E0E00" w:rsidP="002D56FD">
      <w:pPr>
        <w:spacing w:line="360" w:lineRule="auto"/>
        <w:ind w:left="567" w:hanging="567"/>
        <w:jc w:val="both"/>
      </w:pPr>
    </w:p>
    <w:p w:rsidR="006E0E00" w:rsidRPr="00824DBC" w:rsidRDefault="006E0E00" w:rsidP="002D56FD">
      <w:pPr>
        <w:spacing w:line="360" w:lineRule="auto"/>
        <w:ind w:left="567" w:hanging="567"/>
        <w:jc w:val="both"/>
      </w:pPr>
      <w:r w:rsidRPr="00824DBC">
        <w:tab/>
      </w:r>
      <w:r w:rsidRPr="00824DBC">
        <w:tab/>
        <w:t>(aa)</w:t>
      </w:r>
      <w:r w:rsidRPr="00824DBC">
        <w:tab/>
        <w:t xml:space="preserve">is under the </w:t>
      </w:r>
      <w:proofErr w:type="spellStart"/>
      <w:r w:rsidRPr="00824DBC">
        <w:t>ager</w:t>
      </w:r>
      <w:proofErr w:type="spellEnd"/>
      <w:r w:rsidRPr="00824DBC">
        <w:t xml:space="preserve"> of 18…</w:t>
      </w:r>
    </w:p>
    <w:p w:rsidR="006E0E00" w:rsidRPr="00824DBC" w:rsidRDefault="006E0E00" w:rsidP="002D56FD">
      <w:pPr>
        <w:spacing w:line="360" w:lineRule="auto"/>
        <w:ind w:left="567" w:hanging="567"/>
        <w:jc w:val="both"/>
      </w:pPr>
      <w:r w:rsidRPr="00824DBC">
        <w:tab/>
      </w:r>
      <w:r w:rsidRPr="00824DBC">
        <w:tab/>
        <w:t>(bb)</w:t>
      </w:r>
      <w:r w:rsidRPr="00824DBC">
        <w:tab/>
        <w:t>is in the UK;</w:t>
      </w:r>
    </w:p>
    <w:p w:rsidR="00F75148" w:rsidRPr="00824DBC" w:rsidRDefault="006E0E00" w:rsidP="002D56FD">
      <w:pPr>
        <w:spacing w:line="360" w:lineRule="auto"/>
        <w:ind w:left="567" w:hanging="567"/>
        <w:jc w:val="both"/>
      </w:pPr>
      <w:r w:rsidRPr="00824DBC">
        <w:tab/>
      </w:r>
      <w:r w:rsidRPr="00824DBC">
        <w:tab/>
        <w:t>(cc)</w:t>
      </w:r>
      <w:r w:rsidRPr="00824DBC">
        <w:tab/>
        <w:t xml:space="preserve">is a British citizen or has lived in the United Kingdom continuously for at least the </w:t>
      </w:r>
      <w:r w:rsidRPr="00824DBC">
        <w:tab/>
        <w:t>7 years immediately preceding the date of application; and</w:t>
      </w:r>
      <w:r w:rsidR="009C4AE6" w:rsidRPr="00824DBC">
        <w:t xml:space="preserve">. </w:t>
      </w:r>
    </w:p>
    <w:p w:rsidR="006E0E00" w:rsidRPr="00824DBC" w:rsidRDefault="006E0E00" w:rsidP="002D56FD">
      <w:pPr>
        <w:spacing w:line="360" w:lineRule="auto"/>
        <w:ind w:left="567" w:hanging="567"/>
        <w:jc w:val="both"/>
      </w:pPr>
      <w:r w:rsidRPr="00824DBC">
        <w:tab/>
      </w:r>
      <w:r w:rsidRPr="00824DBC">
        <w:tab/>
        <w:t>(ii) it would not be reasonable to expect the chid to leave the UK; or</w:t>
      </w:r>
    </w:p>
    <w:p w:rsidR="006E0E00" w:rsidRPr="00824DBC" w:rsidRDefault="006E0E00" w:rsidP="002D56FD">
      <w:pPr>
        <w:spacing w:line="360" w:lineRule="auto"/>
        <w:ind w:left="567" w:hanging="567"/>
        <w:jc w:val="both"/>
      </w:pPr>
      <w:r w:rsidRPr="00824DBC">
        <w:tab/>
        <w:t>(b)</w:t>
      </w:r>
      <w:r w:rsidRPr="00824DBC">
        <w:tab/>
        <w:t xml:space="preserve">the applicant has a genuine and subsisting relationship with a partner who is in the UK </w:t>
      </w:r>
      <w:r w:rsidRPr="00824DBC">
        <w:tab/>
        <w:t xml:space="preserve">and is a British citizen, settled in the UK or in the UK with refugee leave or humanitarian </w:t>
      </w:r>
      <w:r w:rsidRPr="00824DBC">
        <w:lastRenderedPageBreak/>
        <w:tab/>
        <w:t xml:space="preserve">protection and there are insurmountable obstacles to family life continuing outside the </w:t>
      </w:r>
      <w:r w:rsidRPr="00824DBC">
        <w:tab/>
        <w:t>UK”.</w:t>
      </w:r>
    </w:p>
    <w:p w:rsidR="003A447D" w:rsidRPr="00824DBC" w:rsidRDefault="003A447D" w:rsidP="002D56FD">
      <w:pPr>
        <w:spacing w:line="360" w:lineRule="auto"/>
        <w:ind w:left="567" w:hanging="567"/>
        <w:jc w:val="both"/>
      </w:pPr>
    </w:p>
    <w:p w:rsidR="003A447D" w:rsidRPr="00824DBC" w:rsidRDefault="003A447D" w:rsidP="002D56FD">
      <w:pPr>
        <w:spacing w:line="360" w:lineRule="auto"/>
        <w:ind w:left="567" w:hanging="567"/>
        <w:jc w:val="both"/>
      </w:pPr>
      <w:r w:rsidRPr="00824DBC">
        <w:t>6.</w:t>
      </w:r>
      <w:r w:rsidRPr="00824DBC">
        <w:tab/>
      </w:r>
      <w:r w:rsidR="006E0E00" w:rsidRPr="00824DBC">
        <w:t xml:space="preserve">In his decision letter the Respondent failed to apply EX.1. correctly in relation to the relationship which the Appellant may have with his </w:t>
      </w:r>
      <w:r w:rsidR="000041C8" w:rsidRPr="00824DBC">
        <w:t>British children.</w:t>
      </w:r>
      <w:r w:rsidR="00C61C6A" w:rsidRPr="00824DBC">
        <w:t xml:space="preserve"> Instead, he found that EX.1. could not apply as the Appellant did not have sole parental responsibility for his daughter.  This is clearly not part of the test in paragraph EX.1.</w:t>
      </w:r>
    </w:p>
    <w:p w:rsidR="00C61C6A" w:rsidRPr="00824DBC" w:rsidRDefault="00C61C6A" w:rsidP="002D56FD">
      <w:pPr>
        <w:spacing w:line="360" w:lineRule="auto"/>
        <w:ind w:left="567" w:hanging="567"/>
        <w:jc w:val="both"/>
      </w:pPr>
    </w:p>
    <w:p w:rsidR="00C61C6A" w:rsidRPr="00824DBC" w:rsidRDefault="00C61C6A" w:rsidP="002D56FD">
      <w:pPr>
        <w:spacing w:line="360" w:lineRule="auto"/>
        <w:ind w:left="567" w:hanging="567"/>
        <w:jc w:val="both"/>
        <w:rPr>
          <w:b/>
        </w:rPr>
      </w:pPr>
      <w:r w:rsidRPr="00824DBC">
        <w:t>7.</w:t>
      </w:r>
      <w:r w:rsidRPr="00824DBC">
        <w:tab/>
      </w:r>
      <w:r w:rsidR="00AF27B5" w:rsidRPr="00824DBC">
        <w:t>The Respondent a</w:t>
      </w:r>
      <w:r w:rsidRPr="00824DBC">
        <w:t>lso failed to even consider whether the Appellant had a genuine and subsisting parental relationship with</w:t>
      </w:r>
      <w:r w:rsidR="00AF27B5" w:rsidRPr="00824DBC">
        <w:t xml:space="preserve"> the </w:t>
      </w:r>
      <w:r w:rsidR="00A44767" w:rsidRPr="00824DBC">
        <w:t>child</w:t>
      </w:r>
      <w:r w:rsidR="00AF27B5" w:rsidRPr="00824DBC">
        <w:t>, whose birth certificate did not list him as the father</w:t>
      </w:r>
      <w:r w:rsidR="00A44767" w:rsidRPr="00824DBC">
        <w:t>.</w:t>
      </w:r>
    </w:p>
    <w:p w:rsidR="00C61C6A" w:rsidRPr="00824DBC" w:rsidRDefault="00C61C6A" w:rsidP="002D56FD">
      <w:pPr>
        <w:spacing w:line="360" w:lineRule="auto"/>
        <w:ind w:left="567" w:hanging="567"/>
        <w:jc w:val="both"/>
      </w:pPr>
    </w:p>
    <w:p w:rsidR="00C61C6A" w:rsidRPr="00824DBC" w:rsidRDefault="00C61C6A" w:rsidP="002D56FD">
      <w:pPr>
        <w:spacing w:line="360" w:lineRule="auto"/>
        <w:ind w:left="567" w:hanging="567"/>
        <w:jc w:val="both"/>
      </w:pPr>
      <w:r w:rsidRPr="00824DBC">
        <w:t>8.</w:t>
      </w:r>
      <w:r w:rsidRPr="00824DBC">
        <w:tab/>
        <w:t xml:space="preserve">When dealing with the best interests of the children under the heading </w:t>
      </w:r>
      <w:r w:rsidRPr="00824DBC">
        <w:rPr>
          <w:b/>
        </w:rPr>
        <w:t xml:space="preserve">Decision on Exceptional Circumstances </w:t>
      </w:r>
      <w:r w:rsidRPr="00824DBC">
        <w:t>the Respondent went no further that asserting that “it is generally accepted that the best interests of a child whose parent are facing removal from the UK are best served by that child remaining with the other parent”.</w:t>
      </w:r>
    </w:p>
    <w:p w:rsidR="00A44767" w:rsidRPr="00824DBC" w:rsidRDefault="00A44767" w:rsidP="002D56FD">
      <w:pPr>
        <w:spacing w:line="360" w:lineRule="auto"/>
        <w:ind w:left="567" w:hanging="567"/>
        <w:jc w:val="both"/>
      </w:pPr>
    </w:p>
    <w:p w:rsidR="00A44767" w:rsidRPr="00824DBC" w:rsidRDefault="00A44767" w:rsidP="002D56FD">
      <w:pPr>
        <w:spacing w:line="360" w:lineRule="auto"/>
        <w:ind w:left="567" w:hanging="567"/>
        <w:jc w:val="both"/>
      </w:pPr>
      <w:r w:rsidRPr="00824DBC">
        <w:t>9.</w:t>
      </w:r>
      <w:r w:rsidRPr="00824DBC">
        <w:tab/>
        <w:t xml:space="preserve">In his grounds of </w:t>
      </w:r>
      <w:proofErr w:type="gramStart"/>
      <w:r w:rsidRPr="00824DBC">
        <w:t>appeal</w:t>
      </w:r>
      <w:proofErr w:type="gramEnd"/>
      <w:r w:rsidRPr="00824DBC">
        <w:t xml:space="preserve"> the Appellant challenged the refusal on the basis that the had a genuine and subsisting parental relationship with </w:t>
      </w:r>
      <w:r w:rsidR="00AF27B5" w:rsidRPr="00824DBC">
        <w:t xml:space="preserve">his British </w:t>
      </w:r>
      <w:r w:rsidRPr="00824DBC">
        <w:t xml:space="preserve">children and also a genuine and subsisting relationship with his </w:t>
      </w:r>
      <w:r w:rsidR="00AF27B5" w:rsidRPr="00824DBC">
        <w:t xml:space="preserve">British </w:t>
      </w:r>
      <w:r w:rsidRPr="00824DBC">
        <w:t>partner. He also requested an oral hearing.</w:t>
      </w:r>
    </w:p>
    <w:p w:rsidR="003A447D" w:rsidRPr="00824DBC" w:rsidRDefault="003A447D" w:rsidP="002D56FD">
      <w:pPr>
        <w:spacing w:line="360" w:lineRule="auto"/>
        <w:ind w:left="567" w:hanging="567"/>
        <w:jc w:val="both"/>
      </w:pPr>
    </w:p>
    <w:p w:rsidR="003A447D" w:rsidRPr="00824DBC" w:rsidRDefault="00A44767" w:rsidP="00A44767">
      <w:pPr>
        <w:spacing w:line="360" w:lineRule="auto"/>
        <w:ind w:left="567" w:hanging="567"/>
        <w:jc w:val="both"/>
      </w:pPr>
      <w:r w:rsidRPr="00824DBC">
        <w:t>10</w:t>
      </w:r>
      <w:r w:rsidR="003A447D" w:rsidRPr="00824DBC">
        <w:t>.</w:t>
      </w:r>
      <w:r w:rsidR="003A447D" w:rsidRPr="00824DBC">
        <w:tab/>
      </w:r>
      <w:r w:rsidRPr="00824DBC">
        <w:t xml:space="preserve">The Appellant’s appeal was heard on the papers after the Appellant’s solicitors wrote to the </w:t>
      </w:r>
      <w:r w:rsidR="0022735C" w:rsidRPr="00824DBC">
        <w:t>Tribunal on 13 March 2018 asking for the appeal to be heard on the papers.</w:t>
      </w:r>
      <w:r w:rsidR="00AF27B5" w:rsidRPr="00824DBC">
        <w:t xml:space="preserve"> Before me the Appellant asserted that his second solicitor had told him that he and his partner did not have to attend the hearing. </w:t>
      </w:r>
      <w:r w:rsidR="0022735C" w:rsidRPr="00824DBC">
        <w:rPr>
          <w:b/>
        </w:rPr>
        <w:t xml:space="preserve"> </w:t>
      </w:r>
      <w:r w:rsidR="00884B84" w:rsidRPr="00824DBC">
        <w:t xml:space="preserve">It was the Respondent’s case that the Appellant would have been aware that he and his partner needed to attend after reading the refusal letter.  However, the Appellant does not appear to have been represented by very conscientious solicitors and further documentary evidence had been submitted on his behalf. Therefore, it is possible that he did not understand the importance of an oral hearing. </w:t>
      </w:r>
    </w:p>
    <w:p w:rsidR="0022735C" w:rsidRPr="00824DBC" w:rsidRDefault="0022735C" w:rsidP="00A44767">
      <w:pPr>
        <w:spacing w:line="360" w:lineRule="auto"/>
        <w:ind w:left="567" w:hanging="567"/>
        <w:jc w:val="both"/>
        <w:rPr>
          <w:b/>
        </w:rPr>
      </w:pPr>
    </w:p>
    <w:p w:rsidR="0022735C" w:rsidRPr="00824DBC" w:rsidRDefault="0022735C" w:rsidP="00A44767">
      <w:pPr>
        <w:spacing w:line="360" w:lineRule="auto"/>
        <w:ind w:left="567" w:hanging="567"/>
        <w:jc w:val="both"/>
      </w:pPr>
      <w:r w:rsidRPr="00824DBC">
        <w:t>11.</w:t>
      </w:r>
      <w:r w:rsidRPr="00824DBC">
        <w:tab/>
        <w:t xml:space="preserve">The First-tier Tribunal Judge referred to various official documents addressed to the Appellant and his </w:t>
      </w:r>
      <w:r w:rsidR="00884B84" w:rsidRPr="00824DBC">
        <w:t>partner</w:t>
      </w:r>
      <w:r w:rsidRPr="00824DBC">
        <w:t xml:space="preserve"> at the same address between 2016 and 2018 and some photographs but found in paragraph 13 of his decision that “the evidence submitted by the Appellant suffers from multiple problems, and in many ways give rise to more questions than answers”.</w:t>
      </w:r>
    </w:p>
    <w:p w:rsidR="009C2E3A" w:rsidRPr="00824DBC" w:rsidRDefault="009C2E3A" w:rsidP="00A44767">
      <w:pPr>
        <w:spacing w:line="360" w:lineRule="auto"/>
        <w:ind w:left="567" w:hanging="567"/>
        <w:jc w:val="both"/>
      </w:pPr>
    </w:p>
    <w:p w:rsidR="009C2E3A" w:rsidRPr="00824DBC" w:rsidRDefault="009C2E3A" w:rsidP="00A44767">
      <w:pPr>
        <w:spacing w:line="360" w:lineRule="auto"/>
        <w:ind w:left="567" w:hanging="567"/>
        <w:jc w:val="both"/>
      </w:pPr>
      <w:r w:rsidRPr="00824DBC">
        <w:lastRenderedPageBreak/>
        <w:t>12.</w:t>
      </w:r>
      <w:r w:rsidRPr="00824DBC">
        <w:tab/>
      </w:r>
      <w:r w:rsidR="00884B84" w:rsidRPr="00824DBC">
        <w:t xml:space="preserve">The First-tier Tribunal Judge did not </w:t>
      </w:r>
      <w:r w:rsidRPr="00824DBC">
        <w:t xml:space="preserve">go on to </w:t>
      </w:r>
      <w:proofErr w:type="gramStart"/>
      <w:r w:rsidRPr="00824DBC">
        <w:t>make a decision</w:t>
      </w:r>
      <w:proofErr w:type="gramEnd"/>
      <w:r w:rsidRPr="00824DBC">
        <w:t xml:space="preserve"> as </w:t>
      </w:r>
      <w:r w:rsidR="00884B84" w:rsidRPr="00824DBC">
        <w:t xml:space="preserve">whether there was or was not a genuine and subsisting relationship </w:t>
      </w:r>
      <w:r w:rsidRPr="00824DBC">
        <w:t>between the Appellant and his partner</w:t>
      </w:r>
      <w:r w:rsidR="00660F1A" w:rsidRPr="00824DBC">
        <w:t xml:space="preserve"> under EX.1.</w:t>
      </w:r>
      <w:r w:rsidRPr="00824DBC">
        <w:t xml:space="preserve"> This gives rise to an issue of procedural fairness</w:t>
      </w:r>
      <w:r w:rsidR="00884B84" w:rsidRPr="00824DBC">
        <w:t>,</w:t>
      </w:r>
      <w:r w:rsidRPr="00824DBC">
        <w:t xml:space="preserve"> as the Appellant is entitled at common law to know the case being made against him and against which he may appeal.  Rule</w:t>
      </w:r>
      <w:r w:rsidR="00F949E3" w:rsidRPr="00824DBC">
        <w:t xml:space="preserve"> </w:t>
      </w:r>
      <w:r w:rsidRPr="00824DBC">
        <w:t xml:space="preserve">2 of The Tribunal Procedure (First-tier Tribunal) (Immigration and Asylum Chamber) Rules 2014 </w:t>
      </w:r>
      <w:r w:rsidR="00F10129" w:rsidRPr="00824DBC">
        <w:t xml:space="preserve">(“the Procedure Rules”) </w:t>
      </w:r>
      <w:r w:rsidRPr="00824DBC">
        <w:t>states that:</w:t>
      </w:r>
    </w:p>
    <w:p w:rsidR="009C2E3A" w:rsidRPr="00824DBC" w:rsidRDefault="009C2E3A" w:rsidP="00A44767">
      <w:pPr>
        <w:spacing w:line="360" w:lineRule="auto"/>
        <w:ind w:left="567" w:hanging="567"/>
        <w:jc w:val="both"/>
      </w:pPr>
    </w:p>
    <w:p w:rsidR="009C2E3A" w:rsidRPr="00824DBC" w:rsidRDefault="009C2E3A" w:rsidP="00A44767">
      <w:pPr>
        <w:spacing w:line="360" w:lineRule="auto"/>
        <w:ind w:left="567" w:hanging="567"/>
        <w:jc w:val="both"/>
      </w:pPr>
      <w:r w:rsidRPr="00824DBC">
        <w:tab/>
        <w:t xml:space="preserve">“(1) The overriding objective of these Rules is to enable the Tribunal to deal with cases fairly </w:t>
      </w:r>
      <w:r w:rsidRPr="00824DBC">
        <w:tab/>
        <w:t>and justly.</w:t>
      </w:r>
    </w:p>
    <w:p w:rsidR="009C2E3A" w:rsidRPr="00824DBC" w:rsidRDefault="009C2E3A" w:rsidP="00A44767">
      <w:pPr>
        <w:spacing w:line="360" w:lineRule="auto"/>
        <w:ind w:left="567" w:hanging="567"/>
        <w:jc w:val="both"/>
      </w:pPr>
    </w:p>
    <w:p w:rsidR="009C2E3A" w:rsidRPr="00824DBC" w:rsidRDefault="009C2E3A" w:rsidP="00A44767">
      <w:pPr>
        <w:spacing w:line="360" w:lineRule="auto"/>
        <w:ind w:left="567" w:hanging="567"/>
        <w:jc w:val="both"/>
      </w:pPr>
      <w:r w:rsidRPr="00824DBC">
        <w:tab/>
        <w:t>(2)  Dealing with a case fairly and justly includes-</w:t>
      </w:r>
    </w:p>
    <w:p w:rsidR="003A447D" w:rsidRPr="00824DBC" w:rsidRDefault="009C2E3A" w:rsidP="002D56FD">
      <w:pPr>
        <w:spacing w:line="360" w:lineRule="auto"/>
        <w:ind w:left="567" w:hanging="567"/>
        <w:jc w:val="both"/>
      </w:pPr>
      <w:r w:rsidRPr="00824DBC">
        <w:tab/>
        <w:t>…</w:t>
      </w:r>
    </w:p>
    <w:p w:rsidR="009C2E3A" w:rsidRPr="00824DBC" w:rsidRDefault="009C2E3A" w:rsidP="002D56FD">
      <w:pPr>
        <w:spacing w:line="360" w:lineRule="auto"/>
        <w:ind w:left="567" w:hanging="567"/>
        <w:jc w:val="both"/>
      </w:pPr>
      <w:r w:rsidRPr="00824DBC">
        <w:tab/>
        <w:t>(c)</w:t>
      </w:r>
      <w:r w:rsidRPr="00824DBC">
        <w:tab/>
        <w:t xml:space="preserve">ensuring, so far as practicable, that the parties are able to participate fully in the </w:t>
      </w:r>
      <w:r w:rsidRPr="00824DBC">
        <w:tab/>
        <w:t>proceedings”.</w:t>
      </w:r>
    </w:p>
    <w:p w:rsidR="009C2E3A" w:rsidRPr="00824DBC" w:rsidRDefault="009C2E3A" w:rsidP="002D56FD">
      <w:pPr>
        <w:spacing w:line="360" w:lineRule="auto"/>
        <w:ind w:left="567" w:hanging="567"/>
        <w:jc w:val="both"/>
      </w:pPr>
    </w:p>
    <w:p w:rsidR="00F10129" w:rsidRPr="00824DBC" w:rsidRDefault="009C2E3A" w:rsidP="002D56FD">
      <w:pPr>
        <w:spacing w:line="360" w:lineRule="auto"/>
        <w:ind w:left="567" w:hanging="567"/>
        <w:jc w:val="both"/>
      </w:pPr>
      <w:r w:rsidRPr="00824DBC">
        <w:t>13.</w:t>
      </w:r>
      <w:r w:rsidRPr="00824DBC">
        <w:tab/>
        <w:t xml:space="preserve">It is arguable that if the First-tier Tribunal Judge did not have sufficient material on which to reach a decision, he should have used his powers under Rule 4(3)(h) </w:t>
      </w:r>
      <w:r w:rsidR="00F10129" w:rsidRPr="00824DBC">
        <w:t xml:space="preserve">of the Procedure Rules </w:t>
      </w:r>
      <w:r w:rsidRPr="00824DBC">
        <w:t>to adjourn the hearing and his powers under Rule 4(3)(f) to hold a hearing to consider any matter</w:t>
      </w:r>
      <w:r w:rsidR="00F10129" w:rsidRPr="00824DBC">
        <w:t>.</w:t>
      </w:r>
    </w:p>
    <w:p w:rsidR="00F10129" w:rsidRPr="00824DBC" w:rsidRDefault="00F10129" w:rsidP="002D56FD">
      <w:pPr>
        <w:spacing w:line="360" w:lineRule="auto"/>
        <w:ind w:left="567" w:hanging="567"/>
        <w:jc w:val="both"/>
      </w:pPr>
    </w:p>
    <w:p w:rsidR="00F10129" w:rsidRPr="00824DBC" w:rsidRDefault="00F10129" w:rsidP="002D56FD">
      <w:pPr>
        <w:spacing w:line="360" w:lineRule="auto"/>
        <w:ind w:left="567" w:hanging="567"/>
        <w:jc w:val="both"/>
      </w:pPr>
      <w:r w:rsidRPr="00824DBC">
        <w:t>14.</w:t>
      </w:r>
      <w:r w:rsidRPr="00824DBC">
        <w:tab/>
        <w:t xml:space="preserve">This is particularly the case as the </w:t>
      </w:r>
      <w:proofErr w:type="gramStart"/>
      <w:r w:rsidRPr="00824DBC">
        <w:t>manner in which</w:t>
      </w:r>
      <w:proofErr w:type="gramEnd"/>
      <w:r w:rsidRPr="00824DBC">
        <w:t xml:space="preserve"> First-tier Tribunal Judge </w:t>
      </w:r>
      <w:proofErr w:type="spellStart"/>
      <w:r w:rsidRPr="00824DBC">
        <w:t>Anstis</w:t>
      </w:r>
      <w:proofErr w:type="spellEnd"/>
      <w:r w:rsidRPr="00824DBC">
        <w:t xml:space="preserve"> dealt with EX.1. in relation to the Appellant’s British children was far from satisfactory. In paragraph 15 of his decision he did not appear to consider that EX.1. may apply but went on to consider the</w:t>
      </w:r>
      <w:r w:rsidR="00F949E3" w:rsidRPr="00824DBC">
        <w:t>ir</w:t>
      </w:r>
      <w:r w:rsidRPr="00824DBC">
        <w:t xml:space="preserve"> </w:t>
      </w:r>
      <w:r w:rsidR="00F949E3" w:rsidRPr="00824DBC">
        <w:t xml:space="preserve">circumstances </w:t>
      </w:r>
      <w:r w:rsidRPr="00824DBC">
        <w:t xml:space="preserve">outside the Immigration Rules under Article 8 of the ECHR, having found in paragraph 14 that “there is really nothing of substance from which I can derive any proper indication of his present relationship with his children”. He did not </w:t>
      </w:r>
      <w:proofErr w:type="gramStart"/>
      <w:r w:rsidRPr="00824DBC">
        <w:t>take into account</w:t>
      </w:r>
      <w:proofErr w:type="gramEnd"/>
      <w:r w:rsidRPr="00824DBC">
        <w:t xml:space="preserve"> the birth certificates, the evidence of cohabitation and the very young ages of the children. </w:t>
      </w:r>
      <w:r w:rsidR="00884B84" w:rsidRPr="00824DBC">
        <w:t xml:space="preserve">He also did not </w:t>
      </w:r>
      <w:proofErr w:type="gramStart"/>
      <w:r w:rsidR="00884B84" w:rsidRPr="00824DBC">
        <w:t>take into account</w:t>
      </w:r>
      <w:proofErr w:type="gramEnd"/>
      <w:r w:rsidR="00884B84" w:rsidRPr="00824DBC">
        <w:t xml:space="preserve"> the fact that, even if the Appellant was not in a genuine and subsisting relationship with their mother, the Appellant may have genuine and subsisting parental relationship with his children, who were British citizens living in the United Kingdom.</w:t>
      </w:r>
    </w:p>
    <w:p w:rsidR="00F10129" w:rsidRPr="00824DBC" w:rsidRDefault="00F10129" w:rsidP="002D56FD">
      <w:pPr>
        <w:spacing w:line="360" w:lineRule="auto"/>
        <w:ind w:left="567" w:hanging="567"/>
        <w:jc w:val="both"/>
      </w:pPr>
    </w:p>
    <w:p w:rsidR="00F10129" w:rsidRPr="00824DBC" w:rsidRDefault="00F10129" w:rsidP="002D56FD">
      <w:pPr>
        <w:spacing w:line="360" w:lineRule="auto"/>
        <w:ind w:left="567" w:hanging="567"/>
        <w:jc w:val="both"/>
      </w:pPr>
      <w:r w:rsidRPr="00824DBC">
        <w:t>15.</w:t>
      </w:r>
      <w:r w:rsidRPr="00824DBC">
        <w:tab/>
        <w:t>Paragraph 15 also begins with the assertion that “the Appellant’s first task in this appeal is to demonstrate that he has a right of appeal”. It is clear from the papers that the Appellant had a right of appeal and had exercised it. It may be that the First-tier Judge meant to refer to a need to demonstrate a right to family life for the purposes of Article 8.1 but</w:t>
      </w:r>
      <w:r w:rsidR="00F949E3" w:rsidRPr="00824DBC">
        <w:t>,</w:t>
      </w:r>
      <w:r w:rsidRPr="00824DBC">
        <w:t xml:space="preserve"> if this is the case</w:t>
      </w:r>
      <w:r w:rsidR="00F949E3" w:rsidRPr="00824DBC">
        <w:t>,</w:t>
      </w:r>
      <w:r w:rsidRPr="00824DBC">
        <w:t xml:space="preserve"> he did </w:t>
      </w:r>
      <w:r w:rsidRPr="00824DBC">
        <w:lastRenderedPageBreak/>
        <w:t>not address this issue in any detail before saying “I am prepared to assume in his favour that he has”.</w:t>
      </w:r>
    </w:p>
    <w:p w:rsidR="00F10129" w:rsidRPr="00824DBC" w:rsidRDefault="00F10129" w:rsidP="002D56FD">
      <w:pPr>
        <w:spacing w:line="360" w:lineRule="auto"/>
        <w:ind w:left="567" w:hanging="567"/>
        <w:jc w:val="both"/>
      </w:pPr>
    </w:p>
    <w:p w:rsidR="009C2E3A" w:rsidRPr="00824DBC" w:rsidRDefault="00F10129" w:rsidP="002D56FD">
      <w:pPr>
        <w:spacing w:line="360" w:lineRule="auto"/>
        <w:ind w:left="567" w:hanging="567"/>
        <w:jc w:val="both"/>
      </w:pPr>
      <w:r w:rsidRPr="00824DBC">
        <w:t>1</w:t>
      </w:r>
      <w:r w:rsidR="00884B84" w:rsidRPr="00824DBC">
        <w:t>6</w:t>
      </w:r>
      <w:r w:rsidRPr="00824DBC">
        <w:t>.</w:t>
      </w:r>
      <w:r w:rsidRPr="00824DBC">
        <w:tab/>
        <w:t xml:space="preserve">The rest of the paragraph appears to deal with proportionality for the purposes of Article 8.2 of the ECHR and he finds that the Appellant does not meet the Immigration Rules in the middle of this paragraph. However, he does not make clear </w:t>
      </w:r>
      <w:r w:rsidR="00884B84" w:rsidRPr="00824DBC">
        <w:t>which</w:t>
      </w:r>
      <w:r w:rsidRPr="00824DBC">
        <w:t xml:space="preserve"> Immigration Rule he is referring to </w:t>
      </w:r>
      <w:r w:rsidR="00884B84" w:rsidRPr="00824DBC">
        <w:t xml:space="preserve">and </w:t>
      </w:r>
      <w:r w:rsidR="00660F1A" w:rsidRPr="00824DBC">
        <w:t xml:space="preserve">nowhere in the decision does he </w:t>
      </w:r>
      <w:r w:rsidR="00884B84" w:rsidRPr="00824DBC">
        <w:t xml:space="preserve">clarify this or </w:t>
      </w:r>
      <w:r w:rsidR="00660F1A" w:rsidRPr="00824DBC">
        <w:t>address EX.1.in any detail.</w:t>
      </w:r>
    </w:p>
    <w:p w:rsidR="00660F1A" w:rsidRPr="00824DBC" w:rsidRDefault="00660F1A" w:rsidP="002D56FD">
      <w:pPr>
        <w:spacing w:line="360" w:lineRule="auto"/>
        <w:ind w:left="567" w:hanging="567"/>
        <w:jc w:val="both"/>
      </w:pPr>
    </w:p>
    <w:p w:rsidR="00660F1A" w:rsidRPr="00824DBC" w:rsidRDefault="00660F1A" w:rsidP="002D56FD">
      <w:pPr>
        <w:spacing w:line="360" w:lineRule="auto"/>
        <w:ind w:left="567" w:hanging="567"/>
        <w:jc w:val="both"/>
      </w:pPr>
      <w:r w:rsidRPr="00824DBC">
        <w:t>1</w:t>
      </w:r>
      <w:r w:rsidR="00884B84" w:rsidRPr="00824DBC">
        <w:t>7</w:t>
      </w:r>
      <w:r w:rsidRPr="00824DBC">
        <w:t>.</w:t>
      </w:r>
      <w:r w:rsidRPr="00824DBC">
        <w:tab/>
        <w:t xml:space="preserve">He also found in that paragraph that there was insufficient material before him to conclude that any </w:t>
      </w:r>
      <w:proofErr w:type="gramStart"/>
      <w:r w:rsidRPr="00824DBC">
        <w:t>particular action</w:t>
      </w:r>
      <w:proofErr w:type="gramEnd"/>
      <w:r w:rsidRPr="00824DBC">
        <w:t xml:space="preserve"> was in the best interests of the children in this case. Therefore, he failed to consider the children’s best interests as a primary </w:t>
      </w:r>
      <w:r w:rsidR="00884B84" w:rsidRPr="00824DBC">
        <w:t xml:space="preserve">consideration, even on the limited evidence before him. </w:t>
      </w:r>
    </w:p>
    <w:p w:rsidR="00660F1A" w:rsidRPr="00824DBC" w:rsidRDefault="00660F1A" w:rsidP="002D56FD">
      <w:pPr>
        <w:spacing w:line="360" w:lineRule="auto"/>
        <w:ind w:left="567" w:hanging="567"/>
        <w:jc w:val="both"/>
      </w:pPr>
    </w:p>
    <w:p w:rsidR="00660F1A" w:rsidRPr="00824DBC" w:rsidRDefault="00660F1A" w:rsidP="002D56FD">
      <w:pPr>
        <w:spacing w:line="360" w:lineRule="auto"/>
        <w:ind w:left="567" w:hanging="567"/>
        <w:jc w:val="both"/>
      </w:pPr>
      <w:r w:rsidRPr="00824DBC">
        <w:t>1</w:t>
      </w:r>
      <w:r w:rsidR="00884B84" w:rsidRPr="00824DBC">
        <w:t>8</w:t>
      </w:r>
      <w:r w:rsidRPr="00824DBC">
        <w:t>.</w:t>
      </w:r>
      <w:r w:rsidRPr="00824DBC">
        <w:tab/>
        <w:t xml:space="preserve">In </w:t>
      </w:r>
      <w:r w:rsidR="00B44F61" w:rsidRPr="00824DBC">
        <w:rPr>
          <w:i/>
        </w:rPr>
        <w:t xml:space="preserve">JO and Others (s55 duty) Nigeria </w:t>
      </w:r>
      <w:r w:rsidR="00B44F61" w:rsidRPr="00824DBC">
        <w:t>[2014] UKUT 00517 (IAC) the Upper Tribunal found that:</w:t>
      </w:r>
    </w:p>
    <w:p w:rsidR="00B44F61" w:rsidRPr="00824DBC" w:rsidRDefault="00B44F61" w:rsidP="002D56FD">
      <w:pPr>
        <w:spacing w:line="360" w:lineRule="auto"/>
        <w:ind w:left="567" w:hanging="567"/>
        <w:jc w:val="both"/>
      </w:pPr>
    </w:p>
    <w:p w:rsidR="00660F1A" w:rsidRPr="00824DBC" w:rsidRDefault="00660F1A" w:rsidP="009859B3">
      <w:pPr>
        <w:numPr>
          <w:ilvl w:val="0"/>
          <w:numId w:val="9"/>
        </w:numPr>
        <w:suppressAutoHyphens/>
        <w:spacing w:line="360" w:lineRule="auto"/>
        <w:jc w:val="both"/>
      </w:pPr>
      <w:bookmarkStart w:id="0" w:name="_GoBack"/>
      <w:bookmarkEnd w:id="0"/>
      <w:r w:rsidRPr="00824DBC">
        <w:t>The duty imposed by section 55 of the Borders Citizenship and Immigration Act 2009 requires the decision-maker to be properly informed of the position of a child affected by the discharge of an immigration etc function. Thus equipped, the decision maker must conduct a careful examination of all relevant information and factors.</w:t>
      </w:r>
    </w:p>
    <w:p w:rsidR="00660F1A" w:rsidRPr="00824DBC" w:rsidRDefault="00660F1A" w:rsidP="009859B3">
      <w:pPr>
        <w:spacing w:line="360" w:lineRule="auto"/>
        <w:jc w:val="both"/>
      </w:pPr>
    </w:p>
    <w:p w:rsidR="00660F1A" w:rsidRPr="00824DBC" w:rsidRDefault="00660F1A" w:rsidP="009859B3">
      <w:pPr>
        <w:numPr>
          <w:ilvl w:val="0"/>
          <w:numId w:val="9"/>
        </w:numPr>
        <w:suppressAutoHyphens/>
        <w:spacing w:line="360" w:lineRule="auto"/>
        <w:jc w:val="both"/>
      </w:pPr>
      <w:r w:rsidRPr="00824DBC">
        <w:t xml:space="preserve">Being adequately informed and conducting a scrupulous analysis are elementary prerequisites to the inter-related tasks of identifying the child’s best interests and then balancing them with other material considerations. </w:t>
      </w:r>
    </w:p>
    <w:p w:rsidR="00660F1A" w:rsidRPr="00824DBC" w:rsidRDefault="00660F1A" w:rsidP="009859B3">
      <w:pPr>
        <w:spacing w:line="360" w:lineRule="auto"/>
        <w:jc w:val="both"/>
      </w:pPr>
    </w:p>
    <w:p w:rsidR="00660F1A" w:rsidRPr="00824DBC" w:rsidRDefault="00660F1A" w:rsidP="009859B3">
      <w:pPr>
        <w:numPr>
          <w:ilvl w:val="0"/>
          <w:numId w:val="9"/>
        </w:numPr>
        <w:suppressAutoHyphens/>
        <w:spacing w:line="360" w:lineRule="auto"/>
        <w:jc w:val="both"/>
        <w:rPr>
          <w:i/>
        </w:rPr>
      </w:pPr>
      <w:r w:rsidRPr="00824DBC">
        <w:t>The question whether the duties imposed by section 55 have been duly performed in any given case will invariably be an intensely fact sensitive and contextual one. In the real world of litigation, the tools available to the court or tribunal considering this question will frequently be confined to the application or submission made to Secretary of State and the ultimate letter of decision</w:t>
      </w:r>
      <w:r w:rsidRPr="00824DBC">
        <w:rPr>
          <w:i/>
        </w:rPr>
        <w:t>.</w:t>
      </w:r>
    </w:p>
    <w:p w:rsidR="00B44F61" w:rsidRPr="00824DBC" w:rsidRDefault="00B44F61" w:rsidP="009859B3">
      <w:pPr>
        <w:suppressAutoHyphens/>
        <w:spacing w:line="360" w:lineRule="auto"/>
        <w:jc w:val="both"/>
        <w:rPr>
          <w:i/>
        </w:rPr>
      </w:pPr>
    </w:p>
    <w:p w:rsidR="00884B84" w:rsidRPr="00824DBC" w:rsidRDefault="00B44F61" w:rsidP="009859B3">
      <w:pPr>
        <w:suppressAutoHyphens/>
        <w:spacing w:line="360" w:lineRule="auto"/>
        <w:ind w:left="567" w:hanging="567"/>
        <w:jc w:val="both"/>
      </w:pPr>
      <w:r w:rsidRPr="00824DBC">
        <w:t>1</w:t>
      </w:r>
      <w:r w:rsidR="00884B84" w:rsidRPr="00824DBC">
        <w:t>9</w:t>
      </w:r>
      <w:r w:rsidRPr="00824DBC">
        <w:t>.</w:t>
      </w:r>
      <w:r w:rsidRPr="00824DBC">
        <w:tab/>
      </w:r>
      <w:r w:rsidR="00884B84" w:rsidRPr="00824DBC">
        <w:t xml:space="preserve">However, this did not preclude the First-tier Tribunal Judge from </w:t>
      </w:r>
      <w:r w:rsidR="009859B3" w:rsidRPr="00824DBC">
        <w:t xml:space="preserve">directing that an oral hearing was appropriate </w:t>
      </w:r>
      <w:proofErr w:type="gramStart"/>
      <w:r w:rsidR="009859B3" w:rsidRPr="00824DBC">
        <w:t>in order to</w:t>
      </w:r>
      <w:proofErr w:type="gramEnd"/>
      <w:r w:rsidR="009859B3" w:rsidRPr="00824DBC">
        <w:t xml:space="preserve"> obtain further oral evidence from the children’s parents. </w:t>
      </w:r>
    </w:p>
    <w:p w:rsidR="00884B84" w:rsidRPr="00824DBC" w:rsidRDefault="00884B84" w:rsidP="009859B3">
      <w:pPr>
        <w:suppressAutoHyphens/>
        <w:spacing w:line="360" w:lineRule="auto"/>
        <w:ind w:left="567" w:hanging="567"/>
        <w:jc w:val="both"/>
      </w:pPr>
    </w:p>
    <w:p w:rsidR="00B44F61" w:rsidRPr="00824DBC" w:rsidRDefault="009859B3" w:rsidP="009859B3">
      <w:pPr>
        <w:suppressAutoHyphens/>
        <w:spacing w:line="360" w:lineRule="auto"/>
        <w:ind w:left="567" w:hanging="567"/>
        <w:jc w:val="both"/>
      </w:pPr>
      <w:r w:rsidRPr="00824DBC">
        <w:lastRenderedPageBreak/>
        <w:t>20.</w:t>
      </w:r>
      <w:r w:rsidRPr="00824DBC">
        <w:tab/>
      </w:r>
      <w:r w:rsidR="00B44F61" w:rsidRPr="00824DBC">
        <w:t>Therefore, it is arguable that the First-tier Tribunal should have adjourned the hearing and set it down for an oral hearing.</w:t>
      </w:r>
    </w:p>
    <w:p w:rsidR="00660F1A" w:rsidRPr="00824DBC" w:rsidRDefault="00660F1A" w:rsidP="009859B3">
      <w:pPr>
        <w:spacing w:line="360" w:lineRule="auto"/>
        <w:ind w:left="2265" w:hanging="2265"/>
      </w:pPr>
    </w:p>
    <w:p w:rsidR="007B25C0" w:rsidRPr="00824DBC" w:rsidRDefault="009859B3" w:rsidP="009859B3">
      <w:pPr>
        <w:spacing w:line="360" w:lineRule="auto"/>
        <w:ind w:left="567" w:hanging="567"/>
        <w:jc w:val="both"/>
      </w:pPr>
      <w:r w:rsidRPr="00824DBC">
        <w:t>21</w:t>
      </w:r>
      <w:r w:rsidR="007B25C0" w:rsidRPr="00824DBC">
        <w:t>.</w:t>
      </w:r>
      <w:r w:rsidR="007B25C0" w:rsidRPr="00824DBC">
        <w:tab/>
      </w:r>
      <w:proofErr w:type="gramStart"/>
      <w:r w:rsidR="007B25C0" w:rsidRPr="00824DBC">
        <w:t>As a consequence</w:t>
      </w:r>
      <w:proofErr w:type="gramEnd"/>
      <w:r w:rsidR="007B25C0" w:rsidRPr="00824DBC">
        <w:t xml:space="preserve">, there were errors of law in First-tier Tribunal Judge </w:t>
      </w:r>
      <w:proofErr w:type="spellStart"/>
      <w:r w:rsidR="000041C8" w:rsidRPr="00824DBC">
        <w:t>Anstis</w:t>
      </w:r>
      <w:proofErr w:type="spellEnd"/>
      <w:r w:rsidR="000041C8" w:rsidRPr="00824DBC">
        <w:t>’</w:t>
      </w:r>
      <w:r w:rsidR="007B25C0" w:rsidRPr="00824DBC">
        <w:t xml:space="preserve"> decision.</w:t>
      </w:r>
    </w:p>
    <w:p w:rsidR="007B25C0" w:rsidRPr="00824DBC" w:rsidRDefault="007B25C0" w:rsidP="009859B3">
      <w:pPr>
        <w:spacing w:line="360" w:lineRule="auto"/>
        <w:ind w:left="567" w:hanging="567"/>
        <w:jc w:val="both"/>
      </w:pPr>
    </w:p>
    <w:p w:rsidR="00973CD0" w:rsidRPr="00824DBC" w:rsidRDefault="00973CD0" w:rsidP="009859B3">
      <w:pPr>
        <w:spacing w:line="360" w:lineRule="auto"/>
        <w:ind w:left="567" w:hanging="567"/>
        <w:jc w:val="both"/>
        <w:rPr>
          <w:b/>
        </w:rPr>
      </w:pPr>
      <w:r w:rsidRPr="00824DBC">
        <w:rPr>
          <w:b/>
        </w:rPr>
        <w:t>Decision</w:t>
      </w:r>
    </w:p>
    <w:p w:rsidR="00973CD0" w:rsidRPr="00824DBC" w:rsidRDefault="00973CD0" w:rsidP="00E25D2E">
      <w:pPr>
        <w:spacing w:line="360" w:lineRule="auto"/>
        <w:ind w:left="567" w:hanging="567"/>
        <w:jc w:val="both"/>
        <w:rPr>
          <w:b/>
        </w:rPr>
      </w:pPr>
    </w:p>
    <w:p w:rsidR="00973CD0" w:rsidRPr="00824DBC" w:rsidRDefault="00973CD0" w:rsidP="00E25D2E">
      <w:pPr>
        <w:spacing w:line="360" w:lineRule="auto"/>
        <w:ind w:left="567" w:hanging="567"/>
        <w:jc w:val="both"/>
      </w:pPr>
      <w:r w:rsidRPr="00824DBC">
        <w:t>(1)</w:t>
      </w:r>
      <w:r w:rsidRPr="00824DBC">
        <w:tab/>
        <w:t>The appeal is allowed.</w:t>
      </w:r>
    </w:p>
    <w:p w:rsidR="00973CD0" w:rsidRPr="00824DBC" w:rsidRDefault="00973CD0" w:rsidP="00E25D2E">
      <w:pPr>
        <w:spacing w:line="360" w:lineRule="auto"/>
        <w:ind w:left="567" w:hanging="567"/>
        <w:jc w:val="both"/>
      </w:pPr>
    </w:p>
    <w:p w:rsidR="00973CD0" w:rsidRPr="00824DBC" w:rsidRDefault="00973CD0" w:rsidP="00E25D2E">
      <w:pPr>
        <w:spacing w:line="360" w:lineRule="auto"/>
        <w:ind w:left="567" w:hanging="567"/>
        <w:jc w:val="both"/>
      </w:pPr>
      <w:r w:rsidRPr="00824DBC">
        <w:t>(2)</w:t>
      </w:r>
      <w:r w:rsidRPr="00824DBC">
        <w:tab/>
        <w:t xml:space="preserve">The decision of First-tier Tribunal Judge </w:t>
      </w:r>
      <w:proofErr w:type="spellStart"/>
      <w:r w:rsidR="000041C8" w:rsidRPr="00824DBC">
        <w:t>Anstis</w:t>
      </w:r>
      <w:proofErr w:type="spellEnd"/>
      <w:r w:rsidR="009B5681" w:rsidRPr="00824DBC">
        <w:t xml:space="preserve"> is set aside. </w:t>
      </w:r>
    </w:p>
    <w:p w:rsidR="003257CA" w:rsidRPr="00824DBC" w:rsidRDefault="003257CA" w:rsidP="00E25D2E">
      <w:pPr>
        <w:spacing w:line="360" w:lineRule="auto"/>
        <w:ind w:left="567" w:hanging="567"/>
        <w:jc w:val="both"/>
      </w:pPr>
    </w:p>
    <w:p w:rsidR="003257CA" w:rsidRPr="00824DBC" w:rsidRDefault="003257CA" w:rsidP="009859B3">
      <w:pPr>
        <w:spacing w:line="360" w:lineRule="auto"/>
        <w:ind w:left="567" w:hanging="567"/>
        <w:jc w:val="both"/>
      </w:pPr>
      <w:r w:rsidRPr="00824DBC">
        <w:t>(</w:t>
      </w:r>
      <w:r w:rsidR="009B5681" w:rsidRPr="00824DBC">
        <w:t>3</w:t>
      </w:r>
      <w:r w:rsidRPr="00824DBC">
        <w:t>)</w:t>
      </w:r>
      <w:r w:rsidRPr="00824DBC">
        <w:tab/>
      </w:r>
      <w:r w:rsidR="006B2C82" w:rsidRPr="00824DBC">
        <w:t xml:space="preserve">The appeal is remitted to the First-tier Tribunal </w:t>
      </w:r>
      <w:r w:rsidR="00175141" w:rsidRPr="00824DBC">
        <w:t xml:space="preserve">in </w:t>
      </w:r>
      <w:r w:rsidR="002751D6" w:rsidRPr="00824DBC">
        <w:t>Hatton Cross</w:t>
      </w:r>
      <w:r w:rsidR="00175141" w:rsidRPr="00824DBC">
        <w:t xml:space="preserve"> </w:t>
      </w:r>
      <w:r w:rsidR="006B2C82" w:rsidRPr="00824DBC">
        <w:t xml:space="preserve">to be heard </w:t>
      </w:r>
      <w:r w:rsidR="006B2C82" w:rsidRPr="00824DBC">
        <w:rPr>
          <w:i/>
        </w:rPr>
        <w:t xml:space="preserve">de novo </w:t>
      </w:r>
      <w:r w:rsidR="006B2C82" w:rsidRPr="00824DBC">
        <w:t xml:space="preserve">before a First-tier Tribunal Judge other than First-tier Tribunal Judge </w:t>
      </w:r>
      <w:proofErr w:type="spellStart"/>
      <w:r w:rsidR="000041C8" w:rsidRPr="00824DBC">
        <w:t>Anstis</w:t>
      </w:r>
      <w:proofErr w:type="spellEnd"/>
      <w:r w:rsidR="000041C8" w:rsidRPr="00824DBC">
        <w:t xml:space="preserve"> or Robertson</w:t>
      </w:r>
      <w:r w:rsidR="006B2C82" w:rsidRPr="00824DBC">
        <w:t>.</w:t>
      </w:r>
      <w:r w:rsidRPr="00824DBC">
        <w:t xml:space="preserve">   </w:t>
      </w:r>
    </w:p>
    <w:p w:rsidR="003257CA" w:rsidRPr="00824DBC" w:rsidRDefault="003257CA" w:rsidP="009859B3">
      <w:pPr>
        <w:spacing w:line="360" w:lineRule="auto"/>
        <w:ind w:left="567" w:hanging="567"/>
        <w:jc w:val="both"/>
      </w:pPr>
    </w:p>
    <w:p w:rsidR="00824DBC" w:rsidRPr="00725575" w:rsidRDefault="00824DBC" w:rsidP="00824DBC">
      <w:pPr>
        <w:jc w:val="both"/>
        <w:rPr>
          <w:rFonts w:ascii="Lucida Handwriting" w:hAnsi="Lucida Handwriting" w:cs="Arial"/>
          <w:sz w:val="40"/>
        </w:rPr>
      </w:pPr>
      <w:r>
        <w:rPr>
          <w:rFonts w:ascii="Lucida Handwriting" w:hAnsi="Lucida Handwriting" w:cs="Arial"/>
          <w:sz w:val="40"/>
        </w:rPr>
        <w:t>Nadine Finch</w:t>
      </w:r>
    </w:p>
    <w:p w:rsidR="003257CA" w:rsidRPr="00824DBC" w:rsidRDefault="003257CA" w:rsidP="00026E39">
      <w:pPr>
        <w:ind w:left="567" w:hanging="567"/>
        <w:jc w:val="both"/>
      </w:pPr>
    </w:p>
    <w:p w:rsidR="003257CA" w:rsidRPr="00824DBC" w:rsidRDefault="003257CA" w:rsidP="00026E39">
      <w:pPr>
        <w:ind w:left="567" w:hanging="567"/>
        <w:jc w:val="both"/>
      </w:pPr>
    </w:p>
    <w:p w:rsidR="003257CA" w:rsidRPr="00824DBC" w:rsidRDefault="003257CA" w:rsidP="00847259">
      <w:pPr>
        <w:jc w:val="both"/>
      </w:pPr>
      <w:r w:rsidRPr="00824DBC">
        <w:t>Signed</w:t>
      </w:r>
      <w:r w:rsidRPr="00824DBC">
        <w:tab/>
      </w:r>
      <w:r w:rsidRPr="00824DBC">
        <w:tab/>
      </w:r>
      <w:r w:rsidRPr="00824DBC">
        <w:tab/>
      </w:r>
      <w:r w:rsidRPr="00824DBC">
        <w:tab/>
      </w:r>
      <w:r w:rsidRPr="00824DBC">
        <w:tab/>
      </w:r>
      <w:r w:rsidRPr="00824DBC">
        <w:tab/>
      </w:r>
      <w:r w:rsidRPr="00824DBC">
        <w:tab/>
      </w:r>
      <w:r w:rsidRPr="00824DBC">
        <w:tab/>
        <w:t xml:space="preserve">Date </w:t>
      </w:r>
      <w:r w:rsidR="00B57329" w:rsidRPr="00824DBC">
        <w:t>6 August</w:t>
      </w:r>
      <w:r w:rsidRPr="00824DBC">
        <w:t xml:space="preserve"> 2018</w:t>
      </w:r>
    </w:p>
    <w:p w:rsidR="003257CA" w:rsidRPr="00824DBC" w:rsidRDefault="003257CA" w:rsidP="00847259">
      <w:pPr>
        <w:jc w:val="both"/>
      </w:pPr>
    </w:p>
    <w:p w:rsidR="003257CA" w:rsidRPr="00824DBC" w:rsidRDefault="003257CA" w:rsidP="00847259">
      <w:pPr>
        <w:jc w:val="both"/>
        <w:rPr>
          <w:color w:val="000000"/>
        </w:rPr>
      </w:pPr>
      <w:r w:rsidRPr="00824DBC">
        <w:rPr>
          <w:color w:val="000000"/>
        </w:rPr>
        <w:t xml:space="preserve">Upper Tribunal Judge Finch </w:t>
      </w:r>
    </w:p>
    <w:p w:rsidR="003257CA" w:rsidRPr="00824DBC" w:rsidRDefault="003257CA" w:rsidP="00847259">
      <w:pPr>
        <w:jc w:val="both"/>
        <w:rPr>
          <w:color w:val="000000"/>
        </w:rPr>
      </w:pPr>
    </w:p>
    <w:p w:rsidR="003257CA" w:rsidRPr="00824DBC" w:rsidRDefault="003257CA" w:rsidP="00847259">
      <w:pPr>
        <w:jc w:val="both"/>
        <w:rPr>
          <w:color w:val="000000"/>
        </w:rPr>
      </w:pPr>
    </w:p>
    <w:sectPr w:rsidR="003257CA" w:rsidRPr="00824DBC" w:rsidSect="00A04B4A">
      <w:headerReference w:type="default" r:id="rId8"/>
      <w:footerReference w:type="default" r:id="rId9"/>
      <w:footerReference w:type="first" r:id="rId10"/>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4CCA" w:rsidRDefault="00D84CCA">
      <w:r>
        <w:separator/>
      </w:r>
    </w:p>
  </w:endnote>
  <w:endnote w:type="continuationSeparator" w:id="0">
    <w:p w:rsidR="00D84CCA" w:rsidRDefault="00D84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3774612"/>
      <w:docPartObj>
        <w:docPartGallery w:val="Page Numbers (Bottom of Page)"/>
        <w:docPartUnique/>
      </w:docPartObj>
    </w:sdtPr>
    <w:sdtEndPr>
      <w:rPr>
        <w:noProof/>
      </w:rPr>
    </w:sdtEndPr>
    <w:sdtContent>
      <w:p w:rsidR="00B26BA7" w:rsidRDefault="00B26BA7">
        <w:pPr>
          <w:pStyle w:val="Footer"/>
          <w:jc w:val="center"/>
        </w:pPr>
        <w:r>
          <w:fldChar w:fldCharType="begin"/>
        </w:r>
        <w:r>
          <w:instrText xml:space="preserve"> PAGE   \* MERGEFORMAT </w:instrText>
        </w:r>
        <w:r>
          <w:fldChar w:fldCharType="separate"/>
        </w:r>
        <w:r w:rsidR="00866639">
          <w:rPr>
            <w:noProof/>
          </w:rPr>
          <w:t>6</w:t>
        </w:r>
        <w:r>
          <w:rPr>
            <w:noProof/>
          </w:rPr>
          <w:fldChar w:fldCharType="end"/>
        </w:r>
      </w:p>
    </w:sdtContent>
  </w:sdt>
  <w:p w:rsidR="00B26BA7" w:rsidRDefault="00B26B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7CA" w:rsidRPr="009B7433" w:rsidRDefault="003257CA" w:rsidP="00A82254">
    <w:pPr>
      <w:jc w:val="center"/>
      <w:rPr>
        <w:rFonts w:ascii="Book Antiqua" w:hAnsi="Book Antiqua" w:cs="Arial"/>
        <w:b/>
      </w:rPr>
    </w:pPr>
    <w:r w:rsidRPr="009B7433">
      <w:rPr>
        <w:rFonts w:ascii="Book Antiqua" w:hAnsi="Book Antiqua" w:cs="Arial"/>
        <w:b/>
        <w:spacing w:val="-6"/>
      </w:rPr>
      <w:t>©</w:t>
    </w:r>
    <w:r w:rsidR="000D5F82">
      <w:rPr>
        <w:rFonts w:ascii="Book Antiqua" w:hAnsi="Book Antiqua" w:cs="Arial"/>
        <w:b/>
      </w:rPr>
      <w:t xml:space="preserve"> CROWN COPYRIGHT 2018</w:t>
    </w:r>
  </w:p>
  <w:p w:rsidR="003257CA" w:rsidRDefault="00325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4CCA" w:rsidRDefault="00D84CCA">
      <w:r>
        <w:separator/>
      </w:r>
    </w:p>
  </w:footnote>
  <w:footnote w:type="continuationSeparator" w:id="0">
    <w:p w:rsidR="00D84CCA" w:rsidRDefault="00D84C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7CA" w:rsidRDefault="003257CA" w:rsidP="00B26BA7">
    <w:pPr>
      <w:jc w:val="right"/>
      <w:rPr>
        <w:rFonts w:cs="Arial"/>
        <w:color w:val="000000"/>
        <w:sz w:val="16"/>
        <w:szCs w:val="16"/>
      </w:rPr>
    </w:pPr>
    <w:r w:rsidRPr="00A82254">
      <w:rPr>
        <w:rFonts w:cs="Arial"/>
        <w:color w:val="000000"/>
        <w:sz w:val="16"/>
        <w:szCs w:val="16"/>
      </w:rPr>
      <w:t>Appeal Numbe</w:t>
    </w:r>
    <w:r w:rsidR="00CB6CFF">
      <w:rPr>
        <w:rFonts w:cs="Arial"/>
        <w:color w:val="000000"/>
        <w:sz w:val="16"/>
        <w:szCs w:val="16"/>
      </w:rPr>
      <w:t>r</w:t>
    </w:r>
    <w:r w:rsidR="007B3613">
      <w:rPr>
        <w:rFonts w:cs="Arial"/>
        <w:color w:val="000000"/>
        <w:sz w:val="16"/>
        <w:szCs w:val="16"/>
      </w:rPr>
      <w:t xml:space="preserve"> HU/</w:t>
    </w:r>
    <w:r w:rsidR="00C61C6A">
      <w:rPr>
        <w:rFonts w:cs="Arial"/>
        <w:color w:val="000000"/>
        <w:sz w:val="16"/>
        <w:szCs w:val="16"/>
      </w:rPr>
      <w:t>19880/2016</w:t>
    </w:r>
    <w:r w:rsidR="00824DBC">
      <w:rPr>
        <w:rFonts w:cs="Arial"/>
        <w:color w:val="000000"/>
        <w:sz w:val="16"/>
        <w:szCs w:val="16"/>
      </w:rPr>
      <w:t xml:space="preserve"> </w:t>
    </w:r>
    <w:r>
      <w:rPr>
        <w:rFonts w:cs="Arial"/>
        <w:color w:val="000000"/>
        <w:sz w:val="16"/>
        <w:szCs w:val="16"/>
      </w:rPr>
      <w:t xml:space="preserve">                                                                                                                                                                                                                                                                                                                                                                </w:t>
    </w:r>
  </w:p>
  <w:p w:rsidR="003257CA" w:rsidRDefault="003257CA" w:rsidP="00A82254">
    <w:pPr>
      <w:rPr>
        <w:rFonts w:cs="Arial"/>
        <w:color w:val="000000"/>
        <w:sz w:val="16"/>
        <w:szCs w:val="16"/>
      </w:rPr>
    </w:pPr>
    <w:r>
      <w:rPr>
        <w:rFonts w:cs="Arial"/>
        <w:color w:val="000000"/>
        <w:sz w:val="16"/>
        <w:szCs w:val="16"/>
      </w:rPr>
      <w:t xml:space="preserve">                                                                                                                                                                                                                     </w:t>
    </w:r>
  </w:p>
  <w:p w:rsidR="003257CA" w:rsidRDefault="003257CA" w:rsidP="00824DBC">
    <w:r>
      <w:rPr>
        <w:rFonts w:cs="Arial"/>
        <w:color w:val="000000"/>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523D"/>
    <w:multiLevelType w:val="hybridMultilevel"/>
    <w:tmpl w:val="CF580D46"/>
    <w:lvl w:ilvl="0" w:tplc="BA909BA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164C169C"/>
    <w:multiLevelType w:val="hybridMultilevel"/>
    <w:tmpl w:val="CF58EC80"/>
    <w:lvl w:ilvl="0" w:tplc="7BD0497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3C901CC4"/>
    <w:multiLevelType w:val="hybridMultilevel"/>
    <w:tmpl w:val="9A007F10"/>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43472FAC"/>
    <w:multiLevelType w:val="hybridMultilevel"/>
    <w:tmpl w:val="00B2E5D0"/>
    <w:lvl w:ilvl="0" w:tplc="005C0DFC">
      <w:start w:val="2"/>
      <w:numFmt w:val="decimal"/>
      <w:lvlText w:val="%1."/>
      <w:lvlJc w:val="left"/>
      <w:pPr>
        <w:tabs>
          <w:tab w:val="num" w:pos="1140"/>
        </w:tabs>
        <w:ind w:left="1140" w:hanging="570"/>
      </w:pPr>
      <w:rPr>
        <w:rFonts w:cs="Times New Roman" w:hint="default"/>
      </w:rPr>
    </w:lvl>
    <w:lvl w:ilvl="1" w:tplc="08090019" w:tentative="1">
      <w:start w:val="1"/>
      <w:numFmt w:val="lowerLetter"/>
      <w:lvlText w:val="%2."/>
      <w:lvlJc w:val="left"/>
      <w:pPr>
        <w:tabs>
          <w:tab w:val="num" w:pos="1650"/>
        </w:tabs>
        <w:ind w:left="1650" w:hanging="360"/>
      </w:pPr>
      <w:rPr>
        <w:rFonts w:cs="Times New Roman"/>
      </w:rPr>
    </w:lvl>
    <w:lvl w:ilvl="2" w:tplc="0809001B" w:tentative="1">
      <w:start w:val="1"/>
      <w:numFmt w:val="lowerRoman"/>
      <w:lvlText w:val="%3."/>
      <w:lvlJc w:val="right"/>
      <w:pPr>
        <w:tabs>
          <w:tab w:val="num" w:pos="2370"/>
        </w:tabs>
        <w:ind w:left="2370" w:hanging="180"/>
      </w:pPr>
      <w:rPr>
        <w:rFonts w:cs="Times New Roman"/>
      </w:rPr>
    </w:lvl>
    <w:lvl w:ilvl="3" w:tplc="0809000F" w:tentative="1">
      <w:start w:val="1"/>
      <w:numFmt w:val="decimal"/>
      <w:lvlText w:val="%4."/>
      <w:lvlJc w:val="left"/>
      <w:pPr>
        <w:tabs>
          <w:tab w:val="num" w:pos="3090"/>
        </w:tabs>
        <w:ind w:left="3090" w:hanging="360"/>
      </w:pPr>
      <w:rPr>
        <w:rFonts w:cs="Times New Roman"/>
      </w:rPr>
    </w:lvl>
    <w:lvl w:ilvl="4" w:tplc="08090019" w:tentative="1">
      <w:start w:val="1"/>
      <w:numFmt w:val="lowerLetter"/>
      <w:lvlText w:val="%5."/>
      <w:lvlJc w:val="left"/>
      <w:pPr>
        <w:tabs>
          <w:tab w:val="num" w:pos="3810"/>
        </w:tabs>
        <w:ind w:left="3810" w:hanging="360"/>
      </w:pPr>
      <w:rPr>
        <w:rFonts w:cs="Times New Roman"/>
      </w:rPr>
    </w:lvl>
    <w:lvl w:ilvl="5" w:tplc="0809001B" w:tentative="1">
      <w:start w:val="1"/>
      <w:numFmt w:val="lowerRoman"/>
      <w:lvlText w:val="%6."/>
      <w:lvlJc w:val="right"/>
      <w:pPr>
        <w:tabs>
          <w:tab w:val="num" w:pos="4530"/>
        </w:tabs>
        <w:ind w:left="4530" w:hanging="180"/>
      </w:pPr>
      <w:rPr>
        <w:rFonts w:cs="Times New Roman"/>
      </w:rPr>
    </w:lvl>
    <w:lvl w:ilvl="6" w:tplc="0809000F" w:tentative="1">
      <w:start w:val="1"/>
      <w:numFmt w:val="decimal"/>
      <w:lvlText w:val="%7."/>
      <w:lvlJc w:val="left"/>
      <w:pPr>
        <w:tabs>
          <w:tab w:val="num" w:pos="5250"/>
        </w:tabs>
        <w:ind w:left="5250" w:hanging="360"/>
      </w:pPr>
      <w:rPr>
        <w:rFonts w:cs="Times New Roman"/>
      </w:rPr>
    </w:lvl>
    <w:lvl w:ilvl="7" w:tplc="08090019" w:tentative="1">
      <w:start w:val="1"/>
      <w:numFmt w:val="lowerLetter"/>
      <w:lvlText w:val="%8."/>
      <w:lvlJc w:val="left"/>
      <w:pPr>
        <w:tabs>
          <w:tab w:val="num" w:pos="5970"/>
        </w:tabs>
        <w:ind w:left="5970" w:hanging="360"/>
      </w:pPr>
      <w:rPr>
        <w:rFonts w:cs="Times New Roman"/>
      </w:rPr>
    </w:lvl>
    <w:lvl w:ilvl="8" w:tplc="0809001B" w:tentative="1">
      <w:start w:val="1"/>
      <w:numFmt w:val="lowerRoman"/>
      <w:lvlText w:val="%9."/>
      <w:lvlJc w:val="right"/>
      <w:pPr>
        <w:tabs>
          <w:tab w:val="num" w:pos="6690"/>
        </w:tabs>
        <w:ind w:left="6690" w:hanging="180"/>
      </w:pPr>
      <w:rPr>
        <w:rFonts w:cs="Times New Roman"/>
      </w:rPr>
    </w:lvl>
  </w:abstractNum>
  <w:abstractNum w:abstractNumId="4" w15:restartNumberingAfterBreak="0">
    <w:nsid w:val="4AAB5766"/>
    <w:multiLevelType w:val="hybridMultilevel"/>
    <w:tmpl w:val="B46ABF72"/>
    <w:lvl w:ilvl="0" w:tplc="F8242D1A">
      <w:start w:val="1"/>
      <w:numFmt w:val="decimal"/>
      <w:lvlText w:val="(%1)"/>
      <w:lvlJc w:val="left"/>
      <w:pPr>
        <w:tabs>
          <w:tab w:val="num" w:pos="644"/>
        </w:tabs>
        <w:ind w:left="644" w:hanging="360"/>
      </w:pPr>
    </w:lvl>
    <w:lvl w:ilvl="1" w:tplc="08090019">
      <w:start w:val="1"/>
      <w:numFmt w:val="lowerLetter"/>
      <w:lvlText w:val="%2."/>
      <w:lvlJc w:val="left"/>
      <w:pPr>
        <w:tabs>
          <w:tab w:val="num" w:pos="1364"/>
        </w:tabs>
        <w:ind w:left="1364" w:hanging="360"/>
      </w:pPr>
    </w:lvl>
    <w:lvl w:ilvl="2" w:tplc="0809001B">
      <w:start w:val="1"/>
      <w:numFmt w:val="lowerRoman"/>
      <w:lvlText w:val="%3."/>
      <w:lvlJc w:val="right"/>
      <w:pPr>
        <w:tabs>
          <w:tab w:val="num" w:pos="2084"/>
        </w:tabs>
        <w:ind w:left="2084" w:hanging="180"/>
      </w:pPr>
    </w:lvl>
    <w:lvl w:ilvl="3" w:tplc="0809000F">
      <w:start w:val="1"/>
      <w:numFmt w:val="decimal"/>
      <w:lvlText w:val="%4."/>
      <w:lvlJc w:val="left"/>
      <w:pPr>
        <w:tabs>
          <w:tab w:val="num" w:pos="2804"/>
        </w:tabs>
        <w:ind w:left="2804" w:hanging="360"/>
      </w:pPr>
    </w:lvl>
    <w:lvl w:ilvl="4" w:tplc="08090019">
      <w:start w:val="1"/>
      <w:numFmt w:val="lowerLetter"/>
      <w:lvlText w:val="%5."/>
      <w:lvlJc w:val="left"/>
      <w:pPr>
        <w:tabs>
          <w:tab w:val="num" w:pos="3524"/>
        </w:tabs>
        <w:ind w:left="3524" w:hanging="360"/>
      </w:pPr>
    </w:lvl>
    <w:lvl w:ilvl="5" w:tplc="0809001B">
      <w:start w:val="1"/>
      <w:numFmt w:val="lowerRoman"/>
      <w:lvlText w:val="%6."/>
      <w:lvlJc w:val="right"/>
      <w:pPr>
        <w:tabs>
          <w:tab w:val="num" w:pos="4244"/>
        </w:tabs>
        <w:ind w:left="4244" w:hanging="180"/>
      </w:pPr>
    </w:lvl>
    <w:lvl w:ilvl="6" w:tplc="0809000F">
      <w:start w:val="1"/>
      <w:numFmt w:val="decimal"/>
      <w:lvlText w:val="%7."/>
      <w:lvlJc w:val="left"/>
      <w:pPr>
        <w:tabs>
          <w:tab w:val="num" w:pos="4964"/>
        </w:tabs>
        <w:ind w:left="4964" w:hanging="360"/>
      </w:pPr>
    </w:lvl>
    <w:lvl w:ilvl="7" w:tplc="08090019">
      <w:start w:val="1"/>
      <w:numFmt w:val="lowerLetter"/>
      <w:lvlText w:val="%8."/>
      <w:lvlJc w:val="left"/>
      <w:pPr>
        <w:tabs>
          <w:tab w:val="num" w:pos="5684"/>
        </w:tabs>
        <w:ind w:left="5684" w:hanging="360"/>
      </w:pPr>
    </w:lvl>
    <w:lvl w:ilvl="8" w:tplc="0809001B">
      <w:start w:val="1"/>
      <w:numFmt w:val="lowerRoman"/>
      <w:lvlText w:val="%9."/>
      <w:lvlJc w:val="right"/>
      <w:pPr>
        <w:tabs>
          <w:tab w:val="num" w:pos="6404"/>
        </w:tabs>
        <w:ind w:left="6404" w:hanging="180"/>
      </w:pPr>
    </w:lvl>
  </w:abstractNum>
  <w:abstractNum w:abstractNumId="5" w15:restartNumberingAfterBreak="0">
    <w:nsid w:val="5CB677A5"/>
    <w:multiLevelType w:val="multilevel"/>
    <w:tmpl w:val="AD2054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8E72CC"/>
    <w:multiLevelType w:val="hybridMultilevel"/>
    <w:tmpl w:val="C29084B6"/>
    <w:lvl w:ilvl="0" w:tplc="1F323F60">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15:restartNumberingAfterBreak="0">
    <w:nsid w:val="781E593A"/>
    <w:multiLevelType w:val="hybridMultilevel"/>
    <w:tmpl w:val="CCDC9F84"/>
    <w:lvl w:ilvl="0" w:tplc="D8CEEF16">
      <w:start w:val="1"/>
      <w:numFmt w:val="decimal"/>
      <w:lvlText w:val="%1."/>
      <w:lvlJc w:val="left"/>
      <w:pPr>
        <w:tabs>
          <w:tab w:val="num" w:pos="750"/>
        </w:tabs>
        <w:ind w:left="750" w:hanging="570"/>
      </w:pPr>
      <w:rPr>
        <w:rFonts w:cs="Times New Roman" w:hint="default"/>
      </w:rPr>
    </w:lvl>
    <w:lvl w:ilvl="1" w:tplc="08090019">
      <w:start w:val="1"/>
      <w:numFmt w:val="lowerLetter"/>
      <w:lvlText w:val="%2."/>
      <w:lvlJc w:val="left"/>
      <w:pPr>
        <w:tabs>
          <w:tab w:val="num" w:pos="1260"/>
        </w:tabs>
        <w:ind w:left="1260" w:hanging="360"/>
      </w:pPr>
      <w:rPr>
        <w:rFonts w:cs="Times New Roman"/>
      </w:rPr>
    </w:lvl>
    <w:lvl w:ilvl="2" w:tplc="0809001B" w:tentative="1">
      <w:start w:val="1"/>
      <w:numFmt w:val="lowerRoman"/>
      <w:lvlText w:val="%3."/>
      <w:lvlJc w:val="right"/>
      <w:pPr>
        <w:tabs>
          <w:tab w:val="num" w:pos="1980"/>
        </w:tabs>
        <w:ind w:left="1980" w:hanging="180"/>
      </w:pPr>
      <w:rPr>
        <w:rFonts w:cs="Times New Roman"/>
      </w:rPr>
    </w:lvl>
    <w:lvl w:ilvl="3" w:tplc="0809000F" w:tentative="1">
      <w:start w:val="1"/>
      <w:numFmt w:val="decimal"/>
      <w:lvlText w:val="%4."/>
      <w:lvlJc w:val="left"/>
      <w:pPr>
        <w:tabs>
          <w:tab w:val="num" w:pos="2700"/>
        </w:tabs>
        <w:ind w:left="2700" w:hanging="360"/>
      </w:pPr>
      <w:rPr>
        <w:rFonts w:cs="Times New Roman"/>
      </w:rPr>
    </w:lvl>
    <w:lvl w:ilvl="4" w:tplc="08090019" w:tentative="1">
      <w:start w:val="1"/>
      <w:numFmt w:val="lowerLetter"/>
      <w:lvlText w:val="%5."/>
      <w:lvlJc w:val="left"/>
      <w:pPr>
        <w:tabs>
          <w:tab w:val="num" w:pos="3420"/>
        </w:tabs>
        <w:ind w:left="3420" w:hanging="360"/>
      </w:pPr>
      <w:rPr>
        <w:rFonts w:cs="Times New Roman"/>
      </w:rPr>
    </w:lvl>
    <w:lvl w:ilvl="5" w:tplc="0809001B" w:tentative="1">
      <w:start w:val="1"/>
      <w:numFmt w:val="lowerRoman"/>
      <w:lvlText w:val="%6."/>
      <w:lvlJc w:val="right"/>
      <w:pPr>
        <w:tabs>
          <w:tab w:val="num" w:pos="4140"/>
        </w:tabs>
        <w:ind w:left="4140" w:hanging="180"/>
      </w:pPr>
      <w:rPr>
        <w:rFonts w:cs="Times New Roman"/>
      </w:rPr>
    </w:lvl>
    <w:lvl w:ilvl="6" w:tplc="0809000F" w:tentative="1">
      <w:start w:val="1"/>
      <w:numFmt w:val="decimal"/>
      <w:lvlText w:val="%7."/>
      <w:lvlJc w:val="left"/>
      <w:pPr>
        <w:tabs>
          <w:tab w:val="num" w:pos="4860"/>
        </w:tabs>
        <w:ind w:left="4860" w:hanging="360"/>
      </w:pPr>
      <w:rPr>
        <w:rFonts w:cs="Times New Roman"/>
      </w:rPr>
    </w:lvl>
    <w:lvl w:ilvl="7" w:tplc="08090019" w:tentative="1">
      <w:start w:val="1"/>
      <w:numFmt w:val="lowerLetter"/>
      <w:lvlText w:val="%8."/>
      <w:lvlJc w:val="left"/>
      <w:pPr>
        <w:tabs>
          <w:tab w:val="num" w:pos="5580"/>
        </w:tabs>
        <w:ind w:left="5580" w:hanging="360"/>
      </w:pPr>
      <w:rPr>
        <w:rFonts w:cs="Times New Roman"/>
      </w:rPr>
    </w:lvl>
    <w:lvl w:ilvl="8" w:tplc="0809001B" w:tentative="1">
      <w:start w:val="1"/>
      <w:numFmt w:val="lowerRoman"/>
      <w:lvlText w:val="%9."/>
      <w:lvlJc w:val="right"/>
      <w:pPr>
        <w:tabs>
          <w:tab w:val="num" w:pos="6300"/>
        </w:tabs>
        <w:ind w:left="6300" w:hanging="180"/>
      </w:pPr>
      <w:rPr>
        <w:rFonts w:cs="Times New Roman"/>
      </w:rPr>
    </w:lvl>
  </w:abstractNum>
  <w:abstractNum w:abstractNumId="8" w15:restartNumberingAfterBreak="0">
    <w:nsid w:val="7F715898"/>
    <w:multiLevelType w:val="multilevel"/>
    <w:tmpl w:val="1E3417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
  </w:num>
  <w:num w:numId="4">
    <w:abstractNumId w:val="0"/>
  </w:num>
  <w:num w:numId="5">
    <w:abstractNumId w:val="6"/>
  </w:num>
  <w:num w:numId="6">
    <w:abstractNumId w:val="2"/>
  </w:num>
  <w:num w:numId="7">
    <w:abstractNumId w:val="5"/>
  </w:num>
  <w:num w:numId="8">
    <w:abstractNumId w:val="8"/>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704"/>
    <w:rsid w:val="00000621"/>
    <w:rsid w:val="000012A0"/>
    <w:rsid w:val="00002FE6"/>
    <w:rsid w:val="000036C2"/>
    <w:rsid w:val="000036E5"/>
    <w:rsid w:val="000041C8"/>
    <w:rsid w:val="00005C5B"/>
    <w:rsid w:val="00011C5D"/>
    <w:rsid w:val="00013EFF"/>
    <w:rsid w:val="00014893"/>
    <w:rsid w:val="00016BC5"/>
    <w:rsid w:val="00025E48"/>
    <w:rsid w:val="00026E39"/>
    <w:rsid w:val="00033D3D"/>
    <w:rsid w:val="0003772C"/>
    <w:rsid w:val="00040A6C"/>
    <w:rsid w:val="00042156"/>
    <w:rsid w:val="000428C0"/>
    <w:rsid w:val="00045E7E"/>
    <w:rsid w:val="00046575"/>
    <w:rsid w:val="00052233"/>
    <w:rsid w:val="00062F02"/>
    <w:rsid w:val="00071A7E"/>
    <w:rsid w:val="000746C0"/>
    <w:rsid w:val="0007473F"/>
    <w:rsid w:val="000747FB"/>
    <w:rsid w:val="00074D1D"/>
    <w:rsid w:val="00081F3E"/>
    <w:rsid w:val="00087721"/>
    <w:rsid w:val="00092429"/>
    <w:rsid w:val="00092551"/>
    <w:rsid w:val="00092580"/>
    <w:rsid w:val="00093D4D"/>
    <w:rsid w:val="000A3D14"/>
    <w:rsid w:val="000A3F67"/>
    <w:rsid w:val="000A5B67"/>
    <w:rsid w:val="000B024E"/>
    <w:rsid w:val="000B0381"/>
    <w:rsid w:val="000B24F7"/>
    <w:rsid w:val="000B51C2"/>
    <w:rsid w:val="000B5402"/>
    <w:rsid w:val="000B6640"/>
    <w:rsid w:val="000C00D4"/>
    <w:rsid w:val="000C2CDE"/>
    <w:rsid w:val="000C3CB0"/>
    <w:rsid w:val="000C4CC2"/>
    <w:rsid w:val="000C7E4D"/>
    <w:rsid w:val="000D4BC9"/>
    <w:rsid w:val="000D5D94"/>
    <w:rsid w:val="000D5F82"/>
    <w:rsid w:val="000E3A77"/>
    <w:rsid w:val="000E44A8"/>
    <w:rsid w:val="000F1A0E"/>
    <w:rsid w:val="0010028C"/>
    <w:rsid w:val="00100617"/>
    <w:rsid w:val="001069F9"/>
    <w:rsid w:val="00106C24"/>
    <w:rsid w:val="001107AD"/>
    <w:rsid w:val="00111206"/>
    <w:rsid w:val="00111800"/>
    <w:rsid w:val="0011268F"/>
    <w:rsid w:val="0011302C"/>
    <w:rsid w:val="00114C50"/>
    <w:rsid w:val="001165A7"/>
    <w:rsid w:val="00120A12"/>
    <w:rsid w:val="00121A51"/>
    <w:rsid w:val="001222AE"/>
    <w:rsid w:val="00124BCD"/>
    <w:rsid w:val="001263DC"/>
    <w:rsid w:val="00135190"/>
    <w:rsid w:val="001430C7"/>
    <w:rsid w:val="00144A8F"/>
    <w:rsid w:val="0014653D"/>
    <w:rsid w:val="00151509"/>
    <w:rsid w:val="001521D5"/>
    <w:rsid w:val="00161D7A"/>
    <w:rsid w:val="00162CB6"/>
    <w:rsid w:val="00166E37"/>
    <w:rsid w:val="00167D3A"/>
    <w:rsid w:val="00173946"/>
    <w:rsid w:val="00174D95"/>
    <w:rsid w:val="00175141"/>
    <w:rsid w:val="00176B08"/>
    <w:rsid w:val="00183704"/>
    <w:rsid w:val="0018739D"/>
    <w:rsid w:val="001971C8"/>
    <w:rsid w:val="001A19A9"/>
    <w:rsid w:val="001A2558"/>
    <w:rsid w:val="001A3082"/>
    <w:rsid w:val="001B091F"/>
    <w:rsid w:val="001B186A"/>
    <w:rsid w:val="001B2F75"/>
    <w:rsid w:val="001B5021"/>
    <w:rsid w:val="001B6A67"/>
    <w:rsid w:val="001B768F"/>
    <w:rsid w:val="001C4EB3"/>
    <w:rsid w:val="001C74AC"/>
    <w:rsid w:val="001F245E"/>
    <w:rsid w:val="001F2716"/>
    <w:rsid w:val="00200BD4"/>
    <w:rsid w:val="00203467"/>
    <w:rsid w:val="002035ED"/>
    <w:rsid w:val="00206D4A"/>
    <w:rsid w:val="00207617"/>
    <w:rsid w:val="0021618E"/>
    <w:rsid w:val="002165E3"/>
    <w:rsid w:val="00217865"/>
    <w:rsid w:val="00224D49"/>
    <w:rsid w:val="0022735C"/>
    <w:rsid w:val="0023134B"/>
    <w:rsid w:val="002367B0"/>
    <w:rsid w:val="00236A9B"/>
    <w:rsid w:val="002376E5"/>
    <w:rsid w:val="00243EF7"/>
    <w:rsid w:val="00251979"/>
    <w:rsid w:val="00251A86"/>
    <w:rsid w:val="00253110"/>
    <w:rsid w:val="00253D70"/>
    <w:rsid w:val="002540F1"/>
    <w:rsid w:val="00254DBC"/>
    <w:rsid w:val="00256EEF"/>
    <w:rsid w:val="002630D9"/>
    <w:rsid w:val="00264D85"/>
    <w:rsid w:val="00266099"/>
    <w:rsid w:val="00267EBB"/>
    <w:rsid w:val="00271A88"/>
    <w:rsid w:val="002751D6"/>
    <w:rsid w:val="002809C0"/>
    <w:rsid w:val="00283659"/>
    <w:rsid w:val="00287C9C"/>
    <w:rsid w:val="002946D1"/>
    <w:rsid w:val="002A5013"/>
    <w:rsid w:val="002A78E2"/>
    <w:rsid w:val="002B342D"/>
    <w:rsid w:val="002B3709"/>
    <w:rsid w:val="002C6BD4"/>
    <w:rsid w:val="002D083B"/>
    <w:rsid w:val="002D0E6D"/>
    <w:rsid w:val="002D56FD"/>
    <w:rsid w:val="002D68BF"/>
    <w:rsid w:val="002D6C34"/>
    <w:rsid w:val="002E7EA9"/>
    <w:rsid w:val="002F0F14"/>
    <w:rsid w:val="002F6B98"/>
    <w:rsid w:val="002F7BBB"/>
    <w:rsid w:val="00300D36"/>
    <w:rsid w:val="00300EFA"/>
    <w:rsid w:val="00303BAF"/>
    <w:rsid w:val="00321375"/>
    <w:rsid w:val="00322667"/>
    <w:rsid w:val="003257CA"/>
    <w:rsid w:val="003343B2"/>
    <w:rsid w:val="00335630"/>
    <w:rsid w:val="00335737"/>
    <w:rsid w:val="00336CBF"/>
    <w:rsid w:val="00343FE3"/>
    <w:rsid w:val="0034796B"/>
    <w:rsid w:val="00353B0E"/>
    <w:rsid w:val="003546C8"/>
    <w:rsid w:val="003626A1"/>
    <w:rsid w:val="00363410"/>
    <w:rsid w:val="003645B5"/>
    <w:rsid w:val="0037519F"/>
    <w:rsid w:val="00376618"/>
    <w:rsid w:val="00376763"/>
    <w:rsid w:val="003817B4"/>
    <w:rsid w:val="00384748"/>
    <w:rsid w:val="003863F7"/>
    <w:rsid w:val="00390A01"/>
    <w:rsid w:val="00394E67"/>
    <w:rsid w:val="00395C30"/>
    <w:rsid w:val="003A0375"/>
    <w:rsid w:val="003A447D"/>
    <w:rsid w:val="003A7CF2"/>
    <w:rsid w:val="003C5CE5"/>
    <w:rsid w:val="003D3F1E"/>
    <w:rsid w:val="003D461D"/>
    <w:rsid w:val="003D549E"/>
    <w:rsid w:val="003E267B"/>
    <w:rsid w:val="003E3C30"/>
    <w:rsid w:val="003E7CC8"/>
    <w:rsid w:val="003E7CD1"/>
    <w:rsid w:val="003F4C61"/>
    <w:rsid w:val="00401DA1"/>
    <w:rsid w:val="00402B9E"/>
    <w:rsid w:val="00404B61"/>
    <w:rsid w:val="00415CC5"/>
    <w:rsid w:val="00420216"/>
    <w:rsid w:val="004249CB"/>
    <w:rsid w:val="00431935"/>
    <w:rsid w:val="00433ABB"/>
    <w:rsid w:val="0044127D"/>
    <w:rsid w:val="00443BB9"/>
    <w:rsid w:val="00444316"/>
    <w:rsid w:val="004448DB"/>
    <w:rsid w:val="004458F2"/>
    <w:rsid w:val="00446305"/>
    <w:rsid w:val="00446C9A"/>
    <w:rsid w:val="00447988"/>
    <w:rsid w:val="00451B2C"/>
    <w:rsid w:val="00451D01"/>
    <w:rsid w:val="00452F2B"/>
    <w:rsid w:val="0046060F"/>
    <w:rsid w:val="00464DE1"/>
    <w:rsid w:val="004672C1"/>
    <w:rsid w:val="00471E3C"/>
    <w:rsid w:val="00473BE7"/>
    <w:rsid w:val="00477193"/>
    <w:rsid w:val="00484940"/>
    <w:rsid w:val="004931D1"/>
    <w:rsid w:val="004A00B4"/>
    <w:rsid w:val="004A1848"/>
    <w:rsid w:val="004A1985"/>
    <w:rsid w:val="004A34EE"/>
    <w:rsid w:val="004A39D5"/>
    <w:rsid w:val="004A6F4A"/>
    <w:rsid w:val="004B2449"/>
    <w:rsid w:val="004B5275"/>
    <w:rsid w:val="004B66BF"/>
    <w:rsid w:val="004B7E8C"/>
    <w:rsid w:val="004C1D93"/>
    <w:rsid w:val="004C5D11"/>
    <w:rsid w:val="004C6EC3"/>
    <w:rsid w:val="004E1E3A"/>
    <w:rsid w:val="004E4717"/>
    <w:rsid w:val="004F3592"/>
    <w:rsid w:val="004F55F8"/>
    <w:rsid w:val="004F672C"/>
    <w:rsid w:val="004F74EC"/>
    <w:rsid w:val="005016E0"/>
    <w:rsid w:val="0050334D"/>
    <w:rsid w:val="0050388A"/>
    <w:rsid w:val="00507FEC"/>
    <w:rsid w:val="00510339"/>
    <w:rsid w:val="00510F0E"/>
    <w:rsid w:val="00511050"/>
    <w:rsid w:val="0051653A"/>
    <w:rsid w:val="00516A49"/>
    <w:rsid w:val="005171BD"/>
    <w:rsid w:val="00537E50"/>
    <w:rsid w:val="005420FD"/>
    <w:rsid w:val="00543D39"/>
    <w:rsid w:val="00547222"/>
    <w:rsid w:val="005473D4"/>
    <w:rsid w:val="005479E1"/>
    <w:rsid w:val="00553E0A"/>
    <w:rsid w:val="00556B0D"/>
    <w:rsid w:val="005570FD"/>
    <w:rsid w:val="005575EA"/>
    <w:rsid w:val="005611D9"/>
    <w:rsid w:val="005630AD"/>
    <w:rsid w:val="0056365B"/>
    <w:rsid w:val="00563CFD"/>
    <w:rsid w:val="00565359"/>
    <w:rsid w:val="005661A7"/>
    <w:rsid w:val="0056624B"/>
    <w:rsid w:val="00571979"/>
    <w:rsid w:val="0057790C"/>
    <w:rsid w:val="00590558"/>
    <w:rsid w:val="00593795"/>
    <w:rsid w:val="00595102"/>
    <w:rsid w:val="00596130"/>
    <w:rsid w:val="005A11EA"/>
    <w:rsid w:val="005A6895"/>
    <w:rsid w:val="005A75FF"/>
    <w:rsid w:val="005B7413"/>
    <w:rsid w:val="005C2B9C"/>
    <w:rsid w:val="005C720F"/>
    <w:rsid w:val="005D0062"/>
    <w:rsid w:val="005D10AB"/>
    <w:rsid w:val="005D603D"/>
    <w:rsid w:val="005E34E2"/>
    <w:rsid w:val="005E3B61"/>
    <w:rsid w:val="005E64E1"/>
    <w:rsid w:val="005F3EB4"/>
    <w:rsid w:val="005F7557"/>
    <w:rsid w:val="00601D8F"/>
    <w:rsid w:val="00602C67"/>
    <w:rsid w:val="00602FB3"/>
    <w:rsid w:val="0060435A"/>
    <w:rsid w:val="00604A30"/>
    <w:rsid w:val="00606611"/>
    <w:rsid w:val="00610B20"/>
    <w:rsid w:val="0062078F"/>
    <w:rsid w:val="00627B05"/>
    <w:rsid w:val="0063325D"/>
    <w:rsid w:val="00636BB7"/>
    <w:rsid w:val="006408F7"/>
    <w:rsid w:val="00643256"/>
    <w:rsid w:val="00643D0C"/>
    <w:rsid w:val="00643F31"/>
    <w:rsid w:val="00646D54"/>
    <w:rsid w:val="006479DD"/>
    <w:rsid w:val="00652381"/>
    <w:rsid w:val="00653E97"/>
    <w:rsid w:val="00660F1A"/>
    <w:rsid w:val="006705BC"/>
    <w:rsid w:val="00672884"/>
    <w:rsid w:val="00681052"/>
    <w:rsid w:val="00684A74"/>
    <w:rsid w:val="0068707D"/>
    <w:rsid w:val="00690B8A"/>
    <w:rsid w:val="00693BA8"/>
    <w:rsid w:val="006B2C82"/>
    <w:rsid w:val="006B3E15"/>
    <w:rsid w:val="006C0A52"/>
    <w:rsid w:val="006C2275"/>
    <w:rsid w:val="006C5055"/>
    <w:rsid w:val="006C7066"/>
    <w:rsid w:val="006D091B"/>
    <w:rsid w:val="006E0E00"/>
    <w:rsid w:val="006E47C4"/>
    <w:rsid w:val="006F2CF1"/>
    <w:rsid w:val="006F73F1"/>
    <w:rsid w:val="00701A03"/>
    <w:rsid w:val="00702792"/>
    <w:rsid w:val="00702B91"/>
    <w:rsid w:val="00703184"/>
    <w:rsid w:val="007038ED"/>
    <w:rsid w:val="00703BC3"/>
    <w:rsid w:val="00704B61"/>
    <w:rsid w:val="00704F53"/>
    <w:rsid w:val="00705AFB"/>
    <w:rsid w:val="00724968"/>
    <w:rsid w:val="00725575"/>
    <w:rsid w:val="007276FF"/>
    <w:rsid w:val="00727FFD"/>
    <w:rsid w:val="007326A3"/>
    <w:rsid w:val="00736820"/>
    <w:rsid w:val="00744073"/>
    <w:rsid w:val="00745C27"/>
    <w:rsid w:val="00747519"/>
    <w:rsid w:val="007552A9"/>
    <w:rsid w:val="00761858"/>
    <w:rsid w:val="00767019"/>
    <w:rsid w:val="00767D59"/>
    <w:rsid w:val="00772B71"/>
    <w:rsid w:val="007736D2"/>
    <w:rsid w:val="00776E97"/>
    <w:rsid w:val="00780F86"/>
    <w:rsid w:val="00782593"/>
    <w:rsid w:val="007827A0"/>
    <w:rsid w:val="00787AC3"/>
    <w:rsid w:val="007912AD"/>
    <w:rsid w:val="0079216A"/>
    <w:rsid w:val="007A0794"/>
    <w:rsid w:val="007A5C26"/>
    <w:rsid w:val="007B0824"/>
    <w:rsid w:val="007B0DDF"/>
    <w:rsid w:val="007B25C0"/>
    <w:rsid w:val="007B2BD6"/>
    <w:rsid w:val="007B3613"/>
    <w:rsid w:val="007B4374"/>
    <w:rsid w:val="007B5330"/>
    <w:rsid w:val="007B5D3C"/>
    <w:rsid w:val="007C0095"/>
    <w:rsid w:val="007C6FA5"/>
    <w:rsid w:val="007D4375"/>
    <w:rsid w:val="007D63FF"/>
    <w:rsid w:val="007E2895"/>
    <w:rsid w:val="007F2534"/>
    <w:rsid w:val="007F339D"/>
    <w:rsid w:val="00804815"/>
    <w:rsid w:val="00806A73"/>
    <w:rsid w:val="0080713D"/>
    <w:rsid w:val="008130CE"/>
    <w:rsid w:val="00813153"/>
    <w:rsid w:val="00821B72"/>
    <w:rsid w:val="00823EF2"/>
    <w:rsid w:val="00824DBC"/>
    <w:rsid w:val="00826B2A"/>
    <w:rsid w:val="00827025"/>
    <w:rsid w:val="008303B8"/>
    <w:rsid w:val="00830810"/>
    <w:rsid w:val="00831918"/>
    <w:rsid w:val="00831E27"/>
    <w:rsid w:val="00833D8D"/>
    <w:rsid w:val="00833DCE"/>
    <w:rsid w:val="00841072"/>
    <w:rsid w:val="00845B37"/>
    <w:rsid w:val="00847259"/>
    <w:rsid w:val="008478F6"/>
    <w:rsid w:val="008516F1"/>
    <w:rsid w:val="008537F9"/>
    <w:rsid w:val="00854534"/>
    <w:rsid w:val="00854894"/>
    <w:rsid w:val="008566D0"/>
    <w:rsid w:val="00866639"/>
    <w:rsid w:val="0086738E"/>
    <w:rsid w:val="00871063"/>
    <w:rsid w:val="00871D34"/>
    <w:rsid w:val="00874D45"/>
    <w:rsid w:val="0087528C"/>
    <w:rsid w:val="00877198"/>
    <w:rsid w:val="00881860"/>
    <w:rsid w:val="00884B84"/>
    <w:rsid w:val="00891016"/>
    <w:rsid w:val="0089348F"/>
    <w:rsid w:val="0089553D"/>
    <w:rsid w:val="00897C8C"/>
    <w:rsid w:val="008A2695"/>
    <w:rsid w:val="008A7E3E"/>
    <w:rsid w:val="008B270C"/>
    <w:rsid w:val="008B2F0F"/>
    <w:rsid w:val="008B5078"/>
    <w:rsid w:val="008C12BC"/>
    <w:rsid w:val="008C3D3D"/>
    <w:rsid w:val="008D1135"/>
    <w:rsid w:val="008D4131"/>
    <w:rsid w:val="008D47C3"/>
    <w:rsid w:val="008E0286"/>
    <w:rsid w:val="008E7B93"/>
    <w:rsid w:val="008F1932"/>
    <w:rsid w:val="008F1BDC"/>
    <w:rsid w:val="008F48D0"/>
    <w:rsid w:val="008F4C67"/>
    <w:rsid w:val="008F6C0F"/>
    <w:rsid w:val="00901A46"/>
    <w:rsid w:val="00920212"/>
    <w:rsid w:val="00920EC0"/>
    <w:rsid w:val="00921062"/>
    <w:rsid w:val="00922444"/>
    <w:rsid w:val="009239B0"/>
    <w:rsid w:val="00924D93"/>
    <w:rsid w:val="009276B8"/>
    <w:rsid w:val="009324B2"/>
    <w:rsid w:val="00947565"/>
    <w:rsid w:val="00950F7D"/>
    <w:rsid w:val="009530C8"/>
    <w:rsid w:val="00953E15"/>
    <w:rsid w:val="00956C43"/>
    <w:rsid w:val="009604E6"/>
    <w:rsid w:val="00961434"/>
    <w:rsid w:val="009617A1"/>
    <w:rsid w:val="00963E6D"/>
    <w:rsid w:val="00963F7F"/>
    <w:rsid w:val="00965C3E"/>
    <w:rsid w:val="009722BC"/>
    <w:rsid w:val="009727A3"/>
    <w:rsid w:val="00973CD0"/>
    <w:rsid w:val="00974225"/>
    <w:rsid w:val="009771B1"/>
    <w:rsid w:val="00980665"/>
    <w:rsid w:val="009840B7"/>
    <w:rsid w:val="00984B68"/>
    <w:rsid w:val="00984E64"/>
    <w:rsid w:val="009859B3"/>
    <w:rsid w:val="00987774"/>
    <w:rsid w:val="0099516E"/>
    <w:rsid w:val="009A11E8"/>
    <w:rsid w:val="009A244B"/>
    <w:rsid w:val="009A6060"/>
    <w:rsid w:val="009B0A37"/>
    <w:rsid w:val="009B443B"/>
    <w:rsid w:val="009B5681"/>
    <w:rsid w:val="009B7433"/>
    <w:rsid w:val="009C0687"/>
    <w:rsid w:val="009C2E3A"/>
    <w:rsid w:val="009C4AE6"/>
    <w:rsid w:val="009D1EA3"/>
    <w:rsid w:val="009D341B"/>
    <w:rsid w:val="009E7D56"/>
    <w:rsid w:val="009F45F1"/>
    <w:rsid w:val="009F5220"/>
    <w:rsid w:val="009F6F01"/>
    <w:rsid w:val="009F7540"/>
    <w:rsid w:val="00A0236C"/>
    <w:rsid w:val="00A04B4A"/>
    <w:rsid w:val="00A11735"/>
    <w:rsid w:val="00A11B3C"/>
    <w:rsid w:val="00A13119"/>
    <w:rsid w:val="00A15234"/>
    <w:rsid w:val="00A201AB"/>
    <w:rsid w:val="00A2642D"/>
    <w:rsid w:val="00A31C8B"/>
    <w:rsid w:val="00A32CD1"/>
    <w:rsid w:val="00A40BC5"/>
    <w:rsid w:val="00A44767"/>
    <w:rsid w:val="00A46E02"/>
    <w:rsid w:val="00A509FA"/>
    <w:rsid w:val="00A53185"/>
    <w:rsid w:val="00A54BD6"/>
    <w:rsid w:val="00A564E3"/>
    <w:rsid w:val="00A575DA"/>
    <w:rsid w:val="00A57B5D"/>
    <w:rsid w:val="00A6017F"/>
    <w:rsid w:val="00A61FE2"/>
    <w:rsid w:val="00A6486B"/>
    <w:rsid w:val="00A659B5"/>
    <w:rsid w:val="00A743D3"/>
    <w:rsid w:val="00A759FF"/>
    <w:rsid w:val="00A75BCD"/>
    <w:rsid w:val="00A80595"/>
    <w:rsid w:val="00A82254"/>
    <w:rsid w:val="00A845DC"/>
    <w:rsid w:val="00A872EE"/>
    <w:rsid w:val="00A92942"/>
    <w:rsid w:val="00AA14AD"/>
    <w:rsid w:val="00AA557A"/>
    <w:rsid w:val="00AA708B"/>
    <w:rsid w:val="00AA77BE"/>
    <w:rsid w:val="00AB0C35"/>
    <w:rsid w:val="00AB20E4"/>
    <w:rsid w:val="00AB331B"/>
    <w:rsid w:val="00AC217A"/>
    <w:rsid w:val="00AC6CDD"/>
    <w:rsid w:val="00AD5231"/>
    <w:rsid w:val="00AD7BB2"/>
    <w:rsid w:val="00AE1861"/>
    <w:rsid w:val="00AE47FD"/>
    <w:rsid w:val="00AE6DDE"/>
    <w:rsid w:val="00AE7D0A"/>
    <w:rsid w:val="00AE7D4D"/>
    <w:rsid w:val="00AF27B5"/>
    <w:rsid w:val="00AF6109"/>
    <w:rsid w:val="00B03D62"/>
    <w:rsid w:val="00B04B47"/>
    <w:rsid w:val="00B04BD3"/>
    <w:rsid w:val="00B14A0F"/>
    <w:rsid w:val="00B14DB5"/>
    <w:rsid w:val="00B23D2D"/>
    <w:rsid w:val="00B25CB9"/>
    <w:rsid w:val="00B26AA2"/>
    <w:rsid w:val="00B26BA7"/>
    <w:rsid w:val="00B30647"/>
    <w:rsid w:val="00B34549"/>
    <w:rsid w:val="00B3524D"/>
    <w:rsid w:val="00B354CC"/>
    <w:rsid w:val="00B40F69"/>
    <w:rsid w:val="00B40FFF"/>
    <w:rsid w:val="00B44F61"/>
    <w:rsid w:val="00B45945"/>
    <w:rsid w:val="00B46616"/>
    <w:rsid w:val="00B478BC"/>
    <w:rsid w:val="00B50946"/>
    <w:rsid w:val="00B515A8"/>
    <w:rsid w:val="00B5248D"/>
    <w:rsid w:val="00B57329"/>
    <w:rsid w:val="00B601E0"/>
    <w:rsid w:val="00B62149"/>
    <w:rsid w:val="00B7040A"/>
    <w:rsid w:val="00B73518"/>
    <w:rsid w:val="00B83391"/>
    <w:rsid w:val="00B84192"/>
    <w:rsid w:val="00B84A71"/>
    <w:rsid w:val="00B87C01"/>
    <w:rsid w:val="00B93154"/>
    <w:rsid w:val="00B9422C"/>
    <w:rsid w:val="00B95326"/>
    <w:rsid w:val="00B97CED"/>
    <w:rsid w:val="00BA295F"/>
    <w:rsid w:val="00BB5234"/>
    <w:rsid w:val="00BB7A60"/>
    <w:rsid w:val="00BB7C68"/>
    <w:rsid w:val="00BC042A"/>
    <w:rsid w:val="00BC4F9B"/>
    <w:rsid w:val="00BD4196"/>
    <w:rsid w:val="00BE0FBA"/>
    <w:rsid w:val="00BE10F9"/>
    <w:rsid w:val="00BE2D7D"/>
    <w:rsid w:val="00BE6E17"/>
    <w:rsid w:val="00BF023D"/>
    <w:rsid w:val="00BF21F8"/>
    <w:rsid w:val="00BF22CA"/>
    <w:rsid w:val="00BF23BB"/>
    <w:rsid w:val="00BF4F4A"/>
    <w:rsid w:val="00BF55CC"/>
    <w:rsid w:val="00BF66E5"/>
    <w:rsid w:val="00BF6E43"/>
    <w:rsid w:val="00C00C8D"/>
    <w:rsid w:val="00C027FD"/>
    <w:rsid w:val="00C06CD7"/>
    <w:rsid w:val="00C13AB5"/>
    <w:rsid w:val="00C15C10"/>
    <w:rsid w:val="00C17D15"/>
    <w:rsid w:val="00C222E1"/>
    <w:rsid w:val="00C26032"/>
    <w:rsid w:val="00C32F37"/>
    <w:rsid w:val="00C33454"/>
    <w:rsid w:val="00C345E1"/>
    <w:rsid w:val="00C355A8"/>
    <w:rsid w:val="00C43662"/>
    <w:rsid w:val="00C43BFD"/>
    <w:rsid w:val="00C53074"/>
    <w:rsid w:val="00C61C6A"/>
    <w:rsid w:val="00C63FCE"/>
    <w:rsid w:val="00C74B35"/>
    <w:rsid w:val="00C87A30"/>
    <w:rsid w:val="00C942F8"/>
    <w:rsid w:val="00C94635"/>
    <w:rsid w:val="00CA10DE"/>
    <w:rsid w:val="00CB4AB2"/>
    <w:rsid w:val="00CB5088"/>
    <w:rsid w:val="00CB575C"/>
    <w:rsid w:val="00CB5C75"/>
    <w:rsid w:val="00CB6CFF"/>
    <w:rsid w:val="00CB6E35"/>
    <w:rsid w:val="00CC295A"/>
    <w:rsid w:val="00CD3634"/>
    <w:rsid w:val="00CD3B1E"/>
    <w:rsid w:val="00CD3E3A"/>
    <w:rsid w:val="00CD58CE"/>
    <w:rsid w:val="00CD59AC"/>
    <w:rsid w:val="00CD643A"/>
    <w:rsid w:val="00CD7CCB"/>
    <w:rsid w:val="00CE1A46"/>
    <w:rsid w:val="00CE3602"/>
    <w:rsid w:val="00CF20B6"/>
    <w:rsid w:val="00D01A25"/>
    <w:rsid w:val="00D06C8C"/>
    <w:rsid w:val="00D11C22"/>
    <w:rsid w:val="00D20757"/>
    <w:rsid w:val="00D22636"/>
    <w:rsid w:val="00D27055"/>
    <w:rsid w:val="00D33AF2"/>
    <w:rsid w:val="00D3569D"/>
    <w:rsid w:val="00D40687"/>
    <w:rsid w:val="00D40FD9"/>
    <w:rsid w:val="00D42BE3"/>
    <w:rsid w:val="00D45631"/>
    <w:rsid w:val="00D53769"/>
    <w:rsid w:val="00D558B3"/>
    <w:rsid w:val="00D56507"/>
    <w:rsid w:val="00D576FD"/>
    <w:rsid w:val="00D57890"/>
    <w:rsid w:val="00D67C17"/>
    <w:rsid w:val="00D76EB4"/>
    <w:rsid w:val="00D80907"/>
    <w:rsid w:val="00D834A0"/>
    <w:rsid w:val="00D84CCA"/>
    <w:rsid w:val="00D858C5"/>
    <w:rsid w:val="00D85C13"/>
    <w:rsid w:val="00D87AF7"/>
    <w:rsid w:val="00D9111A"/>
    <w:rsid w:val="00D91BE3"/>
    <w:rsid w:val="00D9291A"/>
    <w:rsid w:val="00D9445B"/>
    <w:rsid w:val="00D94AFC"/>
    <w:rsid w:val="00DA31CD"/>
    <w:rsid w:val="00DA3CA5"/>
    <w:rsid w:val="00DA7299"/>
    <w:rsid w:val="00DB032D"/>
    <w:rsid w:val="00DB0FA2"/>
    <w:rsid w:val="00DB2824"/>
    <w:rsid w:val="00DB4CF2"/>
    <w:rsid w:val="00DB6169"/>
    <w:rsid w:val="00DB70AE"/>
    <w:rsid w:val="00DC1BD4"/>
    <w:rsid w:val="00DC39E7"/>
    <w:rsid w:val="00DC6179"/>
    <w:rsid w:val="00DC719A"/>
    <w:rsid w:val="00DD1BBC"/>
    <w:rsid w:val="00DD228A"/>
    <w:rsid w:val="00DD4868"/>
    <w:rsid w:val="00DD5071"/>
    <w:rsid w:val="00DD5C39"/>
    <w:rsid w:val="00DE5000"/>
    <w:rsid w:val="00DE6345"/>
    <w:rsid w:val="00DE7DB7"/>
    <w:rsid w:val="00DF01B2"/>
    <w:rsid w:val="00DF09E9"/>
    <w:rsid w:val="00DF0EC0"/>
    <w:rsid w:val="00DF7CE2"/>
    <w:rsid w:val="00E00973"/>
    <w:rsid w:val="00E00A0A"/>
    <w:rsid w:val="00E03875"/>
    <w:rsid w:val="00E066DE"/>
    <w:rsid w:val="00E07F57"/>
    <w:rsid w:val="00E142AF"/>
    <w:rsid w:val="00E14C03"/>
    <w:rsid w:val="00E17463"/>
    <w:rsid w:val="00E17E24"/>
    <w:rsid w:val="00E25182"/>
    <w:rsid w:val="00E25D2E"/>
    <w:rsid w:val="00E30683"/>
    <w:rsid w:val="00E453D8"/>
    <w:rsid w:val="00E47401"/>
    <w:rsid w:val="00E50BCE"/>
    <w:rsid w:val="00E51F18"/>
    <w:rsid w:val="00E52B70"/>
    <w:rsid w:val="00E574BF"/>
    <w:rsid w:val="00E57959"/>
    <w:rsid w:val="00E61292"/>
    <w:rsid w:val="00E61AB9"/>
    <w:rsid w:val="00E63C44"/>
    <w:rsid w:val="00E6703A"/>
    <w:rsid w:val="00E67616"/>
    <w:rsid w:val="00E75E86"/>
    <w:rsid w:val="00E77C4D"/>
    <w:rsid w:val="00E81D01"/>
    <w:rsid w:val="00E83B41"/>
    <w:rsid w:val="00E841E4"/>
    <w:rsid w:val="00E845A5"/>
    <w:rsid w:val="00E848CE"/>
    <w:rsid w:val="00E85E57"/>
    <w:rsid w:val="00E95E09"/>
    <w:rsid w:val="00EA4A5B"/>
    <w:rsid w:val="00EA53CE"/>
    <w:rsid w:val="00EB4A6D"/>
    <w:rsid w:val="00EB5DB7"/>
    <w:rsid w:val="00EB5FC7"/>
    <w:rsid w:val="00EB71D2"/>
    <w:rsid w:val="00EB772A"/>
    <w:rsid w:val="00EC0100"/>
    <w:rsid w:val="00EC3926"/>
    <w:rsid w:val="00ED345E"/>
    <w:rsid w:val="00ED5594"/>
    <w:rsid w:val="00ED56AC"/>
    <w:rsid w:val="00ED5C52"/>
    <w:rsid w:val="00ED7C65"/>
    <w:rsid w:val="00EE13E0"/>
    <w:rsid w:val="00EE1E3E"/>
    <w:rsid w:val="00EE45D8"/>
    <w:rsid w:val="00EF488C"/>
    <w:rsid w:val="00EF49CF"/>
    <w:rsid w:val="00F040D9"/>
    <w:rsid w:val="00F10129"/>
    <w:rsid w:val="00F115EC"/>
    <w:rsid w:val="00F15CE3"/>
    <w:rsid w:val="00F179F0"/>
    <w:rsid w:val="00F22EDA"/>
    <w:rsid w:val="00F246FD"/>
    <w:rsid w:val="00F301F6"/>
    <w:rsid w:val="00F34B59"/>
    <w:rsid w:val="00F41E63"/>
    <w:rsid w:val="00F563E7"/>
    <w:rsid w:val="00F63267"/>
    <w:rsid w:val="00F729E6"/>
    <w:rsid w:val="00F74FA7"/>
    <w:rsid w:val="00F75148"/>
    <w:rsid w:val="00F75D7A"/>
    <w:rsid w:val="00F760DA"/>
    <w:rsid w:val="00F84B01"/>
    <w:rsid w:val="00F85BA0"/>
    <w:rsid w:val="00F949E3"/>
    <w:rsid w:val="00F97364"/>
    <w:rsid w:val="00FA040C"/>
    <w:rsid w:val="00FA1DB5"/>
    <w:rsid w:val="00FA608B"/>
    <w:rsid w:val="00FB05E3"/>
    <w:rsid w:val="00FB66A9"/>
    <w:rsid w:val="00FB6DB1"/>
    <w:rsid w:val="00FC244D"/>
    <w:rsid w:val="00FC4DDB"/>
    <w:rsid w:val="00FD3222"/>
    <w:rsid w:val="00FE53D1"/>
    <w:rsid w:val="00FE7A43"/>
    <w:rsid w:val="00FF1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DE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1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locked/>
    <w:rsid w:val="0087528C"/>
    <w:rPr>
      <w:rFonts w:cs="Times New Roman"/>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locked/>
    <w:rsid w:val="0087528C"/>
    <w:rPr>
      <w:rFonts w:cs="Times New Roman"/>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7528C"/>
    <w:rPr>
      <w:rFonts w:cs="Times New Roman"/>
      <w:sz w:val="2"/>
    </w:rPr>
  </w:style>
  <w:style w:type="character" w:styleId="Hyperlink">
    <w:name w:val="Hyperlink"/>
    <w:basedOn w:val="DefaultParagraphFont"/>
    <w:uiPriority w:val="99"/>
    <w:rsid w:val="00B95326"/>
    <w:rPr>
      <w:rFonts w:cs="Times New Roman"/>
      <w:color w:val="0000FF"/>
      <w:u w:val="single"/>
    </w:rPr>
  </w:style>
  <w:style w:type="character" w:customStyle="1" w:styleId="legds2">
    <w:name w:val="legds2"/>
    <w:basedOn w:val="DefaultParagraphFont"/>
    <w:uiPriority w:val="99"/>
    <w:rsid w:val="00E85E57"/>
    <w:rPr>
      <w:rFonts w:cs="Times New Roman"/>
    </w:rPr>
  </w:style>
  <w:style w:type="character" w:customStyle="1" w:styleId="legextentrestriction7">
    <w:name w:val="legextentrestriction7"/>
    <w:basedOn w:val="DefaultParagraphFont"/>
    <w:uiPriority w:val="99"/>
    <w:rsid w:val="00E85E57"/>
    <w:rPr>
      <w:rFonts w:cs="Times New Roman"/>
      <w:b/>
      <w:bCs/>
      <w:vanish/>
      <w:color w:val="FFFFFF"/>
      <w:sz w:val="22"/>
      <w:szCs w:val="22"/>
      <w:shd w:val="clear" w:color="auto" w:fill="660066"/>
    </w:rPr>
  </w:style>
  <w:style w:type="paragraph" w:customStyle="1" w:styleId="legclearfix2">
    <w:name w:val="legclearfix2"/>
    <w:basedOn w:val="Normal"/>
    <w:uiPriority w:val="99"/>
    <w:rsid w:val="00E85E57"/>
    <w:pPr>
      <w:shd w:val="clear" w:color="auto" w:fill="FFFFFF"/>
      <w:spacing w:after="120" w:line="360" w:lineRule="atLeast"/>
    </w:pPr>
    <w:rPr>
      <w:color w:val="00000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8272">
      <w:bodyDiv w:val="1"/>
      <w:marLeft w:val="0"/>
      <w:marRight w:val="0"/>
      <w:marTop w:val="0"/>
      <w:marBottom w:val="0"/>
      <w:divBdr>
        <w:top w:val="none" w:sz="0" w:space="0" w:color="auto"/>
        <w:left w:val="none" w:sz="0" w:space="0" w:color="auto"/>
        <w:bottom w:val="none" w:sz="0" w:space="0" w:color="auto"/>
        <w:right w:val="none" w:sz="0" w:space="0" w:color="auto"/>
      </w:divBdr>
    </w:div>
    <w:div w:id="250814891">
      <w:marLeft w:val="0"/>
      <w:marRight w:val="0"/>
      <w:marTop w:val="0"/>
      <w:marBottom w:val="0"/>
      <w:divBdr>
        <w:top w:val="none" w:sz="0" w:space="0" w:color="auto"/>
        <w:left w:val="none" w:sz="0" w:space="0" w:color="auto"/>
        <w:bottom w:val="none" w:sz="0" w:space="0" w:color="auto"/>
        <w:right w:val="none" w:sz="0" w:space="0" w:color="auto"/>
      </w:divBdr>
      <w:divsChild>
        <w:div w:id="250814897">
          <w:marLeft w:val="0"/>
          <w:marRight w:val="0"/>
          <w:marTop w:val="0"/>
          <w:marBottom w:val="0"/>
          <w:divBdr>
            <w:top w:val="none" w:sz="0" w:space="0" w:color="auto"/>
            <w:left w:val="none" w:sz="0" w:space="0" w:color="auto"/>
            <w:bottom w:val="none" w:sz="0" w:space="0" w:color="auto"/>
            <w:right w:val="none" w:sz="0" w:space="0" w:color="auto"/>
          </w:divBdr>
          <w:divsChild>
            <w:div w:id="250814898">
              <w:marLeft w:val="0"/>
              <w:marRight w:val="0"/>
              <w:marTop w:val="0"/>
              <w:marBottom w:val="0"/>
              <w:divBdr>
                <w:top w:val="single" w:sz="2" w:space="0" w:color="FFFFFF"/>
                <w:left w:val="single" w:sz="6" w:space="0" w:color="FFFFFF"/>
                <w:bottom w:val="single" w:sz="6" w:space="0" w:color="FFFFFF"/>
                <w:right w:val="single" w:sz="6" w:space="0" w:color="FFFFFF"/>
              </w:divBdr>
              <w:divsChild>
                <w:div w:id="250814899">
                  <w:marLeft w:val="0"/>
                  <w:marRight w:val="0"/>
                  <w:marTop w:val="0"/>
                  <w:marBottom w:val="0"/>
                  <w:divBdr>
                    <w:top w:val="single" w:sz="6" w:space="1" w:color="D3D3D3"/>
                    <w:left w:val="none" w:sz="0" w:space="0" w:color="auto"/>
                    <w:bottom w:val="none" w:sz="0" w:space="0" w:color="auto"/>
                    <w:right w:val="none" w:sz="0" w:space="0" w:color="auto"/>
                  </w:divBdr>
                  <w:divsChild>
                    <w:div w:id="2508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14893">
      <w:marLeft w:val="0"/>
      <w:marRight w:val="0"/>
      <w:marTop w:val="0"/>
      <w:marBottom w:val="0"/>
      <w:divBdr>
        <w:top w:val="none" w:sz="0" w:space="0" w:color="auto"/>
        <w:left w:val="none" w:sz="0" w:space="0" w:color="auto"/>
        <w:bottom w:val="none" w:sz="0" w:space="0" w:color="auto"/>
        <w:right w:val="none" w:sz="0" w:space="0" w:color="auto"/>
      </w:divBdr>
    </w:div>
    <w:div w:id="250814894">
      <w:marLeft w:val="0"/>
      <w:marRight w:val="0"/>
      <w:marTop w:val="0"/>
      <w:marBottom w:val="0"/>
      <w:divBdr>
        <w:top w:val="none" w:sz="0" w:space="0" w:color="auto"/>
        <w:left w:val="none" w:sz="0" w:space="0" w:color="auto"/>
        <w:bottom w:val="none" w:sz="0" w:space="0" w:color="auto"/>
        <w:right w:val="none" w:sz="0" w:space="0" w:color="auto"/>
      </w:divBdr>
    </w:div>
    <w:div w:id="250814895">
      <w:marLeft w:val="0"/>
      <w:marRight w:val="0"/>
      <w:marTop w:val="0"/>
      <w:marBottom w:val="0"/>
      <w:divBdr>
        <w:top w:val="none" w:sz="0" w:space="0" w:color="auto"/>
        <w:left w:val="none" w:sz="0" w:space="0" w:color="auto"/>
        <w:bottom w:val="none" w:sz="0" w:space="0" w:color="auto"/>
        <w:right w:val="none" w:sz="0" w:space="0" w:color="auto"/>
      </w:divBdr>
    </w:div>
    <w:div w:id="250814896">
      <w:marLeft w:val="0"/>
      <w:marRight w:val="0"/>
      <w:marTop w:val="0"/>
      <w:marBottom w:val="0"/>
      <w:divBdr>
        <w:top w:val="none" w:sz="0" w:space="0" w:color="auto"/>
        <w:left w:val="none" w:sz="0" w:space="0" w:color="auto"/>
        <w:bottom w:val="none" w:sz="0" w:space="0" w:color="auto"/>
        <w:right w:val="none" w:sz="0" w:space="0" w:color="auto"/>
      </w:divBdr>
    </w:div>
    <w:div w:id="1966304529">
      <w:bodyDiv w:val="1"/>
      <w:marLeft w:val="0"/>
      <w:marRight w:val="0"/>
      <w:marTop w:val="0"/>
      <w:marBottom w:val="0"/>
      <w:divBdr>
        <w:top w:val="none" w:sz="0" w:space="0" w:color="auto"/>
        <w:left w:val="none" w:sz="0" w:space="0" w:color="auto"/>
        <w:bottom w:val="none" w:sz="0" w:space="0" w:color="auto"/>
        <w:right w:val="none" w:sz="0" w:space="0" w:color="auto"/>
      </w:divBdr>
    </w:div>
    <w:div w:id="201386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1722</Words>
  <Characters>9827</Characters>
  <Application>Microsoft Office Word</Application>
  <DocSecurity>0</DocSecurity>
  <Lines>81</Lines>
  <Paragraphs>23</Paragraphs>
  <ScaleCrop>false</ScaleCrop>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2018-09-03T12:19:00Z</dcterms:created>
  <dcterms:modified xsi:type="dcterms:W3CDTF">2018-09-03T12:19:00Z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