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B25D" w14:textId="5DE6AE56" w:rsidR="000354AC" w:rsidRPr="009E4F39" w:rsidRDefault="00115D94" w:rsidP="00647AB3">
      <w:pPr>
        <w:jc w:val="center"/>
        <w:rPr>
          <w:rFonts w:ascii="Book Antiqua" w:hAnsi="Book Antiqua" w:cs="Arial"/>
        </w:rPr>
      </w:pPr>
      <w:r w:rsidRPr="009E4F39">
        <w:rPr>
          <w:rFonts w:ascii="Book Antiqua" w:hAnsi="Book Antiqua"/>
          <w:noProof/>
        </w:rPr>
        <w:drawing>
          <wp:inline distT="0" distB="0" distL="0" distR="0" wp14:anchorId="13DEB698" wp14:editId="5DC4B1D2">
            <wp:extent cx="1190625"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028700"/>
                    </a:xfrm>
                    <a:prstGeom prst="rect">
                      <a:avLst/>
                    </a:prstGeom>
                    <a:noFill/>
                    <a:ln>
                      <a:noFill/>
                    </a:ln>
                  </pic:spPr>
                </pic:pic>
              </a:graphicData>
            </a:graphic>
          </wp:inline>
        </w:drawing>
      </w:r>
    </w:p>
    <w:p w14:paraId="49C1805D" w14:textId="77777777" w:rsidR="000354AC" w:rsidRPr="009E4F39" w:rsidRDefault="000354AC" w:rsidP="00647AB3">
      <w:pPr>
        <w:tabs>
          <w:tab w:val="right" w:pos="9639"/>
        </w:tabs>
        <w:rPr>
          <w:rFonts w:ascii="Book Antiqua" w:hAnsi="Book Antiqua" w:cs="Arial"/>
          <w:b/>
        </w:rPr>
      </w:pPr>
      <w:r w:rsidRPr="009E4F39">
        <w:rPr>
          <w:rFonts w:ascii="Book Antiqua" w:hAnsi="Book Antiqua" w:cs="Arial"/>
          <w:b/>
        </w:rPr>
        <w:t>Upper Tribunal</w:t>
      </w:r>
    </w:p>
    <w:p w14:paraId="1F663CE4" w14:textId="77777777" w:rsidR="000354AC" w:rsidRPr="009E4F39" w:rsidRDefault="000354AC" w:rsidP="00647AB3">
      <w:pPr>
        <w:tabs>
          <w:tab w:val="right" w:pos="9639"/>
        </w:tabs>
        <w:rPr>
          <w:rFonts w:ascii="Book Antiqua" w:hAnsi="Book Antiqua" w:cs="Arial"/>
          <w:b/>
          <w:caps/>
        </w:rPr>
      </w:pPr>
      <w:r w:rsidRPr="009E4F39">
        <w:rPr>
          <w:rFonts w:ascii="Book Antiqua" w:hAnsi="Book Antiqua" w:cs="Arial"/>
          <w:b/>
        </w:rPr>
        <w:t xml:space="preserve">(Immigration and Asylum </w:t>
      </w:r>
      <w:proofErr w:type="gramStart"/>
      <w:r w:rsidRPr="009E4F39">
        <w:rPr>
          <w:rFonts w:ascii="Book Antiqua" w:hAnsi="Book Antiqua" w:cs="Arial"/>
          <w:b/>
        </w:rPr>
        <w:t xml:space="preserve">Chamber)   </w:t>
      </w:r>
      <w:proofErr w:type="gramEnd"/>
      <w:r w:rsidRPr="009E4F39">
        <w:rPr>
          <w:rFonts w:ascii="Book Antiqua" w:hAnsi="Book Antiqua" w:cs="Arial"/>
          <w:b/>
        </w:rPr>
        <w:t xml:space="preserve">                       </w:t>
      </w:r>
      <w:r w:rsidR="00647AB3">
        <w:rPr>
          <w:rFonts w:ascii="Book Antiqua" w:hAnsi="Book Antiqua" w:cs="Arial"/>
          <w:b/>
        </w:rPr>
        <w:tab/>
      </w:r>
      <w:r w:rsidRPr="009E4F39">
        <w:rPr>
          <w:rFonts w:ascii="Book Antiqua" w:hAnsi="Book Antiqua" w:cs="Arial"/>
          <w:b/>
        </w:rPr>
        <w:t xml:space="preserve">Appeal Number: </w:t>
      </w:r>
      <w:bookmarkStart w:id="0" w:name="_GoBack"/>
      <w:r w:rsidR="00BE280D" w:rsidRPr="009E4F39">
        <w:rPr>
          <w:rFonts w:ascii="Book Antiqua" w:hAnsi="Book Antiqua" w:cs="Arial"/>
          <w:b/>
          <w:caps/>
        </w:rPr>
        <w:t>HU/20043/2016</w:t>
      </w:r>
      <w:bookmarkEnd w:id="0"/>
    </w:p>
    <w:p w14:paraId="303AA6C9" w14:textId="77777777" w:rsidR="000354AC" w:rsidRPr="009E4F39" w:rsidRDefault="000354AC" w:rsidP="00647AB3">
      <w:pPr>
        <w:jc w:val="center"/>
        <w:rPr>
          <w:rFonts w:ascii="Book Antiqua" w:hAnsi="Book Antiqua" w:cs="Arial"/>
        </w:rPr>
      </w:pPr>
    </w:p>
    <w:p w14:paraId="5A9521DB" w14:textId="77777777" w:rsidR="009E62CD" w:rsidRDefault="009E62CD" w:rsidP="00647AB3">
      <w:pPr>
        <w:jc w:val="center"/>
        <w:rPr>
          <w:rFonts w:ascii="Book Antiqua" w:hAnsi="Book Antiqua" w:cs="Arial"/>
          <w:b/>
          <w:u w:val="single"/>
        </w:rPr>
      </w:pPr>
    </w:p>
    <w:p w14:paraId="551D2A16" w14:textId="10184060" w:rsidR="000354AC" w:rsidRDefault="000354AC" w:rsidP="00647AB3">
      <w:pPr>
        <w:jc w:val="center"/>
        <w:rPr>
          <w:rFonts w:ascii="Book Antiqua" w:hAnsi="Book Antiqua" w:cs="Arial"/>
          <w:b/>
          <w:u w:val="single"/>
        </w:rPr>
      </w:pPr>
      <w:r w:rsidRPr="009E4F39">
        <w:rPr>
          <w:rFonts w:ascii="Book Antiqua" w:hAnsi="Book Antiqua" w:cs="Arial"/>
          <w:b/>
          <w:u w:val="single"/>
        </w:rPr>
        <w:t>THE IMMIGRATION ACTS</w:t>
      </w:r>
    </w:p>
    <w:p w14:paraId="0D6A6F4E" w14:textId="77777777" w:rsidR="009E62CD" w:rsidRPr="009E4F39" w:rsidRDefault="009E62CD" w:rsidP="00647AB3">
      <w:pPr>
        <w:jc w:val="center"/>
        <w:rPr>
          <w:rFonts w:ascii="Book Antiqua" w:hAnsi="Book Antiqua" w:cs="Arial"/>
          <w:b/>
          <w:u w:val="single"/>
        </w:rPr>
      </w:pPr>
    </w:p>
    <w:p w14:paraId="5AE46941" w14:textId="77777777" w:rsidR="000354AC" w:rsidRPr="009E4F39" w:rsidRDefault="000354AC" w:rsidP="00647AB3">
      <w:pPr>
        <w:jc w:val="center"/>
        <w:rPr>
          <w:rFonts w:ascii="Book Antiqua" w:hAnsi="Book Antiqua" w:cs="Arial"/>
          <w:b/>
          <w:u w:val="single"/>
        </w:rPr>
      </w:pPr>
    </w:p>
    <w:tbl>
      <w:tblPr>
        <w:tblW w:w="10008" w:type="dxa"/>
        <w:tblLook w:val="01E0" w:firstRow="1" w:lastRow="1" w:firstColumn="1" w:lastColumn="1" w:noHBand="0" w:noVBand="0"/>
      </w:tblPr>
      <w:tblGrid>
        <w:gridCol w:w="5508"/>
        <w:gridCol w:w="540"/>
        <w:gridCol w:w="3960"/>
      </w:tblGrid>
      <w:tr w:rsidR="000354AC" w:rsidRPr="009E4F39" w14:paraId="5CFA9E9D" w14:textId="77777777" w:rsidTr="000354AC">
        <w:tc>
          <w:tcPr>
            <w:tcW w:w="5508" w:type="dxa"/>
            <w:shd w:val="clear" w:color="auto" w:fill="auto"/>
          </w:tcPr>
          <w:p w14:paraId="07A6C599" w14:textId="77777777" w:rsidR="000354AC" w:rsidRPr="009E4F39" w:rsidRDefault="000354AC" w:rsidP="00647AB3">
            <w:pPr>
              <w:rPr>
                <w:rFonts w:ascii="Book Antiqua" w:hAnsi="Book Antiqua" w:cs="Arial"/>
                <w:b/>
              </w:rPr>
            </w:pPr>
            <w:r w:rsidRPr="009E4F39">
              <w:rPr>
                <w:rFonts w:ascii="Book Antiqua" w:hAnsi="Book Antiqua" w:cs="Arial"/>
                <w:b/>
              </w:rPr>
              <w:t>Heard at Field House</w:t>
            </w:r>
          </w:p>
        </w:tc>
        <w:tc>
          <w:tcPr>
            <w:tcW w:w="4500" w:type="dxa"/>
            <w:gridSpan w:val="2"/>
            <w:shd w:val="clear" w:color="auto" w:fill="auto"/>
          </w:tcPr>
          <w:p w14:paraId="23F73009" w14:textId="77777777" w:rsidR="000354AC" w:rsidRPr="009E4F39" w:rsidRDefault="000354AC" w:rsidP="00647AB3">
            <w:pPr>
              <w:jc w:val="center"/>
              <w:rPr>
                <w:rFonts w:ascii="Book Antiqua" w:hAnsi="Book Antiqua" w:cs="Arial"/>
                <w:b/>
              </w:rPr>
            </w:pPr>
            <w:r w:rsidRPr="009E4F39">
              <w:rPr>
                <w:rFonts w:ascii="Book Antiqua" w:hAnsi="Book Antiqua" w:cs="Arial"/>
                <w:b/>
              </w:rPr>
              <w:t>Decision &amp; Reasons Promulgated</w:t>
            </w:r>
          </w:p>
        </w:tc>
      </w:tr>
      <w:tr w:rsidR="000354AC" w:rsidRPr="009E4F39" w14:paraId="70B17EFA" w14:textId="77777777" w:rsidTr="000354AC">
        <w:tc>
          <w:tcPr>
            <w:tcW w:w="5508" w:type="dxa"/>
            <w:shd w:val="clear" w:color="auto" w:fill="auto"/>
          </w:tcPr>
          <w:p w14:paraId="15A3C29B" w14:textId="77777777" w:rsidR="000354AC" w:rsidRPr="009E4F39" w:rsidRDefault="00BE280D" w:rsidP="00647AB3">
            <w:pPr>
              <w:rPr>
                <w:rFonts w:ascii="Book Antiqua" w:hAnsi="Book Antiqua" w:cs="Arial"/>
                <w:b/>
              </w:rPr>
            </w:pPr>
            <w:r w:rsidRPr="009E4F39">
              <w:rPr>
                <w:rFonts w:ascii="Book Antiqua" w:hAnsi="Book Antiqua" w:cs="Arial"/>
                <w:b/>
              </w:rPr>
              <w:t>On 13 April 2018</w:t>
            </w:r>
          </w:p>
        </w:tc>
        <w:tc>
          <w:tcPr>
            <w:tcW w:w="4500" w:type="dxa"/>
            <w:gridSpan w:val="2"/>
            <w:shd w:val="clear" w:color="auto" w:fill="auto"/>
          </w:tcPr>
          <w:p w14:paraId="466D786B" w14:textId="77777777" w:rsidR="000354AC" w:rsidRPr="009E4F39" w:rsidRDefault="00647AB3" w:rsidP="00647AB3">
            <w:pPr>
              <w:rPr>
                <w:rFonts w:ascii="Book Antiqua" w:hAnsi="Book Antiqua" w:cs="Arial"/>
                <w:b/>
              </w:rPr>
            </w:pPr>
            <w:r>
              <w:rPr>
                <w:rFonts w:ascii="Book Antiqua" w:hAnsi="Book Antiqua" w:cs="Arial"/>
                <w:b/>
              </w:rPr>
              <w:t xml:space="preserve">     </w:t>
            </w:r>
            <w:r w:rsidR="00BE280D" w:rsidRPr="009E4F39">
              <w:rPr>
                <w:rFonts w:ascii="Book Antiqua" w:hAnsi="Book Antiqua" w:cs="Arial"/>
                <w:b/>
              </w:rPr>
              <w:t>On</w:t>
            </w:r>
            <w:r w:rsidR="00115D94" w:rsidRPr="00115D94">
              <w:rPr>
                <w:rFonts w:ascii="Book Antiqua" w:hAnsi="Book Antiqua" w:cs="Arial"/>
                <w:b/>
              </w:rPr>
              <w:t xml:space="preserve"> 27 July 2018</w:t>
            </w:r>
          </w:p>
        </w:tc>
      </w:tr>
      <w:tr w:rsidR="000354AC" w:rsidRPr="009E4F39" w14:paraId="19858C96" w14:textId="77777777" w:rsidTr="000354AC">
        <w:tc>
          <w:tcPr>
            <w:tcW w:w="6048" w:type="dxa"/>
            <w:gridSpan w:val="2"/>
            <w:shd w:val="clear" w:color="auto" w:fill="auto"/>
          </w:tcPr>
          <w:p w14:paraId="6461426A" w14:textId="77777777" w:rsidR="000354AC" w:rsidRPr="009E4F39" w:rsidRDefault="000354AC" w:rsidP="00647AB3">
            <w:pPr>
              <w:jc w:val="center"/>
              <w:rPr>
                <w:rFonts w:ascii="Book Antiqua" w:hAnsi="Book Antiqua" w:cs="Arial"/>
                <w:b/>
              </w:rPr>
            </w:pPr>
          </w:p>
        </w:tc>
        <w:tc>
          <w:tcPr>
            <w:tcW w:w="3960" w:type="dxa"/>
            <w:shd w:val="clear" w:color="auto" w:fill="auto"/>
          </w:tcPr>
          <w:p w14:paraId="023DD79E" w14:textId="77777777" w:rsidR="000354AC" w:rsidRPr="009E4F39" w:rsidRDefault="000354AC" w:rsidP="00647AB3">
            <w:pPr>
              <w:jc w:val="center"/>
              <w:rPr>
                <w:rFonts w:ascii="Book Antiqua" w:hAnsi="Book Antiqua" w:cs="Arial"/>
                <w:b/>
              </w:rPr>
            </w:pPr>
          </w:p>
        </w:tc>
      </w:tr>
    </w:tbl>
    <w:p w14:paraId="336F1536" w14:textId="77777777" w:rsidR="000354AC" w:rsidRPr="009E4F39" w:rsidRDefault="000354AC" w:rsidP="00647AB3">
      <w:pPr>
        <w:jc w:val="center"/>
        <w:rPr>
          <w:rFonts w:ascii="Book Antiqua" w:hAnsi="Book Antiqua" w:cs="Arial"/>
        </w:rPr>
      </w:pPr>
    </w:p>
    <w:p w14:paraId="478D845F" w14:textId="77777777" w:rsidR="000354AC" w:rsidRPr="009E4F39" w:rsidRDefault="000354AC" w:rsidP="00647AB3">
      <w:pPr>
        <w:jc w:val="center"/>
        <w:rPr>
          <w:rFonts w:ascii="Book Antiqua" w:hAnsi="Book Antiqua" w:cs="Arial"/>
          <w:b/>
        </w:rPr>
      </w:pPr>
      <w:r w:rsidRPr="009E4F39">
        <w:rPr>
          <w:rFonts w:ascii="Book Antiqua" w:hAnsi="Book Antiqua" w:cs="Arial"/>
          <w:b/>
        </w:rPr>
        <w:t>Before</w:t>
      </w:r>
    </w:p>
    <w:p w14:paraId="1B1BFC7E" w14:textId="77777777" w:rsidR="000354AC" w:rsidRPr="009E4F39" w:rsidRDefault="000354AC" w:rsidP="00647AB3">
      <w:pPr>
        <w:jc w:val="center"/>
        <w:rPr>
          <w:rFonts w:ascii="Book Antiqua" w:hAnsi="Book Antiqua" w:cs="Arial"/>
          <w:b/>
        </w:rPr>
      </w:pPr>
    </w:p>
    <w:p w14:paraId="1BB2284C" w14:textId="77777777" w:rsidR="000354AC" w:rsidRPr="009E4F39" w:rsidRDefault="00BE280D" w:rsidP="00647AB3">
      <w:pPr>
        <w:jc w:val="center"/>
        <w:rPr>
          <w:rFonts w:ascii="Book Antiqua" w:hAnsi="Book Antiqua" w:cs="Arial"/>
          <w:b/>
        </w:rPr>
      </w:pPr>
      <w:r w:rsidRPr="009E4F39">
        <w:rPr>
          <w:rFonts w:ascii="Book Antiqua" w:hAnsi="Book Antiqua" w:cs="Arial"/>
          <w:b/>
        </w:rPr>
        <w:t xml:space="preserve">DEPUTY </w:t>
      </w:r>
      <w:r w:rsidR="000354AC" w:rsidRPr="009E4F39">
        <w:rPr>
          <w:rFonts w:ascii="Book Antiqua" w:hAnsi="Book Antiqua" w:cs="Arial"/>
          <w:b/>
        </w:rPr>
        <w:t xml:space="preserve">UPPER TRIBUNAL JUDGE </w:t>
      </w:r>
      <w:r w:rsidRPr="009E4F39">
        <w:rPr>
          <w:rFonts w:ascii="Book Antiqua" w:hAnsi="Book Antiqua" w:cs="Arial"/>
          <w:b/>
        </w:rPr>
        <w:t>BAGRAL</w:t>
      </w:r>
    </w:p>
    <w:p w14:paraId="1CC099C5" w14:textId="77777777" w:rsidR="000354AC" w:rsidRPr="009E4F39" w:rsidRDefault="000354AC" w:rsidP="00647AB3">
      <w:pPr>
        <w:jc w:val="center"/>
        <w:rPr>
          <w:rFonts w:ascii="Book Antiqua" w:hAnsi="Book Antiqua" w:cs="Arial"/>
          <w:b/>
        </w:rPr>
      </w:pPr>
    </w:p>
    <w:p w14:paraId="23D7C9D9" w14:textId="77777777" w:rsidR="000354AC" w:rsidRPr="009E4F39" w:rsidRDefault="000354AC" w:rsidP="00647AB3">
      <w:pPr>
        <w:jc w:val="center"/>
        <w:rPr>
          <w:rFonts w:ascii="Book Antiqua" w:hAnsi="Book Antiqua" w:cs="Arial"/>
          <w:b/>
        </w:rPr>
      </w:pPr>
    </w:p>
    <w:p w14:paraId="286754E9" w14:textId="77777777" w:rsidR="000354AC" w:rsidRPr="009E4F39" w:rsidRDefault="000354AC" w:rsidP="00647AB3">
      <w:pPr>
        <w:jc w:val="center"/>
        <w:rPr>
          <w:rFonts w:ascii="Book Antiqua" w:hAnsi="Book Antiqua" w:cs="Arial"/>
          <w:b/>
        </w:rPr>
      </w:pPr>
      <w:r w:rsidRPr="009E4F39">
        <w:rPr>
          <w:rFonts w:ascii="Book Antiqua" w:hAnsi="Book Antiqua" w:cs="Arial"/>
          <w:b/>
        </w:rPr>
        <w:t>Between</w:t>
      </w:r>
    </w:p>
    <w:p w14:paraId="1F3148A3" w14:textId="77777777" w:rsidR="00BE280D" w:rsidRPr="009E4F39" w:rsidRDefault="00BE280D" w:rsidP="00647AB3">
      <w:pPr>
        <w:jc w:val="center"/>
        <w:rPr>
          <w:rFonts w:ascii="Book Antiqua" w:hAnsi="Book Antiqua" w:cs="Arial"/>
          <w:b/>
        </w:rPr>
      </w:pPr>
    </w:p>
    <w:p w14:paraId="40BC4E76" w14:textId="77777777" w:rsidR="009C2633" w:rsidRPr="009E4F39" w:rsidRDefault="009C2633" w:rsidP="00647AB3">
      <w:pPr>
        <w:jc w:val="center"/>
        <w:rPr>
          <w:rFonts w:ascii="Book Antiqua" w:hAnsi="Book Antiqua" w:cs="Arial"/>
          <w:b/>
          <w:caps/>
        </w:rPr>
      </w:pPr>
      <w:r w:rsidRPr="009E4F39">
        <w:rPr>
          <w:rFonts w:ascii="Book Antiqua" w:hAnsi="Book Antiqua" w:cs="Arial"/>
          <w:b/>
          <w:caps/>
        </w:rPr>
        <w:t>THE Secretary of State for the Home Department</w:t>
      </w:r>
    </w:p>
    <w:p w14:paraId="0791266E" w14:textId="77777777" w:rsidR="000354AC" w:rsidRPr="009E4F39" w:rsidRDefault="000354AC" w:rsidP="00647AB3">
      <w:pPr>
        <w:ind w:left="7200" w:firstLine="720"/>
        <w:jc w:val="center"/>
        <w:rPr>
          <w:rFonts w:ascii="Book Antiqua" w:hAnsi="Book Antiqua" w:cs="Arial"/>
          <w:u w:val="single"/>
        </w:rPr>
      </w:pPr>
      <w:r w:rsidRPr="009E4F39">
        <w:rPr>
          <w:rFonts w:ascii="Book Antiqua" w:hAnsi="Book Antiqua" w:cs="Arial"/>
          <w:u w:val="single"/>
        </w:rPr>
        <w:t>Appellant</w:t>
      </w:r>
    </w:p>
    <w:p w14:paraId="667C0EAB" w14:textId="77777777" w:rsidR="000354AC" w:rsidRPr="009E4F39" w:rsidRDefault="000354AC" w:rsidP="00647AB3">
      <w:pPr>
        <w:jc w:val="center"/>
        <w:rPr>
          <w:rFonts w:ascii="Book Antiqua" w:hAnsi="Book Antiqua" w:cs="Arial"/>
          <w:b/>
        </w:rPr>
      </w:pPr>
      <w:r w:rsidRPr="009E4F39">
        <w:rPr>
          <w:rFonts w:ascii="Book Antiqua" w:hAnsi="Book Antiqua" w:cs="Arial"/>
          <w:b/>
        </w:rPr>
        <w:t>and</w:t>
      </w:r>
    </w:p>
    <w:p w14:paraId="404BA59D" w14:textId="77777777" w:rsidR="00BE280D" w:rsidRPr="009E4F39" w:rsidRDefault="00BE280D" w:rsidP="00647AB3">
      <w:pPr>
        <w:jc w:val="center"/>
        <w:rPr>
          <w:rFonts w:ascii="Book Antiqua" w:hAnsi="Book Antiqua" w:cs="Arial"/>
          <w:caps/>
        </w:rPr>
      </w:pPr>
    </w:p>
    <w:p w14:paraId="4E78BD6C" w14:textId="77777777" w:rsidR="009C2633" w:rsidRPr="009E4F39" w:rsidRDefault="009C2633" w:rsidP="00647AB3">
      <w:pPr>
        <w:jc w:val="center"/>
        <w:rPr>
          <w:rFonts w:ascii="Book Antiqua" w:hAnsi="Book Antiqua" w:cs="Arial"/>
          <w:b/>
          <w:caps/>
        </w:rPr>
      </w:pPr>
      <w:r w:rsidRPr="009E4F39">
        <w:rPr>
          <w:rFonts w:ascii="Book Antiqua" w:hAnsi="Book Antiqua" w:cs="Arial"/>
          <w:b/>
          <w:caps/>
        </w:rPr>
        <w:t>ZOKHIDA BOYMANTOVA</w:t>
      </w:r>
    </w:p>
    <w:p w14:paraId="0907C602" w14:textId="77777777" w:rsidR="009C2633" w:rsidRPr="00724E39" w:rsidRDefault="009C2633" w:rsidP="00647AB3">
      <w:pPr>
        <w:jc w:val="center"/>
        <w:rPr>
          <w:rFonts w:ascii="Book Antiqua" w:hAnsi="Book Antiqua" w:cs="Arial"/>
          <w:caps/>
          <w:sz w:val="22"/>
        </w:rPr>
      </w:pPr>
      <w:r w:rsidRPr="00724E39">
        <w:rPr>
          <w:rFonts w:ascii="Book Antiqua" w:hAnsi="Book Antiqua" w:cs="Arial"/>
          <w:caps/>
          <w:sz w:val="22"/>
        </w:rPr>
        <w:t>(ANONYMITY DIRECTION not made)</w:t>
      </w:r>
    </w:p>
    <w:p w14:paraId="6BAE6BB5" w14:textId="77777777" w:rsidR="000354AC" w:rsidRPr="009E4F39" w:rsidRDefault="000354AC" w:rsidP="00647AB3">
      <w:pPr>
        <w:ind w:left="7200" w:firstLine="720"/>
        <w:jc w:val="center"/>
        <w:rPr>
          <w:rFonts w:ascii="Book Antiqua" w:hAnsi="Book Antiqua" w:cs="Arial"/>
          <w:u w:val="single"/>
        </w:rPr>
      </w:pPr>
      <w:r w:rsidRPr="009E4F39">
        <w:rPr>
          <w:rFonts w:ascii="Book Antiqua" w:hAnsi="Book Antiqua" w:cs="Arial"/>
          <w:u w:val="single"/>
        </w:rPr>
        <w:t>Respondent</w:t>
      </w:r>
    </w:p>
    <w:p w14:paraId="1D66E3E9" w14:textId="582D0BDC" w:rsidR="000354AC" w:rsidRDefault="000354AC" w:rsidP="00647AB3">
      <w:pPr>
        <w:jc w:val="both"/>
        <w:rPr>
          <w:rFonts w:ascii="Book Antiqua" w:hAnsi="Book Antiqua" w:cs="Arial"/>
          <w:u w:val="single"/>
        </w:rPr>
      </w:pPr>
    </w:p>
    <w:p w14:paraId="532CE2BE" w14:textId="77777777" w:rsidR="009E62CD" w:rsidRPr="009E4F39" w:rsidRDefault="009E62CD" w:rsidP="00647AB3">
      <w:pPr>
        <w:jc w:val="both"/>
        <w:rPr>
          <w:rFonts w:ascii="Book Antiqua" w:hAnsi="Book Antiqua" w:cs="Arial"/>
          <w:u w:val="single"/>
        </w:rPr>
      </w:pPr>
    </w:p>
    <w:p w14:paraId="0F421D84" w14:textId="77777777" w:rsidR="000354AC" w:rsidRPr="009E4F39" w:rsidRDefault="000354AC" w:rsidP="00647AB3">
      <w:pPr>
        <w:jc w:val="both"/>
        <w:rPr>
          <w:rFonts w:ascii="Book Antiqua" w:hAnsi="Book Antiqua" w:cs="Arial"/>
        </w:rPr>
      </w:pPr>
      <w:r w:rsidRPr="009E4F39">
        <w:rPr>
          <w:rFonts w:ascii="Book Antiqua" w:hAnsi="Book Antiqua" w:cs="Arial"/>
          <w:b/>
          <w:u w:val="single"/>
        </w:rPr>
        <w:t>Representation</w:t>
      </w:r>
      <w:r w:rsidRPr="009E4F39">
        <w:rPr>
          <w:rFonts w:ascii="Book Antiqua" w:hAnsi="Book Antiqua" w:cs="Arial"/>
          <w:b/>
        </w:rPr>
        <w:t>:</w:t>
      </w:r>
    </w:p>
    <w:p w14:paraId="363E58F8" w14:textId="1E49A138" w:rsidR="009C2633" w:rsidRPr="009E4F39" w:rsidRDefault="000354AC" w:rsidP="00647AB3">
      <w:pPr>
        <w:tabs>
          <w:tab w:val="left" w:pos="2520"/>
        </w:tabs>
        <w:jc w:val="both"/>
        <w:rPr>
          <w:rFonts w:ascii="Book Antiqua" w:hAnsi="Book Antiqua" w:cs="Arial"/>
        </w:rPr>
      </w:pPr>
      <w:r w:rsidRPr="009E4F39">
        <w:rPr>
          <w:rFonts w:ascii="Book Antiqua" w:hAnsi="Book Antiqua" w:cs="Arial"/>
        </w:rPr>
        <w:t>For the Appellant:</w:t>
      </w:r>
      <w:r w:rsidRPr="009E4F39">
        <w:rPr>
          <w:rFonts w:ascii="Book Antiqua" w:hAnsi="Book Antiqua" w:cs="Arial"/>
        </w:rPr>
        <w:tab/>
      </w:r>
      <w:r w:rsidR="009C2633" w:rsidRPr="009E4F39">
        <w:rPr>
          <w:rFonts w:ascii="Book Antiqua" w:hAnsi="Book Antiqua" w:cs="Arial"/>
        </w:rPr>
        <w:t xml:space="preserve">Mr T Lindsay, Home Office Presenting Officer </w:t>
      </w:r>
    </w:p>
    <w:p w14:paraId="10E7F3FE" w14:textId="27833A11" w:rsidR="009C2633" w:rsidRPr="009E4F39" w:rsidRDefault="000354AC" w:rsidP="00647AB3">
      <w:pPr>
        <w:tabs>
          <w:tab w:val="left" w:pos="2520"/>
        </w:tabs>
        <w:jc w:val="both"/>
        <w:rPr>
          <w:rFonts w:ascii="Book Antiqua" w:hAnsi="Book Antiqua" w:cs="Arial"/>
        </w:rPr>
      </w:pPr>
      <w:r w:rsidRPr="009E4F39">
        <w:rPr>
          <w:rFonts w:ascii="Book Antiqua" w:hAnsi="Book Antiqua" w:cs="Arial"/>
        </w:rPr>
        <w:t>For the Respondent:</w:t>
      </w:r>
      <w:r w:rsidRPr="009E4F39">
        <w:rPr>
          <w:rFonts w:ascii="Book Antiqua" w:hAnsi="Book Antiqua" w:cs="Arial"/>
        </w:rPr>
        <w:tab/>
      </w:r>
      <w:r w:rsidR="009C2633" w:rsidRPr="009E4F39">
        <w:rPr>
          <w:rFonts w:ascii="Book Antiqua" w:hAnsi="Book Antiqua" w:cs="Arial"/>
        </w:rPr>
        <w:t xml:space="preserve">Ms J Norman, of Counsel instructed by Sterling &amp; Law Associates </w:t>
      </w:r>
    </w:p>
    <w:p w14:paraId="2D881F35" w14:textId="41FFA9CB" w:rsidR="000354AC" w:rsidRDefault="000354AC" w:rsidP="00647AB3">
      <w:pPr>
        <w:tabs>
          <w:tab w:val="left" w:pos="2520"/>
        </w:tabs>
        <w:jc w:val="center"/>
        <w:rPr>
          <w:rFonts w:ascii="Book Antiqua" w:hAnsi="Book Antiqua" w:cs="Arial"/>
          <w:b/>
        </w:rPr>
      </w:pPr>
    </w:p>
    <w:p w14:paraId="0821A3D8" w14:textId="77777777" w:rsidR="009E62CD" w:rsidRPr="001501C3" w:rsidRDefault="009E62CD" w:rsidP="00647AB3">
      <w:pPr>
        <w:tabs>
          <w:tab w:val="left" w:pos="2520"/>
        </w:tabs>
        <w:jc w:val="center"/>
        <w:rPr>
          <w:rFonts w:ascii="Book Antiqua" w:hAnsi="Book Antiqua" w:cs="Arial"/>
          <w:b/>
        </w:rPr>
      </w:pPr>
    </w:p>
    <w:p w14:paraId="5A21F61D" w14:textId="77777777" w:rsidR="000354AC" w:rsidRPr="001501C3" w:rsidRDefault="000354AC" w:rsidP="00647AB3">
      <w:pPr>
        <w:tabs>
          <w:tab w:val="left" w:pos="2520"/>
        </w:tabs>
        <w:jc w:val="center"/>
        <w:rPr>
          <w:rFonts w:ascii="Book Antiqua" w:hAnsi="Book Antiqua" w:cs="Arial"/>
          <w:b/>
        </w:rPr>
      </w:pPr>
      <w:r w:rsidRPr="001501C3">
        <w:rPr>
          <w:rFonts w:ascii="Book Antiqua" w:hAnsi="Book Antiqua" w:cs="Arial"/>
          <w:b/>
          <w:u w:val="single"/>
        </w:rPr>
        <w:t>DECISION AND REASONS</w:t>
      </w:r>
    </w:p>
    <w:p w14:paraId="63EBA9C6" w14:textId="77777777" w:rsidR="000354AC" w:rsidRPr="001501C3" w:rsidRDefault="000354AC" w:rsidP="00647AB3">
      <w:pPr>
        <w:spacing w:before="240"/>
        <w:jc w:val="both"/>
        <w:rPr>
          <w:rFonts w:ascii="Book Antiqua" w:hAnsi="Book Antiqua" w:cs="Arial"/>
          <w:b/>
          <w:u w:val="single"/>
        </w:rPr>
      </w:pPr>
      <w:r w:rsidRPr="001501C3">
        <w:rPr>
          <w:rFonts w:ascii="Book Antiqua" w:hAnsi="Book Antiqua" w:cs="Arial"/>
          <w:b/>
          <w:u w:val="single"/>
        </w:rPr>
        <w:t>Introduction</w:t>
      </w:r>
    </w:p>
    <w:p w14:paraId="62DCF8B4" w14:textId="77777777" w:rsidR="000354AC"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The appellant before the Upper Tribunal is the Secretary of State for</w:t>
      </w:r>
      <w:r w:rsidR="00445DC3" w:rsidRPr="009E4F39">
        <w:rPr>
          <w:rFonts w:ascii="Book Antiqua" w:hAnsi="Book Antiqua" w:cs="Arial"/>
        </w:rPr>
        <w:t xml:space="preserve"> the Home Department (“SSHD”). </w:t>
      </w:r>
      <w:r w:rsidRPr="009E4F39">
        <w:rPr>
          <w:rFonts w:ascii="Book Antiqua" w:hAnsi="Book Antiqua" w:cs="Arial"/>
        </w:rPr>
        <w:t>The SSHD appeals against the decision of Fi</w:t>
      </w:r>
      <w:r w:rsidR="009C2633" w:rsidRPr="009E4F39">
        <w:rPr>
          <w:rFonts w:ascii="Book Antiqua" w:hAnsi="Book Antiqua" w:cs="Arial"/>
        </w:rPr>
        <w:t xml:space="preserve">rst-tier Tribunal Judge </w:t>
      </w:r>
      <w:proofErr w:type="spellStart"/>
      <w:r w:rsidR="009C2633" w:rsidRPr="009E4F39">
        <w:rPr>
          <w:rFonts w:ascii="Book Antiqua" w:hAnsi="Book Antiqua" w:cs="Arial"/>
        </w:rPr>
        <w:t>Obhi</w:t>
      </w:r>
      <w:proofErr w:type="spellEnd"/>
      <w:r w:rsidRPr="009E4F39">
        <w:rPr>
          <w:rFonts w:ascii="Book Antiqua" w:hAnsi="Book Antiqua" w:cs="Arial"/>
        </w:rPr>
        <w:t xml:space="preserve">, promulgated on </w:t>
      </w:r>
      <w:r w:rsidR="009C2633" w:rsidRPr="009E4F39">
        <w:rPr>
          <w:rFonts w:ascii="Book Antiqua" w:hAnsi="Book Antiqua" w:cs="Arial"/>
        </w:rPr>
        <w:t>31 August 2017</w:t>
      </w:r>
      <w:r w:rsidRPr="009E4F39">
        <w:rPr>
          <w:rFonts w:ascii="Book Antiqua" w:hAnsi="Book Antiqua" w:cs="Arial"/>
        </w:rPr>
        <w:t>, allowing an</w:t>
      </w:r>
      <w:r w:rsidR="009C2633" w:rsidRPr="009E4F39">
        <w:rPr>
          <w:rFonts w:ascii="Book Antiqua" w:hAnsi="Book Antiqua" w:cs="Arial"/>
        </w:rPr>
        <w:t xml:space="preserve"> appeal by Ms</w:t>
      </w:r>
      <w:r w:rsidR="00EA60B7" w:rsidRPr="009E4F39">
        <w:rPr>
          <w:rFonts w:ascii="Book Antiqua" w:hAnsi="Book Antiqua" w:cs="Arial"/>
        </w:rPr>
        <w:t xml:space="preserve"> </w:t>
      </w:r>
      <w:proofErr w:type="spellStart"/>
      <w:r w:rsidR="00EA60B7" w:rsidRPr="009E4F39">
        <w:rPr>
          <w:rFonts w:ascii="Book Antiqua" w:hAnsi="Book Antiqua" w:cs="Arial"/>
        </w:rPr>
        <w:t>Boymantova</w:t>
      </w:r>
      <w:proofErr w:type="spellEnd"/>
      <w:r w:rsidR="00EA60B7" w:rsidRPr="009E4F39">
        <w:rPr>
          <w:rFonts w:ascii="Book Antiqua" w:hAnsi="Book Antiqua" w:cs="Arial"/>
        </w:rPr>
        <w:t xml:space="preserve"> </w:t>
      </w:r>
      <w:r w:rsidRPr="009E4F39">
        <w:rPr>
          <w:rFonts w:ascii="Book Antiqua" w:hAnsi="Book Antiqua" w:cs="Arial"/>
        </w:rPr>
        <w:t>(who I will call “the claimant” hereaf</w:t>
      </w:r>
      <w:r w:rsidR="00EA60B7" w:rsidRPr="009E4F39">
        <w:rPr>
          <w:rFonts w:ascii="Book Antiqua" w:hAnsi="Book Antiqua" w:cs="Arial"/>
        </w:rPr>
        <w:t>ter) on human rights grounds</w:t>
      </w:r>
      <w:r w:rsidRPr="009E4F39">
        <w:rPr>
          <w:rFonts w:ascii="Book Antiqua" w:hAnsi="Book Antiqua" w:cs="Arial"/>
        </w:rPr>
        <w:t xml:space="preserve"> agains</w:t>
      </w:r>
      <w:r w:rsidR="00EA60B7" w:rsidRPr="009E4F39">
        <w:rPr>
          <w:rFonts w:ascii="Book Antiqua" w:hAnsi="Book Antiqua" w:cs="Arial"/>
        </w:rPr>
        <w:t>t a decision of the SSHD dated 4 August 2016</w:t>
      </w:r>
      <w:r w:rsidRPr="009E4F39">
        <w:rPr>
          <w:rFonts w:ascii="Book Antiqua" w:hAnsi="Book Antiqua" w:cs="Arial"/>
        </w:rPr>
        <w:t>. By that decision the SSHD refused t</w:t>
      </w:r>
      <w:r w:rsidR="00EA60B7" w:rsidRPr="009E4F39">
        <w:rPr>
          <w:rFonts w:ascii="Book Antiqua" w:hAnsi="Book Antiqua" w:cs="Arial"/>
        </w:rPr>
        <w:t xml:space="preserve">o grant the claimant </w:t>
      </w:r>
      <w:r w:rsidRPr="009E4F39">
        <w:rPr>
          <w:rFonts w:ascii="Book Antiqua" w:hAnsi="Book Antiqua" w:cs="Arial"/>
        </w:rPr>
        <w:t>leave to remain as the spouse of a person settled in the United Kingdom</w:t>
      </w:r>
      <w:r w:rsidR="00B84E3E" w:rsidRPr="009E4F39">
        <w:rPr>
          <w:rFonts w:ascii="Book Antiqua" w:hAnsi="Book Antiqua" w:cs="Arial"/>
        </w:rPr>
        <w:t xml:space="preserve"> (UK)</w:t>
      </w:r>
      <w:r w:rsidRPr="009E4F39">
        <w:rPr>
          <w:rFonts w:ascii="Book Antiqua" w:hAnsi="Book Antiqua" w:cs="Arial"/>
        </w:rPr>
        <w:t xml:space="preserve">. </w:t>
      </w:r>
    </w:p>
    <w:p w14:paraId="03004C1C" w14:textId="77777777" w:rsidR="009E62CD" w:rsidRDefault="009E62CD" w:rsidP="00647AB3">
      <w:pPr>
        <w:spacing w:before="240"/>
        <w:jc w:val="both"/>
        <w:rPr>
          <w:rFonts w:ascii="Book Antiqua" w:hAnsi="Book Antiqua" w:cs="Arial"/>
          <w:b/>
          <w:u w:val="single"/>
        </w:rPr>
      </w:pPr>
    </w:p>
    <w:p w14:paraId="523E012F" w14:textId="65A195E4" w:rsidR="000354AC" w:rsidRPr="009E4F39" w:rsidRDefault="008B48C4" w:rsidP="00647AB3">
      <w:pPr>
        <w:spacing w:before="240"/>
        <w:jc w:val="both"/>
        <w:rPr>
          <w:rFonts w:ascii="Book Antiqua" w:hAnsi="Book Antiqua" w:cs="Arial"/>
          <w:b/>
          <w:u w:val="single"/>
        </w:rPr>
      </w:pPr>
      <w:r w:rsidRPr="009E4F39">
        <w:rPr>
          <w:rFonts w:ascii="Book Antiqua" w:hAnsi="Book Antiqua" w:cs="Arial"/>
          <w:b/>
          <w:u w:val="single"/>
        </w:rPr>
        <w:lastRenderedPageBreak/>
        <w:t>Background</w:t>
      </w:r>
      <w:r w:rsidR="000354AC" w:rsidRPr="009E4F39">
        <w:rPr>
          <w:rFonts w:ascii="Book Antiqua" w:hAnsi="Book Antiqua" w:cs="Arial"/>
          <w:b/>
          <w:u w:val="single"/>
        </w:rPr>
        <w:t xml:space="preserve"> </w:t>
      </w:r>
    </w:p>
    <w:p w14:paraId="2FC04237" w14:textId="77777777" w:rsidR="000354AC"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 xml:space="preserve">To put this case in context, it falls within the category of cases that are </w:t>
      </w:r>
      <w:r w:rsidR="00EF3DEE">
        <w:rPr>
          <w:rFonts w:ascii="Book Antiqua" w:hAnsi="Book Antiqua" w:cs="Arial"/>
        </w:rPr>
        <w:t xml:space="preserve">commonly known as “ETS cases”. </w:t>
      </w:r>
      <w:r w:rsidRPr="009E4F39">
        <w:rPr>
          <w:rFonts w:ascii="Book Antiqua" w:hAnsi="Book Antiqua" w:cs="Arial"/>
        </w:rPr>
        <w:t>It is</w:t>
      </w:r>
      <w:r w:rsidR="0080153B" w:rsidRPr="009E4F39">
        <w:rPr>
          <w:rFonts w:ascii="Book Antiqua" w:hAnsi="Book Antiqua" w:cs="Arial"/>
        </w:rPr>
        <w:t xml:space="preserve"> asserted by the SSHD </w:t>
      </w:r>
      <w:r w:rsidR="00EF3DEE">
        <w:rPr>
          <w:rFonts w:ascii="Book Antiqua" w:hAnsi="Book Antiqua" w:cs="Arial"/>
        </w:rPr>
        <w:t>that the applicant</w:t>
      </w:r>
      <w:r w:rsidRPr="009E4F39">
        <w:rPr>
          <w:rFonts w:ascii="Book Antiqua" w:hAnsi="Book Antiqua" w:cs="Arial"/>
        </w:rPr>
        <w:t xml:space="preserve"> did not undertake the English language test relating to </w:t>
      </w:r>
      <w:r w:rsidR="00EA60B7" w:rsidRPr="009E4F39">
        <w:rPr>
          <w:rFonts w:ascii="Book Antiqua" w:hAnsi="Book Antiqua" w:cs="Arial"/>
        </w:rPr>
        <w:t xml:space="preserve">a TOEIC </w:t>
      </w:r>
      <w:r w:rsidRPr="009E4F39">
        <w:rPr>
          <w:rFonts w:ascii="Book Antiqua" w:hAnsi="Book Antiqua" w:cs="Arial"/>
        </w:rPr>
        <w:t xml:space="preserve">English language certificate which was used </w:t>
      </w:r>
      <w:r w:rsidR="00EF3DEE">
        <w:rPr>
          <w:rFonts w:ascii="Book Antiqua" w:hAnsi="Book Antiqua" w:cs="Arial"/>
        </w:rPr>
        <w:t>in support of an</w:t>
      </w:r>
      <w:r w:rsidR="00CB418A" w:rsidRPr="009E4F39">
        <w:rPr>
          <w:rFonts w:ascii="Book Antiqua" w:hAnsi="Book Antiqua" w:cs="Arial"/>
        </w:rPr>
        <w:t xml:space="preserve"> appli</w:t>
      </w:r>
      <w:r w:rsidR="007C4F10" w:rsidRPr="009E4F39">
        <w:rPr>
          <w:rFonts w:ascii="Book Antiqua" w:hAnsi="Book Antiqua" w:cs="Arial"/>
        </w:rPr>
        <w:t>cation</w:t>
      </w:r>
      <w:r w:rsidR="00CB418A" w:rsidRPr="009E4F39">
        <w:rPr>
          <w:rFonts w:ascii="Book Antiqua" w:hAnsi="Book Antiqua" w:cs="Arial"/>
        </w:rPr>
        <w:t xml:space="preserve"> for leave to remain. </w:t>
      </w:r>
      <w:r w:rsidRPr="009E4F39">
        <w:rPr>
          <w:rFonts w:ascii="Book Antiqua" w:hAnsi="Book Antiqua" w:cs="Arial"/>
        </w:rPr>
        <w:t>It is alleged that a proxy</w:t>
      </w:r>
      <w:r w:rsidR="007C4F10" w:rsidRPr="009E4F39">
        <w:rPr>
          <w:rFonts w:ascii="Book Antiqua" w:hAnsi="Book Antiqua" w:cs="Arial"/>
        </w:rPr>
        <w:t xml:space="preserve"> was used to take</w:t>
      </w:r>
      <w:r w:rsidRPr="009E4F39">
        <w:rPr>
          <w:rFonts w:ascii="Book Antiqua" w:hAnsi="Book Antiqua" w:cs="Arial"/>
        </w:rPr>
        <w:t xml:space="preserve"> the test on behalf</w:t>
      </w:r>
      <w:r w:rsidR="007C4F10" w:rsidRPr="009E4F39">
        <w:rPr>
          <w:rFonts w:ascii="Book Antiqua" w:hAnsi="Book Antiqua" w:cs="Arial"/>
        </w:rPr>
        <w:t xml:space="preserve"> of</w:t>
      </w:r>
      <w:r w:rsidRPr="009E4F39">
        <w:rPr>
          <w:rFonts w:ascii="Book Antiqua" w:hAnsi="Book Antiqua" w:cs="Arial"/>
        </w:rPr>
        <w:t xml:space="preserve"> the </w:t>
      </w:r>
      <w:r w:rsidR="00EF3DEE">
        <w:rPr>
          <w:rFonts w:ascii="Book Antiqua" w:hAnsi="Book Antiqua" w:cs="Arial"/>
        </w:rPr>
        <w:t>applicant</w:t>
      </w:r>
      <w:r w:rsidRPr="009E4F39">
        <w:rPr>
          <w:rFonts w:ascii="Book Antiqua" w:hAnsi="Book Antiqua" w:cs="Arial"/>
        </w:rPr>
        <w:t xml:space="preserve">.  </w:t>
      </w:r>
    </w:p>
    <w:p w14:paraId="7DB8FF29" w14:textId="77777777" w:rsidR="000354AC"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There has been a substantial amount of case law relating to the decision-making process, and the evidence upon which the SSHD’s decisions are made, in ETS case</w:t>
      </w:r>
      <w:r w:rsidR="007C4F10" w:rsidRPr="009E4F39">
        <w:rPr>
          <w:rFonts w:ascii="Book Antiqua" w:hAnsi="Book Antiqua" w:cs="Arial"/>
        </w:rPr>
        <w:t>s</w:t>
      </w:r>
      <w:r w:rsidRPr="009E4F39">
        <w:rPr>
          <w:rFonts w:ascii="Book Antiqua" w:hAnsi="Book Antiqua" w:cs="Arial"/>
        </w:rPr>
        <w:t xml:space="preserve">. I need do no more than refer to recent decisions in </w:t>
      </w:r>
      <w:proofErr w:type="spellStart"/>
      <w:r w:rsidRPr="009E4F39">
        <w:rPr>
          <w:rFonts w:ascii="Book Antiqua" w:hAnsi="Book Antiqua" w:cs="Arial"/>
          <w:u w:val="single"/>
        </w:rPr>
        <w:t>Saha</w:t>
      </w:r>
      <w:proofErr w:type="spellEnd"/>
      <w:r w:rsidRPr="009E4F39">
        <w:rPr>
          <w:rFonts w:ascii="Book Antiqua" w:hAnsi="Book Antiqua" w:cs="Arial"/>
        </w:rPr>
        <w:t xml:space="preserve"> [2017] UKUT 0017, </w:t>
      </w:r>
      <w:r w:rsidRPr="009E4F39">
        <w:rPr>
          <w:rFonts w:ascii="Book Antiqua" w:hAnsi="Book Antiqua" w:cs="Arial"/>
          <w:u w:val="single"/>
        </w:rPr>
        <w:t>MA</w:t>
      </w:r>
      <w:r w:rsidRPr="009E4F39">
        <w:rPr>
          <w:rFonts w:ascii="Book Antiqua" w:hAnsi="Book Antiqua" w:cs="Arial"/>
        </w:rPr>
        <w:t xml:space="preserve"> [2016] UKUT 00450 and </w:t>
      </w:r>
      <w:proofErr w:type="spellStart"/>
      <w:r w:rsidRPr="009E4F39">
        <w:rPr>
          <w:rFonts w:ascii="Book Antiqua" w:hAnsi="Book Antiqua" w:cs="Arial"/>
          <w:u w:val="single"/>
        </w:rPr>
        <w:t>Mohibullah</w:t>
      </w:r>
      <w:proofErr w:type="spellEnd"/>
      <w:r w:rsidR="007C4F10" w:rsidRPr="009E4F39">
        <w:rPr>
          <w:rFonts w:ascii="Book Antiqua" w:hAnsi="Book Antiqua" w:cs="Arial"/>
        </w:rPr>
        <w:t xml:space="preserve"> [2016] UKUT 561 and </w:t>
      </w:r>
      <w:proofErr w:type="spellStart"/>
      <w:r w:rsidR="007C4F10" w:rsidRPr="0021288F">
        <w:rPr>
          <w:rFonts w:ascii="Book Antiqua" w:hAnsi="Book Antiqua" w:cs="Arial"/>
          <w:u w:val="single"/>
        </w:rPr>
        <w:t>Gaogalalwe</w:t>
      </w:r>
      <w:proofErr w:type="spellEnd"/>
      <w:r w:rsidR="007C4F10" w:rsidRPr="0021288F">
        <w:rPr>
          <w:rFonts w:ascii="Book Antiqua" w:hAnsi="Book Antiqua" w:cs="Arial"/>
          <w:u w:val="single"/>
        </w:rPr>
        <w:t>,</w:t>
      </w:r>
      <w:r w:rsidR="007C4F10" w:rsidRPr="009E4F39">
        <w:rPr>
          <w:rFonts w:ascii="Book Antiqua" w:hAnsi="Book Antiqua" w:cs="Arial"/>
        </w:rPr>
        <w:t xml:space="preserve"> R (on the application of) v Secretary of State for the Home Department [2017] EWHC 1709 </w:t>
      </w:r>
      <w:r w:rsidRPr="009E4F39">
        <w:rPr>
          <w:rFonts w:ascii="Book Antiqua" w:hAnsi="Book Antiqua" w:cs="Arial"/>
        </w:rPr>
        <w:t xml:space="preserve">in this regard. </w:t>
      </w:r>
    </w:p>
    <w:p w14:paraId="3D21B72A" w14:textId="77777777" w:rsidR="000354AC"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The simple fact that E</w:t>
      </w:r>
      <w:r w:rsidR="00EF3DEE">
        <w:rPr>
          <w:rFonts w:ascii="Book Antiqua" w:hAnsi="Book Antiqua" w:cs="Arial"/>
        </w:rPr>
        <w:t>TS concluded that an applicant’s</w:t>
      </w:r>
      <w:r w:rsidRPr="009E4F39">
        <w:rPr>
          <w:rFonts w:ascii="Book Antiqua" w:hAnsi="Book Antiqua" w:cs="Arial"/>
        </w:rPr>
        <w:t xml:space="preserve"> test was invalid is not of itself sufficient for</w:t>
      </w:r>
      <w:r w:rsidR="00EF3DEE">
        <w:rPr>
          <w:rFonts w:ascii="Book Antiqua" w:hAnsi="Book Antiqua" w:cs="Arial"/>
        </w:rPr>
        <w:t xml:space="preserve"> the SSHD to defeat an</w:t>
      </w:r>
      <w:r w:rsidRPr="009E4F39">
        <w:rPr>
          <w:rFonts w:ascii="Book Antiqua" w:hAnsi="Book Antiqua" w:cs="Arial"/>
        </w:rPr>
        <w:t xml:space="preserve"> appeal</w:t>
      </w:r>
      <w:r w:rsidR="00EF3DEE">
        <w:rPr>
          <w:rFonts w:ascii="Book Antiqua" w:hAnsi="Book Antiqua" w:cs="Arial"/>
        </w:rPr>
        <w:t xml:space="preserve"> made by the applicant</w:t>
      </w:r>
      <w:r w:rsidRPr="009E4F39">
        <w:rPr>
          <w:rFonts w:ascii="Book Antiqua" w:hAnsi="Book Antiqua" w:cs="Arial"/>
        </w:rPr>
        <w:t>. There is an initial evidential burden on the SSHD. If this has been met in any given case, then the burden shifts to an applicant to provide evidence upon which a conclusion can be founded that he did not commit the deception alleged.</w:t>
      </w:r>
      <w:r w:rsidR="00CB418A" w:rsidRPr="009E4F39">
        <w:rPr>
          <w:rFonts w:ascii="Book Antiqua" w:hAnsi="Book Antiqua" w:cs="Arial"/>
        </w:rPr>
        <w:t xml:space="preserve"> If an applicant is capable of shifting</w:t>
      </w:r>
      <w:r w:rsidR="005F57E9">
        <w:rPr>
          <w:rFonts w:ascii="Book Antiqua" w:hAnsi="Book Antiqua" w:cs="Arial"/>
        </w:rPr>
        <w:t xml:space="preserve"> that burden that the SSHD</w:t>
      </w:r>
      <w:r w:rsidR="00CB418A" w:rsidRPr="009E4F39">
        <w:rPr>
          <w:rFonts w:ascii="Book Antiqua" w:hAnsi="Book Antiqua" w:cs="Arial"/>
        </w:rPr>
        <w:t xml:space="preserve"> bears the burden of discharging the legal burden.</w:t>
      </w:r>
      <w:r w:rsidRPr="009E4F39">
        <w:rPr>
          <w:rFonts w:ascii="Book Antiqua" w:hAnsi="Book Antiqua" w:cs="Arial"/>
        </w:rPr>
        <w:t xml:space="preserve">  </w:t>
      </w:r>
    </w:p>
    <w:p w14:paraId="517C960E" w14:textId="77777777" w:rsidR="00C24357"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Turning then to the instant case.</w:t>
      </w:r>
      <w:r w:rsidR="00CB418A" w:rsidRPr="009E4F39">
        <w:rPr>
          <w:rFonts w:ascii="Book Antiqua" w:hAnsi="Book Antiqua" w:cs="Arial"/>
        </w:rPr>
        <w:t xml:space="preserve"> It has a somewhat protracted history. The claimant entered the UK lawfully as a student in 2006. She had leave in that capacity through successful applications for leave to remain until 6 April 2013. The claimant’s</w:t>
      </w:r>
      <w:r w:rsidR="00A32704" w:rsidRPr="009E4F39">
        <w:rPr>
          <w:rFonts w:ascii="Book Antiqua" w:hAnsi="Book Antiqua" w:cs="Arial"/>
        </w:rPr>
        <w:t xml:space="preserve"> last</w:t>
      </w:r>
      <w:r w:rsidR="00CB418A" w:rsidRPr="009E4F39">
        <w:rPr>
          <w:rFonts w:ascii="Book Antiqua" w:hAnsi="Book Antiqua" w:cs="Arial"/>
        </w:rPr>
        <w:t xml:space="preserve"> application for</w:t>
      </w:r>
      <w:r w:rsidR="00A32704" w:rsidRPr="009E4F39">
        <w:rPr>
          <w:rFonts w:ascii="Book Antiqua" w:hAnsi="Book Antiqua" w:cs="Arial"/>
        </w:rPr>
        <w:t xml:space="preserve"> further</w:t>
      </w:r>
      <w:r w:rsidR="00CB418A" w:rsidRPr="009E4F39">
        <w:rPr>
          <w:rFonts w:ascii="Book Antiqua" w:hAnsi="Book Antiqua" w:cs="Arial"/>
        </w:rPr>
        <w:t xml:space="preserve"> leave to remain as a student was however refused on 16 May 2013. The claimant’s appea</w:t>
      </w:r>
      <w:r w:rsidR="00C24357" w:rsidRPr="009E4F39">
        <w:rPr>
          <w:rFonts w:ascii="Book Antiqua" w:hAnsi="Book Antiqua" w:cs="Arial"/>
        </w:rPr>
        <w:t>l against that decision was succ</w:t>
      </w:r>
      <w:r w:rsidR="00CB418A" w:rsidRPr="009E4F39">
        <w:rPr>
          <w:rFonts w:ascii="Book Antiqua" w:hAnsi="Book Antiqua" w:cs="Arial"/>
        </w:rPr>
        <w:t>essful to the extent that the decision w</w:t>
      </w:r>
      <w:r w:rsidR="00685696" w:rsidRPr="009E4F39">
        <w:rPr>
          <w:rFonts w:ascii="Book Antiqua" w:hAnsi="Book Antiqua" w:cs="Arial"/>
        </w:rPr>
        <w:t xml:space="preserve">as </w:t>
      </w:r>
      <w:r w:rsidR="00EF7F61" w:rsidRPr="009E4F39">
        <w:rPr>
          <w:rFonts w:ascii="Book Antiqua" w:hAnsi="Book Antiqua" w:cs="Arial"/>
        </w:rPr>
        <w:t xml:space="preserve">found to be </w:t>
      </w:r>
      <w:r w:rsidR="00685696" w:rsidRPr="009E4F39">
        <w:rPr>
          <w:rFonts w:ascii="Book Antiqua" w:hAnsi="Book Antiqua" w:cs="Arial"/>
        </w:rPr>
        <w:t>unlawful and it fell to the S</w:t>
      </w:r>
      <w:r w:rsidR="00CB418A" w:rsidRPr="009E4F39">
        <w:rPr>
          <w:rFonts w:ascii="Book Antiqua" w:hAnsi="Book Antiqua" w:cs="Arial"/>
        </w:rPr>
        <w:t xml:space="preserve">SHD to </w:t>
      </w:r>
      <w:r w:rsidR="009E4F39" w:rsidRPr="009E4F39">
        <w:rPr>
          <w:rFonts w:ascii="Book Antiqua" w:hAnsi="Book Antiqua" w:cs="Arial"/>
        </w:rPr>
        <w:t>reconsider</w:t>
      </w:r>
      <w:r w:rsidR="00CB418A" w:rsidRPr="009E4F39">
        <w:rPr>
          <w:rFonts w:ascii="Book Antiqua" w:hAnsi="Book Antiqua" w:cs="Arial"/>
        </w:rPr>
        <w:t xml:space="preserve"> the application.</w:t>
      </w:r>
      <w:r w:rsidR="00EF7F61" w:rsidRPr="009E4F39">
        <w:rPr>
          <w:rFonts w:ascii="Book Antiqua" w:hAnsi="Book Antiqua" w:cs="Arial"/>
        </w:rPr>
        <w:t xml:space="preserve"> The reconsideration resulted in a further refusal with no right of appeal.</w:t>
      </w:r>
      <w:r w:rsidR="00CB418A" w:rsidRPr="009E4F39">
        <w:rPr>
          <w:rFonts w:ascii="Book Antiqua" w:hAnsi="Book Antiqua" w:cs="Arial"/>
        </w:rPr>
        <w:t xml:space="preserve"> </w:t>
      </w:r>
    </w:p>
    <w:p w14:paraId="33958216" w14:textId="77777777" w:rsidR="000354AC" w:rsidRPr="009E4F39" w:rsidRDefault="00802E5D" w:rsidP="00647AB3">
      <w:pPr>
        <w:numPr>
          <w:ilvl w:val="0"/>
          <w:numId w:val="1"/>
        </w:numPr>
        <w:spacing w:before="240"/>
        <w:jc w:val="both"/>
        <w:rPr>
          <w:rFonts w:ascii="Book Antiqua" w:hAnsi="Book Antiqua" w:cs="Arial"/>
        </w:rPr>
      </w:pPr>
      <w:r w:rsidRPr="009E4F39">
        <w:rPr>
          <w:rFonts w:ascii="Book Antiqua" w:hAnsi="Book Antiqua" w:cs="Arial"/>
        </w:rPr>
        <w:t xml:space="preserve">Subsequently a removal decision was issued against the claimant and </w:t>
      </w:r>
      <w:r w:rsidR="009E4F39" w:rsidRPr="009E4F39">
        <w:rPr>
          <w:rFonts w:ascii="Book Antiqua" w:hAnsi="Book Antiqua" w:cs="Arial"/>
        </w:rPr>
        <w:t>representations</w:t>
      </w:r>
      <w:r w:rsidRPr="009E4F39">
        <w:rPr>
          <w:rFonts w:ascii="Book Antiqua" w:hAnsi="Book Antiqua" w:cs="Arial"/>
        </w:rPr>
        <w:t xml:space="preserve"> were ma</w:t>
      </w:r>
      <w:r w:rsidR="00C24357" w:rsidRPr="009E4F39">
        <w:rPr>
          <w:rFonts w:ascii="Book Antiqua" w:hAnsi="Book Antiqua" w:cs="Arial"/>
        </w:rPr>
        <w:t>de to the SSHD by her</w:t>
      </w:r>
      <w:r w:rsidRPr="009E4F39">
        <w:rPr>
          <w:rFonts w:ascii="Book Antiqua" w:hAnsi="Book Antiqua" w:cs="Arial"/>
        </w:rPr>
        <w:t xml:space="preserve"> then representatives setting out the circumstances of her private and family life. On 6 November 2014 the SSHD withdrew the removal notice but issued ano</w:t>
      </w:r>
      <w:r w:rsidR="00EF7F61" w:rsidRPr="009E4F39">
        <w:rPr>
          <w:rFonts w:ascii="Book Antiqua" w:hAnsi="Book Antiqua" w:cs="Arial"/>
        </w:rPr>
        <w:t>t</w:t>
      </w:r>
      <w:r w:rsidR="00C24357" w:rsidRPr="009E4F39">
        <w:rPr>
          <w:rFonts w:ascii="Book Antiqua" w:hAnsi="Book Antiqua" w:cs="Arial"/>
        </w:rPr>
        <w:t>her on</w:t>
      </w:r>
      <w:r w:rsidR="00EF7F61" w:rsidRPr="009E4F39">
        <w:rPr>
          <w:rFonts w:ascii="Book Antiqua" w:hAnsi="Book Antiqua" w:cs="Arial"/>
        </w:rPr>
        <w:t xml:space="preserve"> grounds that the clai</w:t>
      </w:r>
      <w:r w:rsidRPr="009E4F39">
        <w:rPr>
          <w:rFonts w:ascii="Book Antiqua" w:hAnsi="Book Antiqua" w:cs="Arial"/>
        </w:rPr>
        <w:t xml:space="preserve">mant had used deception by submitting </w:t>
      </w:r>
      <w:r w:rsidR="000354AC" w:rsidRPr="009E4F39">
        <w:rPr>
          <w:rFonts w:ascii="Book Antiqua" w:hAnsi="Book Antiqua" w:cs="Arial"/>
        </w:rPr>
        <w:t>a T</w:t>
      </w:r>
      <w:r w:rsidR="005F57E9">
        <w:rPr>
          <w:rFonts w:ascii="Book Antiqua" w:hAnsi="Book Antiqua" w:cs="Arial"/>
        </w:rPr>
        <w:t>OEIC</w:t>
      </w:r>
      <w:r w:rsidR="00EF7F61" w:rsidRPr="009E4F39">
        <w:rPr>
          <w:rFonts w:ascii="Book Antiqua" w:hAnsi="Book Antiqua" w:cs="Arial"/>
        </w:rPr>
        <w:t xml:space="preserve"> </w:t>
      </w:r>
      <w:r w:rsidR="009E4F39" w:rsidRPr="009E4F39">
        <w:rPr>
          <w:rFonts w:ascii="Book Antiqua" w:hAnsi="Book Antiqua" w:cs="Arial"/>
        </w:rPr>
        <w:t>English</w:t>
      </w:r>
      <w:r w:rsidR="00EF7F61" w:rsidRPr="009E4F39">
        <w:rPr>
          <w:rFonts w:ascii="Book Antiqua" w:hAnsi="Book Antiqua" w:cs="Arial"/>
        </w:rPr>
        <w:t xml:space="preserve"> l</w:t>
      </w:r>
      <w:r w:rsidRPr="009E4F39">
        <w:rPr>
          <w:rFonts w:ascii="Book Antiqua" w:hAnsi="Book Antiqua" w:cs="Arial"/>
        </w:rPr>
        <w:t>anguage</w:t>
      </w:r>
      <w:r w:rsidR="00443884" w:rsidRPr="009E4F39">
        <w:rPr>
          <w:rFonts w:ascii="Book Antiqua" w:hAnsi="Book Antiqua" w:cs="Arial"/>
        </w:rPr>
        <w:t xml:space="preserve"> certificate from ETS in her</w:t>
      </w:r>
      <w:r w:rsidRPr="009E4F39">
        <w:rPr>
          <w:rFonts w:ascii="Book Antiqua" w:hAnsi="Book Antiqua" w:cs="Arial"/>
        </w:rPr>
        <w:t xml:space="preserve"> application</w:t>
      </w:r>
      <w:r w:rsidR="000354AC" w:rsidRPr="009E4F39">
        <w:rPr>
          <w:rFonts w:ascii="Book Antiqua" w:hAnsi="Book Antiqua" w:cs="Arial"/>
        </w:rPr>
        <w:t xml:space="preserve"> for leave to remai</w:t>
      </w:r>
      <w:r w:rsidRPr="009E4F39">
        <w:rPr>
          <w:rFonts w:ascii="Book Antiqua" w:hAnsi="Book Antiqua" w:cs="Arial"/>
        </w:rPr>
        <w:t>n</w:t>
      </w:r>
      <w:r w:rsidR="00F362ED" w:rsidRPr="009E4F39">
        <w:rPr>
          <w:rFonts w:ascii="Book Antiqua" w:hAnsi="Book Antiqua" w:cs="Arial"/>
        </w:rPr>
        <w:t xml:space="preserve"> as a student ma</w:t>
      </w:r>
      <w:r w:rsidR="004E3803" w:rsidRPr="009E4F39">
        <w:rPr>
          <w:rFonts w:ascii="Book Antiqua" w:hAnsi="Book Antiqua" w:cs="Arial"/>
        </w:rPr>
        <w:t>de on 23 November 2011. It was</w:t>
      </w:r>
      <w:r w:rsidR="000354AC" w:rsidRPr="009E4F39">
        <w:rPr>
          <w:rFonts w:ascii="Book Antiqua" w:hAnsi="Book Antiqua" w:cs="Arial"/>
        </w:rPr>
        <w:t xml:space="preserve"> said that ETS had undertaken a check of the claimant’s test and that there was significant evidence to conclude that his certificate was fraudul</w:t>
      </w:r>
      <w:r w:rsidR="00DA161E">
        <w:rPr>
          <w:rFonts w:ascii="Book Antiqua" w:hAnsi="Book Antiqua" w:cs="Arial"/>
        </w:rPr>
        <w:t xml:space="preserve">ently obtained. </w:t>
      </w:r>
      <w:r w:rsidRPr="009E4F39">
        <w:rPr>
          <w:rFonts w:ascii="Book Antiqua" w:hAnsi="Book Antiqua" w:cs="Arial"/>
        </w:rPr>
        <w:t xml:space="preserve"> </w:t>
      </w:r>
    </w:p>
    <w:p w14:paraId="09AC4828" w14:textId="77777777" w:rsidR="00513304" w:rsidRPr="009E4F39" w:rsidRDefault="00033D33" w:rsidP="00647AB3">
      <w:pPr>
        <w:numPr>
          <w:ilvl w:val="0"/>
          <w:numId w:val="1"/>
        </w:numPr>
        <w:spacing w:before="240"/>
        <w:jc w:val="both"/>
        <w:rPr>
          <w:rFonts w:ascii="Book Antiqua" w:hAnsi="Book Antiqua" w:cs="Arial"/>
        </w:rPr>
      </w:pPr>
      <w:r w:rsidRPr="009E4F39">
        <w:rPr>
          <w:rFonts w:ascii="Book Antiqua" w:hAnsi="Book Antiqua" w:cs="Arial"/>
        </w:rPr>
        <w:t>The claimant successfully appealed against that decision</w:t>
      </w:r>
      <w:r w:rsidR="005231F1" w:rsidRPr="009E4F39">
        <w:rPr>
          <w:rFonts w:ascii="Book Antiqua" w:hAnsi="Book Antiqua" w:cs="Arial"/>
        </w:rPr>
        <w:t xml:space="preserve"> </w:t>
      </w:r>
      <w:r w:rsidR="004E3803" w:rsidRPr="009E4F39">
        <w:rPr>
          <w:rFonts w:ascii="Book Antiqua" w:hAnsi="Book Antiqua" w:cs="Arial"/>
        </w:rPr>
        <w:t>in a decision promulgated by</w:t>
      </w:r>
      <w:r w:rsidR="005231F1" w:rsidRPr="009E4F39">
        <w:rPr>
          <w:rFonts w:ascii="Book Antiqua" w:hAnsi="Book Antiqua" w:cs="Arial"/>
        </w:rPr>
        <w:t xml:space="preserve"> First-tier </w:t>
      </w:r>
      <w:r w:rsidR="009E4F39" w:rsidRPr="009E4F39">
        <w:rPr>
          <w:rFonts w:ascii="Book Antiqua" w:hAnsi="Book Antiqua" w:cs="Arial"/>
        </w:rPr>
        <w:t>Tribunal</w:t>
      </w:r>
      <w:r w:rsidR="004E3803" w:rsidRPr="009E4F39">
        <w:rPr>
          <w:rFonts w:ascii="Book Antiqua" w:hAnsi="Book Antiqua" w:cs="Arial"/>
        </w:rPr>
        <w:t xml:space="preserve"> Judge </w:t>
      </w:r>
      <w:r w:rsidR="009E4F39" w:rsidRPr="009E4F39">
        <w:rPr>
          <w:rFonts w:ascii="Book Antiqua" w:hAnsi="Book Antiqua" w:cs="Arial"/>
        </w:rPr>
        <w:t>Lloyd</w:t>
      </w:r>
      <w:r w:rsidR="005231F1" w:rsidRPr="009E4F39">
        <w:rPr>
          <w:rFonts w:ascii="Book Antiqua" w:hAnsi="Book Antiqua" w:cs="Arial"/>
        </w:rPr>
        <w:t xml:space="preserve"> on 24 </w:t>
      </w:r>
      <w:r w:rsidR="009E4F39" w:rsidRPr="009E4F39">
        <w:rPr>
          <w:rFonts w:ascii="Book Antiqua" w:hAnsi="Book Antiqua" w:cs="Arial"/>
        </w:rPr>
        <w:t>February</w:t>
      </w:r>
      <w:r w:rsidR="005231F1" w:rsidRPr="009E4F39">
        <w:rPr>
          <w:rFonts w:ascii="Book Antiqua" w:hAnsi="Book Antiqua" w:cs="Arial"/>
        </w:rPr>
        <w:t xml:space="preserve"> 2015</w:t>
      </w:r>
      <w:r w:rsidRPr="009E4F39">
        <w:rPr>
          <w:rFonts w:ascii="Book Antiqua" w:hAnsi="Book Antiqua" w:cs="Arial"/>
        </w:rPr>
        <w:t>. Judge</w:t>
      </w:r>
      <w:r w:rsidR="00802E5D" w:rsidRPr="009E4F39">
        <w:rPr>
          <w:rFonts w:ascii="Book Antiqua" w:hAnsi="Book Antiqua" w:cs="Arial"/>
        </w:rPr>
        <w:t xml:space="preserve"> L</w:t>
      </w:r>
      <w:r w:rsidR="00BE1EEE" w:rsidRPr="009E4F39">
        <w:rPr>
          <w:rFonts w:ascii="Book Antiqua" w:hAnsi="Book Antiqua" w:cs="Arial"/>
        </w:rPr>
        <w:t>l</w:t>
      </w:r>
      <w:r w:rsidR="00802E5D" w:rsidRPr="009E4F39">
        <w:rPr>
          <w:rFonts w:ascii="Book Antiqua" w:hAnsi="Book Antiqua" w:cs="Arial"/>
        </w:rPr>
        <w:t>oyd</w:t>
      </w:r>
      <w:r w:rsidRPr="009E4F39">
        <w:rPr>
          <w:rFonts w:ascii="Book Antiqua" w:hAnsi="Book Antiqua" w:cs="Arial"/>
        </w:rPr>
        <w:t xml:space="preserve"> noted the unacceptable </w:t>
      </w:r>
      <w:r w:rsidR="005231F1" w:rsidRPr="009E4F39">
        <w:rPr>
          <w:rFonts w:ascii="Book Antiqua" w:hAnsi="Book Antiqua" w:cs="Arial"/>
        </w:rPr>
        <w:t>late</w:t>
      </w:r>
      <w:r w:rsidR="003F54D6" w:rsidRPr="009E4F39">
        <w:rPr>
          <w:rFonts w:ascii="Book Antiqua" w:hAnsi="Book Antiqua" w:cs="Arial"/>
        </w:rPr>
        <w:t xml:space="preserve"> service </w:t>
      </w:r>
      <w:r w:rsidR="0037015C" w:rsidRPr="009E4F39">
        <w:rPr>
          <w:rFonts w:ascii="Book Antiqua" w:hAnsi="Book Antiqua" w:cs="Arial"/>
        </w:rPr>
        <w:t>(</w:t>
      </w:r>
      <w:r w:rsidR="003F54D6" w:rsidRPr="009E4F39">
        <w:rPr>
          <w:rFonts w:ascii="Book Antiqua" w:hAnsi="Book Antiqua" w:cs="Arial"/>
        </w:rPr>
        <w:t>on the date of hearing</w:t>
      </w:r>
      <w:r w:rsidR="0037015C" w:rsidRPr="009E4F39">
        <w:rPr>
          <w:rFonts w:ascii="Book Antiqua" w:hAnsi="Book Antiqua" w:cs="Arial"/>
        </w:rPr>
        <w:t>)</w:t>
      </w:r>
      <w:r w:rsidR="003F54D6" w:rsidRPr="009E4F39">
        <w:rPr>
          <w:rFonts w:ascii="Book Antiqua" w:hAnsi="Book Antiqua" w:cs="Arial"/>
        </w:rPr>
        <w:t xml:space="preserve"> of the SSHD’s evidence relating to the allegation of deception</w:t>
      </w:r>
      <w:r w:rsidR="00567381" w:rsidRPr="009E4F39">
        <w:rPr>
          <w:rFonts w:ascii="Book Antiqua" w:hAnsi="Book Antiqua" w:cs="Arial"/>
        </w:rPr>
        <w:t xml:space="preserve"> including witness statements of </w:t>
      </w:r>
      <w:r w:rsidR="009E4F39" w:rsidRPr="009E4F39">
        <w:rPr>
          <w:rFonts w:ascii="Book Antiqua" w:hAnsi="Book Antiqua" w:cs="Arial"/>
        </w:rPr>
        <w:t>Rebecca</w:t>
      </w:r>
      <w:r w:rsidR="00567381" w:rsidRPr="009E4F39">
        <w:rPr>
          <w:rFonts w:ascii="Book Antiqua" w:hAnsi="Book Antiqua" w:cs="Arial"/>
        </w:rPr>
        <w:t xml:space="preserve"> Collings and </w:t>
      </w:r>
      <w:r w:rsidR="00513304" w:rsidRPr="009E4F39">
        <w:rPr>
          <w:rFonts w:ascii="Book Antiqua" w:hAnsi="Book Antiqua" w:cs="Arial"/>
        </w:rPr>
        <w:t>“</w:t>
      </w:r>
      <w:r w:rsidR="00567381" w:rsidRPr="009E4F39">
        <w:rPr>
          <w:rFonts w:ascii="Book Antiqua" w:hAnsi="Book Antiqua" w:cs="Arial"/>
        </w:rPr>
        <w:t>Peter</w:t>
      </w:r>
      <w:r w:rsidR="003F54D6" w:rsidRPr="009E4F39">
        <w:rPr>
          <w:rFonts w:ascii="Book Antiqua" w:hAnsi="Book Antiqua" w:cs="Arial"/>
        </w:rPr>
        <w:t xml:space="preserve"> I</w:t>
      </w:r>
      <w:r w:rsidR="00513304" w:rsidRPr="009E4F39">
        <w:rPr>
          <w:rFonts w:ascii="Book Antiqua" w:hAnsi="Book Antiqua" w:cs="Arial"/>
        </w:rPr>
        <w:t>slington”</w:t>
      </w:r>
      <w:r w:rsidR="00567381" w:rsidRPr="009E4F39">
        <w:rPr>
          <w:rFonts w:ascii="Book Antiqua" w:hAnsi="Book Antiqua" w:cs="Arial"/>
        </w:rPr>
        <w:t xml:space="preserve"> </w:t>
      </w:r>
      <w:r w:rsidR="003F54D6" w:rsidRPr="009E4F39">
        <w:rPr>
          <w:rFonts w:ascii="Book Antiqua" w:hAnsi="Book Antiqua" w:cs="Arial"/>
        </w:rPr>
        <w:t>(</w:t>
      </w:r>
      <w:r w:rsidR="00513304" w:rsidRPr="009E4F39">
        <w:rPr>
          <w:rFonts w:ascii="Book Antiqua" w:hAnsi="Book Antiqua" w:cs="Arial"/>
        </w:rPr>
        <w:t>likely to be stated in error and should be “</w:t>
      </w:r>
      <w:r w:rsidR="0037015C" w:rsidRPr="009E4F39">
        <w:rPr>
          <w:rFonts w:ascii="Book Antiqua" w:hAnsi="Book Antiqua" w:cs="Arial"/>
        </w:rPr>
        <w:t xml:space="preserve">Peter </w:t>
      </w:r>
      <w:r w:rsidR="00567381" w:rsidRPr="009E4F39">
        <w:rPr>
          <w:rFonts w:ascii="Book Antiqua" w:hAnsi="Book Antiqua" w:cs="Arial"/>
        </w:rPr>
        <w:t>Millington</w:t>
      </w:r>
      <w:r w:rsidR="00513304" w:rsidRPr="009E4F39">
        <w:rPr>
          <w:rFonts w:ascii="Book Antiqua" w:hAnsi="Book Antiqua" w:cs="Arial"/>
        </w:rPr>
        <w:t>”)</w:t>
      </w:r>
      <w:r w:rsidR="007F4614">
        <w:rPr>
          <w:rFonts w:ascii="Book Antiqua" w:hAnsi="Book Antiqua" w:cs="Arial"/>
        </w:rPr>
        <w:t>, widely referred to as</w:t>
      </w:r>
      <w:r w:rsidR="001611B2" w:rsidRPr="009E4F39">
        <w:rPr>
          <w:rFonts w:ascii="Book Antiqua" w:hAnsi="Book Antiqua" w:cs="Arial"/>
        </w:rPr>
        <w:t xml:space="preserve"> “generic evidence</w:t>
      </w:r>
      <w:r w:rsidR="00760561">
        <w:rPr>
          <w:rFonts w:ascii="Book Antiqua" w:hAnsi="Book Antiqua" w:cs="Arial"/>
        </w:rPr>
        <w:t>”</w:t>
      </w:r>
      <w:r w:rsidR="00567381" w:rsidRPr="009E4F39">
        <w:rPr>
          <w:rFonts w:ascii="Book Antiqua" w:hAnsi="Book Antiqua" w:cs="Arial"/>
        </w:rPr>
        <w:t xml:space="preserve"> and a database entry showing that the claimant’s test scores had been marked as </w:t>
      </w:r>
      <w:r w:rsidR="00C24357" w:rsidRPr="009E4F39">
        <w:rPr>
          <w:rFonts w:ascii="Book Antiqua" w:hAnsi="Book Antiqua" w:cs="Arial"/>
        </w:rPr>
        <w:t>“</w:t>
      </w:r>
      <w:r w:rsidR="00567381" w:rsidRPr="009E4F39">
        <w:rPr>
          <w:rFonts w:ascii="Book Antiqua" w:hAnsi="Book Antiqua" w:cs="Arial"/>
        </w:rPr>
        <w:t>invalid</w:t>
      </w:r>
      <w:r w:rsidR="00C24357" w:rsidRPr="009E4F39">
        <w:rPr>
          <w:rFonts w:ascii="Book Antiqua" w:hAnsi="Book Antiqua" w:cs="Arial"/>
        </w:rPr>
        <w:t>”</w:t>
      </w:r>
      <w:r w:rsidR="00513304" w:rsidRPr="009E4F39">
        <w:rPr>
          <w:rFonts w:ascii="Book Antiqua" w:hAnsi="Book Antiqua" w:cs="Arial"/>
        </w:rPr>
        <w:t>. Judge Lloyd found that the denial by</w:t>
      </w:r>
      <w:r w:rsidRPr="009E4F39">
        <w:rPr>
          <w:rFonts w:ascii="Book Antiqua" w:hAnsi="Book Antiqua" w:cs="Arial"/>
        </w:rPr>
        <w:t xml:space="preserve"> the claimant</w:t>
      </w:r>
      <w:r w:rsidR="00513304" w:rsidRPr="009E4F39">
        <w:rPr>
          <w:rFonts w:ascii="Book Antiqua" w:hAnsi="Book Antiqua" w:cs="Arial"/>
        </w:rPr>
        <w:t xml:space="preserve"> of the a</w:t>
      </w:r>
      <w:r w:rsidR="0037015C" w:rsidRPr="009E4F39">
        <w:rPr>
          <w:rFonts w:ascii="Book Antiqua" w:hAnsi="Book Antiqua" w:cs="Arial"/>
        </w:rPr>
        <w:t>llegation that she used</w:t>
      </w:r>
      <w:r w:rsidR="00513304" w:rsidRPr="009E4F39">
        <w:rPr>
          <w:rFonts w:ascii="Book Antiqua" w:hAnsi="Book Antiqua" w:cs="Arial"/>
        </w:rPr>
        <w:t xml:space="preserve"> a proxy test taker</w:t>
      </w:r>
      <w:r w:rsidRPr="009E4F39">
        <w:rPr>
          <w:rFonts w:ascii="Book Antiqua" w:hAnsi="Book Antiqua" w:cs="Arial"/>
        </w:rPr>
        <w:t xml:space="preserve"> was credible</w:t>
      </w:r>
      <w:r w:rsidR="001F12E0" w:rsidRPr="009E4F39">
        <w:rPr>
          <w:rFonts w:ascii="Book Antiqua" w:hAnsi="Book Antiqua" w:cs="Arial"/>
        </w:rPr>
        <w:t xml:space="preserve"> and consistent</w:t>
      </w:r>
      <w:r w:rsidRPr="009E4F39">
        <w:rPr>
          <w:rFonts w:ascii="Book Antiqua" w:hAnsi="Book Antiqua" w:cs="Arial"/>
        </w:rPr>
        <w:t xml:space="preserve"> and ruled that the SSHD had failed to discharge the burden on her to prove deception. </w:t>
      </w:r>
      <w:r w:rsidR="009E4F39" w:rsidRPr="009E4F39">
        <w:rPr>
          <w:rFonts w:ascii="Book Antiqua" w:hAnsi="Book Antiqua" w:cs="Arial"/>
        </w:rPr>
        <w:t>Accordingly,</w:t>
      </w:r>
      <w:r w:rsidR="00C24357" w:rsidRPr="009E4F39">
        <w:rPr>
          <w:rFonts w:ascii="Book Antiqua" w:hAnsi="Book Antiqua" w:cs="Arial"/>
        </w:rPr>
        <w:t xml:space="preserve"> the appeal was allowed</w:t>
      </w:r>
      <w:r w:rsidR="00E92241" w:rsidRPr="009E4F39">
        <w:rPr>
          <w:rFonts w:ascii="Book Antiqua" w:hAnsi="Book Antiqua" w:cs="Arial"/>
        </w:rPr>
        <w:t xml:space="preserve">. </w:t>
      </w:r>
    </w:p>
    <w:p w14:paraId="3158E8EB" w14:textId="77777777" w:rsidR="00474772" w:rsidRPr="009E4F39" w:rsidRDefault="00474772" w:rsidP="00647AB3">
      <w:pPr>
        <w:numPr>
          <w:ilvl w:val="0"/>
          <w:numId w:val="1"/>
        </w:numPr>
        <w:spacing w:before="240"/>
        <w:jc w:val="both"/>
        <w:rPr>
          <w:rFonts w:ascii="Book Antiqua" w:hAnsi="Book Antiqua" w:cs="Arial"/>
        </w:rPr>
      </w:pPr>
      <w:r w:rsidRPr="009E4F39">
        <w:rPr>
          <w:rFonts w:ascii="Book Antiqua" w:hAnsi="Book Antiqua" w:cs="Arial"/>
        </w:rPr>
        <w:lastRenderedPageBreak/>
        <w:t>I pause here to note</w:t>
      </w:r>
      <w:r w:rsidR="00C24357" w:rsidRPr="009E4F39">
        <w:rPr>
          <w:rFonts w:ascii="Book Antiqua" w:hAnsi="Book Antiqua" w:cs="Arial"/>
        </w:rPr>
        <w:t xml:space="preserve"> that Judge </w:t>
      </w:r>
      <w:r w:rsidR="009E4F39" w:rsidRPr="009E4F39">
        <w:rPr>
          <w:rFonts w:ascii="Book Antiqua" w:hAnsi="Book Antiqua" w:cs="Arial"/>
        </w:rPr>
        <w:t>Lloyd</w:t>
      </w:r>
      <w:r w:rsidR="00C24357" w:rsidRPr="009E4F39">
        <w:rPr>
          <w:rFonts w:ascii="Book Antiqua" w:hAnsi="Book Antiqua" w:cs="Arial"/>
        </w:rPr>
        <w:t xml:space="preserve"> observed that</w:t>
      </w:r>
      <w:r w:rsidRPr="009E4F39">
        <w:rPr>
          <w:rFonts w:ascii="Book Antiqua" w:hAnsi="Book Antiqua" w:cs="Arial"/>
        </w:rPr>
        <w:t xml:space="preserve"> on 27 October 2014</w:t>
      </w:r>
      <w:r w:rsidR="00C24357" w:rsidRPr="009E4F39">
        <w:rPr>
          <w:rFonts w:ascii="Book Antiqua" w:hAnsi="Book Antiqua" w:cs="Arial"/>
        </w:rPr>
        <w:t xml:space="preserve"> the claimant</w:t>
      </w:r>
      <w:r w:rsidRPr="009E4F39">
        <w:rPr>
          <w:rFonts w:ascii="Book Antiqua" w:hAnsi="Book Antiqua" w:cs="Arial"/>
        </w:rPr>
        <w:t xml:space="preserve"> submitted a fresh application for leave to remain as a spouse of h</w:t>
      </w:r>
      <w:r w:rsidR="00C24357" w:rsidRPr="009E4F39">
        <w:rPr>
          <w:rFonts w:ascii="Book Antiqua" w:hAnsi="Book Antiqua" w:cs="Arial"/>
        </w:rPr>
        <w:t>er partner</w:t>
      </w:r>
      <w:r w:rsidR="00760561">
        <w:rPr>
          <w:rFonts w:ascii="Book Antiqua" w:hAnsi="Book Antiqua" w:cs="Arial"/>
        </w:rPr>
        <w:t>.</w:t>
      </w:r>
      <w:r w:rsidR="00C27674" w:rsidRPr="009E4F39">
        <w:rPr>
          <w:rFonts w:ascii="Book Antiqua" w:hAnsi="Book Antiqua" w:cs="Arial"/>
        </w:rPr>
        <w:t xml:space="preserve"> The outcome was pending.</w:t>
      </w:r>
      <w:r w:rsidR="00C24357" w:rsidRPr="009E4F39">
        <w:rPr>
          <w:rFonts w:ascii="Book Antiqua" w:hAnsi="Book Antiqua" w:cs="Arial"/>
        </w:rPr>
        <w:t xml:space="preserve"> At [27] J</w:t>
      </w:r>
      <w:r w:rsidRPr="009E4F39">
        <w:rPr>
          <w:rFonts w:ascii="Book Antiqua" w:hAnsi="Book Antiqua" w:cs="Arial"/>
        </w:rPr>
        <w:t>udge Lloyd noted in respect of that application:</w:t>
      </w:r>
    </w:p>
    <w:p w14:paraId="3AEC56AA" w14:textId="77777777" w:rsidR="00474772" w:rsidRPr="00724E39" w:rsidRDefault="00474772" w:rsidP="00724E39">
      <w:pPr>
        <w:spacing w:before="120"/>
        <w:ind w:left="1134" w:right="567"/>
        <w:jc w:val="both"/>
        <w:rPr>
          <w:rFonts w:ascii="Book Antiqua" w:hAnsi="Book Antiqua" w:cs="Arial"/>
          <w:sz w:val="22"/>
        </w:rPr>
      </w:pPr>
      <w:r w:rsidRPr="00724E39">
        <w:rPr>
          <w:rFonts w:ascii="Book Antiqua" w:hAnsi="Book Antiqua" w:cs="Arial"/>
          <w:sz w:val="22"/>
        </w:rPr>
        <w:t xml:space="preserve">“If the Respondent decides the Appellant’s fresh spousal application before the instant matter is resolved, she </w:t>
      </w:r>
      <w:r w:rsidR="00C24357" w:rsidRPr="00724E39">
        <w:rPr>
          <w:rFonts w:ascii="Book Antiqua" w:hAnsi="Book Antiqua" w:cs="Arial"/>
          <w:sz w:val="22"/>
        </w:rPr>
        <w:t>should still observe my finding</w:t>
      </w:r>
      <w:r w:rsidRPr="00724E39">
        <w:rPr>
          <w:rFonts w:ascii="Book Antiqua" w:hAnsi="Book Antiqua" w:cs="Arial"/>
          <w:sz w:val="22"/>
        </w:rPr>
        <w:t>s in this appeal as there is a clear factual overlap.”</w:t>
      </w:r>
    </w:p>
    <w:p w14:paraId="17C582B0" w14:textId="77777777" w:rsidR="00033D33" w:rsidRPr="009E4F39" w:rsidRDefault="00ED59D6" w:rsidP="00647AB3">
      <w:pPr>
        <w:numPr>
          <w:ilvl w:val="0"/>
          <w:numId w:val="1"/>
        </w:numPr>
        <w:spacing w:before="240"/>
        <w:jc w:val="both"/>
        <w:rPr>
          <w:rFonts w:ascii="Book Antiqua" w:hAnsi="Book Antiqua" w:cs="Arial"/>
        </w:rPr>
      </w:pPr>
      <w:r w:rsidRPr="009E4F39">
        <w:rPr>
          <w:rFonts w:ascii="Book Antiqua" w:hAnsi="Book Antiqua" w:cs="Arial"/>
        </w:rPr>
        <w:t>The SSHD was</w:t>
      </w:r>
      <w:r w:rsidR="00033D33" w:rsidRPr="009E4F39">
        <w:rPr>
          <w:rFonts w:ascii="Book Antiqua" w:hAnsi="Book Antiqua" w:cs="Arial"/>
        </w:rPr>
        <w:t xml:space="preserve"> successful in securing permission to appeal </w:t>
      </w:r>
      <w:r w:rsidR="009E4F39" w:rsidRPr="009E4F39">
        <w:rPr>
          <w:rFonts w:ascii="Book Antiqua" w:hAnsi="Book Antiqua" w:cs="Arial"/>
        </w:rPr>
        <w:t>claiming</w:t>
      </w:r>
      <w:r w:rsidR="00CD1C4F" w:rsidRPr="009E4F39">
        <w:rPr>
          <w:rFonts w:ascii="Book Antiqua" w:hAnsi="Book Antiqua" w:cs="Arial"/>
        </w:rPr>
        <w:t xml:space="preserve"> the decision was </w:t>
      </w:r>
      <w:r w:rsidR="009E4F39" w:rsidRPr="009E4F39">
        <w:rPr>
          <w:rFonts w:ascii="Book Antiqua" w:hAnsi="Book Antiqua" w:cs="Arial"/>
        </w:rPr>
        <w:t>inadequately</w:t>
      </w:r>
      <w:r w:rsidR="00CD1C4F" w:rsidRPr="009E4F39">
        <w:rPr>
          <w:rFonts w:ascii="Book Antiqua" w:hAnsi="Book Antiqua" w:cs="Arial"/>
        </w:rPr>
        <w:t xml:space="preserve"> reasoned</w:t>
      </w:r>
      <w:r w:rsidR="001B35ED" w:rsidRPr="009E4F39">
        <w:rPr>
          <w:rFonts w:ascii="Book Antiqua" w:hAnsi="Book Antiqua" w:cs="Arial"/>
        </w:rPr>
        <w:t>,</w:t>
      </w:r>
      <w:r w:rsidR="00CD1C4F" w:rsidRPr="009E4F39">
        <w:rPr>
          <w:rFonts w:ascii="Book Antiqua" w:hAnsi="Book Antiqua" w:cs="Arial"/>
        </w:rPr>
        <w:t xml:space="preserve"> but that challenge was not up</w:t>
      </w:r>
      <w:r w:rsidR="0050445E" w:rsidRPr="009E4F39">
        <w:rPr>
          <w:rFonts w:ascii="Book Antiqua" w:hAnsi="Book Antiqua" w:cs="Arial"/>
        </w:rPr>
        <w:t>held by a former President panel</w:t>
      </w:r>
      <w:r w:rsidR="00CD1C4F" w:rsidRPr="009E4F39">
        <w:rPr>
          <w:rFonts w:ascii="Book Antiqua" w:hAnsi="Book Antiqua" w:cs="Arial"/>
        </w:rPr>
        <w:t xml:space="preserve"> of th</w:t>
      </w:r>
      <w:r w:rsidR="001B35ED" w:rsidRPr="009E4F39">
        <w:rPr>
          <w:rFonts w:ascii="Book Antiqua" w:hAnsi="Book Antiqua" w:cs="Arial"/>
        </w:rPr>
        <w:t>is tribunal in a decision promulgated</w:t>
      </w:r>
      <w:r w:rsidR="00CD1C4F" w:rsidRPr="009E4F39">
        <w:rPr>
          <w:rFonts w:ascii="Book Antiqua" w:hAnsi="Book Antiqua" w:cs="Arial"/>
        </w:rPr>
        <w:t xml:space="preserve"> on 17 March 2016. </w:t>
      </w:r>
      <w:r w:rsidR="009B1BDD" w:rsidRPr="009E4F39">
        <w:rPr>
          <w:rFonts w:ascii="Book Antiqua" w:hAnsi="Book Antiqua" w:cs="Arial"/>
        </w:rPr>
        <w:t>The tribunal further observed that the pending application was not associated with th</w:t>
      </w:r>
      <w:r w:rsidR="0050445E" w:rsidRPr="009E4F39">
        <w:rPr>
          <w:rFonts w:ascii="Book Antiqua" w:hAnsi="Book Antiqua" w:cs="Arial"/>
        </w:rPr>
        <w:t>e appeal before the First-tier T</w:t>
      </w:r>
      <w:r w:rsidR="009B1BDD" w:rsidRPr="009E4F39">
        <w:rPr>
          <w:rFonts w:ascii="Book Antiqua" w:hAnsi="Book Antiqua" w:cs="Arial"/>
        </w:rPr>
        <w:t>ribunal or itself</w:t>
      </w:r>
      <w:r w:rsidR="0050445E" w:rsidRPr="009E4F39">
        <w:rPr>
          <w:rFonts w:ascii="Book Antiqua" w:hAnsi="Book Antiqua" w:cs="Arial"/>
        </w:rPr>
        <w:t>;</w:t>
      </w:r>
      <w:r w:rsidR="009B1BDD" w:rsidRPr="009E4F39">
        <w:rPr>
          <w:rFonts w:ascii="Book Antiqua" w:hAnsi="Book Antiqua" w:cs="Arial"/>
        </w:rPr>
        <w:t xml:space="preserve"> the outcome of which was essentially a matter for the primary decision-maker.</w:t>
      </w:r>
    </w:p>
    <w:p w14:paraId="0F3365FE" w14:textId="77777777" w:rsidR="00CD1C4F" w:rsidRPr="009E4F39" w:rsidRDefault="009B1BDD" w:rsidP="00647AB3">
      <w:pPr>
        <w:numPr>
          <w:ilvl w:val="0"/>
          <w:numId w:val="1"/>
        </w:numPr>
        <w:spacing w:before="240"/>
        <w:jc w:val="both"/>
        <w:rPr>
          <w:rFonts w:ascii="Book Antiqua" w:hAnsi="Book Antiqua" w:cs="Arial"/>
        </w:rPr>
      </w:pPr>
      <w:r w:rsidRPr="009E4F39">
        <w:rPr>
          <w:rFonts w:ascii="Book Antiqua" w:hAnsi="Book Antiqua" w:cs="Arial"/>
        </w:rPr>
        <w:t>O</w:t>
      </w:r>
      <w:r w:rsidR="00513304" w:rsidRPr="009E4F39">
        <w:rPr>
          <w:rFonts w:ascii="Book Antiqua" w:hAnsi="Book Antiqua" w:cs="Arial"/>
        </w:rPr>
        <w:t>n 27 October 2014</w:t>
      </w:r>
      <w:r w:rsidR="00046379" w:rsidRPr="009E4F39">
        <w:rPr>
          <w:rFonts w:ascii="Book Antiqua" w:hAnsi="Book Antiqua" w:cs="Arial"/>
        </w:rPr>
        <w:t xml:space="preserve"> </w:t>
      </w:r>
      <w:r w:rsidRPr="009E4F39">
        <w:rPr>
          <w:rFonts w:ascii="Book Antiqua" w:hAnsi="Book Antiqua" w:cs="Arial"/>
        </w:rPr>
        <w:t xml:space="preserve">the pending application </w:t>
      </w:r>
      <w:r w:rsidR="00046379" w:rsidRPr="009E4F39">
        <w:rPr>
          <w:rFonts w:ascii="Book Antiqua" w:hAnsi="Book Antiqua" w:cs="Arial"/>
        </w:rPr>
        <w:t xml:space="preserve">was refused in a decision </w:t>
      </w:r>
      <w:r w:rsidR="00CD1C4F" w:rsidRPr="009E4F39">
        <w:rPr>
          <w:rFonts w:ascii="Book Antiqua" w:hAnsi="Book Antiqua" w:cs="Arial"/>
        </w:rPr>
        <w:t>dated 4 Au</w:t>
      </w:r>
      <w:r w:rsidR="005D1098" w:rsidRPr="009E4F39">
        <w:rPr>
          <w:rFonts w:ascii="Book Antiqua" w:hAnsi="Book Antiqua" w:cs="Arial"/>
        </w:rPr>
        <w:t>gus</w:t>
      </w:r>
      <w:r w:rsidR="00046379" w:rsidRPr="009E4F39">
        <w:rPr>
          <w:rFonts w:ascii="Book Antiqua" w:hAnsi="Book Antiqua" w:cs="Arial"/>
        </w:rPr>
        <w:t xml:space="preserve">t </w:t>
      </w:r>
      <w:r w:rsidR="005D1098" w:rsidRPr="009E4F39">
        <w:rPr>
          <w:rFonts w:ascii="Book Antiqua" w:hAnsi="Book Antiqua" w:cs="Arial"/>
        </w:rPr>
        <w:t xml:space="preserve">2016. </w:t>
      </w:r>
      <w:r w:rsidR="00F12359" w:rsidRPr="009E4F39">
        <w:rPr>
          <w:rFonts w:ascii="Book Antiqua" w:hAnsi="Book Antiqua" w:cs="Arial"/>
        </w:rPr>
        <w:t>It does not appear that the observatio</w:t>
      </w:r>
      <w:r w:rsidR="009A099A" w:rsidRPr="009E4F39">
        <w:rPr>
          <w:rFonts w:ascii="Book Antiqua" w:hAnsi="Book Antiqua" w:cs="Arial"/>
        </w:rPr>
        <w:t>n made by Judge Lloyd was considered</w:t>
      </w:r>
      <w:r w:rsidR="00F12359" w:rsidRPr="009E4F39">
        <w:rPr>
          <w:rFonts w:ascii="Book Antiqua" w:hAnsi="Book Antiqua" w:cs="Arial"/>
        </w:rPr>
        <w:t xml:space="preserve">. </w:t>
      </w:r>
      <w:r w:rsidR="005D1098" w:rsidRPr="009E4F39">
        <w:rPr>
          <w:rFonts w:ascii="Book Antiqua" w:hAnsi="Book Antiqua" w:cs="Arial"/>
        </w:rPr>
        <w:t xml:space="preserve">The application was refused inter alia because the SSHD </w:t>
      </w:r>
      <w:r w:rsidR="009A099A" w:rsidRPr="009E4F39">
        <w:rPr>
          <w:rFonts w:ascii="Book Antiqua" w:hAnsi="Book Antiqua" w:cs="Arial"/>
        </w:rPr>
        <w:t xml:space="preserve">considered </w:t>
      </w:r>
      <w:r w:rsidR="005257EA" w:rsidRPr="009E4F39">
        <w:rPr>
          <w:rFonts w:ascii="Book Antiqua" w:hAnsi="Book Antiqua" w:cs="Arial"/>
        </w:rPr>
        <w:t>the evidence</w:t>
      </w:r>
      <w:r w:rsidR="00F12359" w:rsidRPr="009E4F39">
        <w:rPr>
          <w:rFonts w:ascii="Book Antiqua" w:hAnsi="Book Antiqua" w:cs="Arial"/>
        </w:rPr>
        <w:t xml:space="preserve"> demonstrated </w:t>
      </w:r>
      <w:r w:rsidR="009A099A" w:rsidRPr="009E4F39">
        <w:rPr>
          <w:rFonts w:ascii="Book Antiqua" w:hAnsi="Book Antiqua" w:cs="Arial"/>
        </w:rPr>
        <w:t xml:space="preserve">that </w:t>
      </w:r>
      <w:r w:rsidR="00F12359" w:rsidRPr="009E4F39">
        <w:rPr>
          <w:rFonts w:ascii="Book Antiqua" w:hAnsi="Book Antiqua" w:cs="Arial"/>
        </w:rPr>
        <w:t>the claimant</w:t>
      </w:r>
      <w:r w:rsidR="005D1098" w:rsidRPr="009E4F39">
        <w:rPr>
          <w:rFonts w:ascii="Book Antiqua" w:hAnsi="Book Antiqua" w:cs="Arial"/>
        </w:rPr>
        <w:t xml:space="preserve"> had sought to obtain leave to </w:t>
      </w:r>
      <w:r w:rsidR="009A099A" w:rsidRPr="009E4F39">
        <w:rPr>
          <w:rFonts w:ascii="Book Antiqua" w:hAnsi="Book Antiqua" w:cs="Arial"/>
        </w:rPr>
        <w:t>remain by deception by submitting</w:t>
      </w:r>
      <w:r w:rsidR="005D1098" w:rsidRPr="009E4F39">
        <w:rPr>
          <w:rFonts w:ascii="Book Antiqua" w:hAnsi="Book Antiqua" w:cs="Arial"/>
        </w:rPr>
        <w:t xml:space="preserve"> a false</w:t>
      </w:r>
      <w:r w:rsidR="00461DAA">
        <w:rPr>
          <w:rFonts w:ascii="Book Antiqua" w:hAnsi="Book Antiqua" w:cs="Arial"/>
        </w:rPr>
        <w:t xml:space="preserve"> TOEIC</w:t>
      </w:r>
      <w:r w:rsidR="005D1098" w:rsidRPr="009E4F39">
        <w:rPr>
          <w:rFonts w:ascii="Book Antiqua" w:hAnsi="Book Antiqua" w:cs="Arial"/>
        </w:rPr>
        <w:t xml:space="preserve"> </w:t>
      </w:r>
      <w:r w:rsidR="009E4F39" w:rsidRPr="009E4F39">
        <w:rPr>
          <w:rFonts w:ascii="Book Antiqua" w:hAnsi="Book Antiqua" w:cs="Arial"/>
        </w:rPr>
        <w:t>English</w:t>
      </w:r>
      <w:r w:rsidR="005D1098" w:rsidRPr="009E4F39">
        <w:rPr>
          <w:rFonts w:ascii="Book Antiqua" w:hAnsi="Book Antiqua" w:cs="Arial"/>
        </w:rPr>
        <w:t xml:space="preserve"> Language test certifi</w:t>
      </w:r>
      <w:r w:rsidR="00461DAA">
        <w:rPr>
          <w:rFonts w:ascii="Book Antiqua" w:hAnsi="Book Antiqua" w:cs="Arial"/>
        </w:rPr>
        <w:t>cate.</w:t>
      </w:r>
      <w:r w:rsidR="005D1098" w:rsidRPr="009E4F39">
        <w:rPr>
          <w:rFonts w:ascii="Book Antiqua" w:hAnsi="Book Antiqua" w:cs="Arial"/>
        </w:rPr>
        <w:t xml:space="preserve"> </w:t>
      </w:r>
    </w:p>
    <w:p w14:paraId="41DC82C3" w14:textId="77777777" w:rsidR="002420A0" w:rsidRPr="009E4F39" w:rsidRDefault="000500E3" w:rsidP="00647AB3">
      <w:pPr>
        <w:numPr>
          <w:ilvl w:val="0"/>
          <w:numId w:val="1"/>
        </w:numPr>
        <w:spacing w:before="240"/>
        <w:jc w:val="both"/>
        <w:rPr>
          <w:rFonts w:ascii="Book Antiqua" w:hAnsi="Book Antiqua" w:cs="Arial"/>
        </w:rPr>
      </w:pPr>
      <w:r w:rsidRPr="009E4F39">
        <w:rPr>
          <w:rFonts w:ascii="Book Antiqua" w:hAnsi="Book Antiqua" w:cs="Arial"/>
        </w:rPr>
        <w:t xml:space="preserve">It is the claimant’s appeal against </w:t>
      </w:r>
      <w:r w:rsidR="00B51039" w:rsidRPr="009E4F39">
        <w:rPr>
          <w:rFonts w:ascii="Book Antiqua" w:hAnsi="Book Antiqua" w:cs="Arial"/>
        </w:rPr>
        <w:t>this decision that came before J</w:t>
      </w:r>
      <w:r w:rsidRPr="009E4F39">
        <w:rPr>
          <w:rFonts w:ascii="Book Antiqua" w:hAnsi="Book Antiqua" w:cs="Arial"/>
        </w:rPr>
        <w:t xml:space="preserve">udge </w:t>
      </w:r>
      <w:proofErr w:type="spellStart"/>
      <w:r w:rsidRPr="009E4F39">
        <w:rPr>
          <w:rFonts w:ascii="Book Antiqua" w:hAnsi="Book Antiqua" w:cs="Arial"/>
        </w:rPr>
        <w:t>Obhi</w:t>
      </w:r>
      <w:proofErr w:type="spellEnd"/>
      <w:r w:rsidRPr="009E4F39">
        <w:rPr>
          <w:rFonts w:ascii="Book Antiqua" w:hAnsi="Book Antiqua" w:cs="Arial"/>
        </w:rPr>
        <w:t xml:space="preserve">. </w:t>
      </w:r>
      <w:r w:rsidR="000354AC" w:rsidRPr="009E4F39">
        <w:rPr>
          <w:rFonts w:ascii="Book Antiqua" w:hAnsi="Book Antiqua" w:cs="Arial"/>
        </w:rPr>
        <w:t>At the appeal hearing the SSHD provided</w:t>
      </w:r>
      <w:r w:rsidR="008C4666" w:rsidRPr="009E4F39">
        <w:rPr>
          <w:rFonts w:ascii="Book Antiqua" w:hAnsi="Book Antiqua" w:cs="Arial"/>
        </w:rPr>
        <w:t xml:space="preserve"> the generic evidence and a schedule confirming that ETS</w:t>
      </w:r>
      <w:r w:rsidR="00DA27A1" w:rsidRPr="009E4F39">
        <w:rPr>
          <w:rFonts w:ascii="Book Antiqua" w:hAnsi="Book Antiqua" w:cs="Arial"/>
        </w:rPr>
        <w:t xml:space="preserve"> had invalidated the claimant’s</w:t>
      </w:r>
      <w:r w:rsidR="008C4666" w:rsidRPr="009E4F39">
        <w:rPr>
          <w:rFonts w:ascii="Book Antiqua" w:hAnsi="Book Antiqua" w:cs="Arial"/>
        </w:rPr>
        <w:t xml:space="preserve"> test result</w:t>
      </w:r>
      <w:r w:rsidR="002420A0" w:rsidRPr="009E4F39">
        <w:rPr>
          <w:rFonts w:ascii="Book Antiqua" w:hAnsi="Book Antiqua" w:cs="Arial"/>
        </w:rPr>
        <w:t xml:space="preserve">. The judge did not accept the claimant’s submission that the allegation of deception was </w:t>
      </w:r>
      <w:r w:rsidR="002420A0" w:rsidRPr="009E4F39">
        <w:rPr>
          <w:rFonts w:ascii="Book Antiqua" w:hAnsi="Book Antiqua" w:cs="Arial"/>
          <w:i/>
        </w:rPr>
        <w:t>res judicata</w:t>
      </w:r>
      <w:r w:rsidR="000C036D" w:rsidRPr="009E4F39">
        <w:rPr>
          <w:rFonts w:ascii="Book Antiqua" w:hAnsi="Book Antiqua" w:cs="Arial"/>
          <w:i/>
        </w:rPr>
        <w:t xml:space="preserve">. </w:t>
      </w:r>
      <w:r w:rsidR="000C036D" w:rsidRPr="009E4F39">
        <w:rPr>
          <w:rFonts w:ascii="Book Antiqua" w:hAnsi="Book Antiqua" w:cs="Arial"/>
        </w:rPr>
        <w:t xml:space="preserve">The judge noted the </w:t>
      </w:r>
      <w:r w:rsidR="009E4F39" w:rsidRPr="009E4F39">
        <w:rPr>
          <w:rFonts w:ascii="Book Antiqua" w:hAnsi="Book Antiqua" w:cs="Arial"/>
        </w:rPr>
        <w:t>history</w:t>
      </w:r>
      <w:r w:rsidR="000C036D" w:rsidRPr="009E4F39">
        <w:rPr>
          <w:rFonts w:ascii="Book Antiqua" w:hAnsi="Book Antiqua" w:cs="Arial"/>
        </w:rPr>
        <w:t xml:space="preserve"> of</w:t>
      </w:r>
      <w:r w:rsidR="00DA27A1" w:rsidRPr="009E4F39">
        <w:rPr>
          <w:rFonts w:ascii="Book Antiqua" w:hAnsi="Book Antiqua" w:cs="Arial"/>
        </w:rPr>
        <w:t xml:space="preserve"> the appeal </w:t>
      </w:r>
      <w:r w:rsidR="000C036D" w:rsidRPr="009E4F39">
        <w:rPr>
          <w:rFonts w:ascii="Book Antiqua" w:hAnsi="Book Antiqua" w:cs="Arial"/>
        </w:rPr>
        <w:t>and concluded</w:t>
      </w:r>
      <w:r w:rsidR="00DA27A1" w:rsidRPr="009E4F39">
        <w:rPr>
          <w:rFonts w:ascii="Book Antiqua" w:hAnsi="Book Antiqua" w:cs="Arial"/>
        </w:rPr>
        <w:t xml:space="preserve"> in reference to</w:t>
      </w:r>
      <w:r w:rsidR="000C036D" w:rsidRPr="009E4F39">
        <w:rPr>
          <w:rFonts w:ascii="Book Antiqua" w:hAnsi="Book Antiqua" w:cs="Arial"/>
        </w:rPr>
        <w:t xml:space="preserve"> Judge Lloyd</w:t>
      </w:r>
      <w:r w:rsidR="00DA27A1" w:rsidRPr="009E4F39">
        <w:rPr>
          <w:rFonts w:ascii="Book Antiqua" w:hAnsi="Book Antiqua" w:cs="Arial"/>
        </w:rPr>
        <w:t>’s decision</w:t>
      </w:r>
      <w:r w:rsidR="000C036D" w:rsidRPr="009E4F39">
        <w:rPr>
          <w:rFonts w:ascii="Book Antiqua" w:hAnsi="Book Antiqua" w:cs="Arial"/>
        </w:rPr>
        <w:t xml:space="preserve"> that the “findings in relation to the allegation that the appellant had used deception in her test </w:t>
      </w:r>
      <w:r w:rsidR="0058295E">
        <w:rPr>
          <w:rFonts w:ascii="Book Antiqua" w:hAnsi="Book Antiqua" w:cs="Arial"/>
        </w:rPr>
        <w:t>stand</w:t>
      </w:r>
      <w:r w:rsidR="000C036D" w:rsidRPr="009E4F39">
        <w:rPr>
          <w:rFonts w:ascii="Book Antiqua" w:hAnsi="Book Antiqua" w:cs="Arial"/>
        </w:rPr>
        <w:t>”</w:t>
      </w:r>
      <w:r w:rsidR="00C6039F" w:rsidRPr="009E4F39">
        <w:rPr>
          <w:rFonts w:ascii="Book Antiqua" w:hAnsi="Book Antiqua" w:cs="Arial"/>
        </w:rPr>
        <w:t xml:space="preserve"> [20], but noted that there was “now new inform</w:t>
      </w:r>
      <w:r w:rsidR="00DA27A1" w:rsidRPr="009E4F39">
        <w:rPr>
          <w:rFonts w:ascii="Book Antiqua" w:hAnsi="Book Antiqua" w:cs="Arial"/>
        </w:rPr>
        <w:t xml:space="preserve">ation” before her and </w:t>
      </w:r>
      <w:r w:rsidR="00C6039F" w:rsidRPr="009E4F39">
        <w:rPr>
          <w:rFonts w:ascii="Book Antiqua" w:hAnsi="Book Antiqua" w:cs="Arial"/>
        </w:rPr>
        <w:t xml:space="preserve">that the appeal was “entirely new” on the basis of that </w:t>
      </w:r>
      <w:r w:rsidR="00DA27A1" w:rsidRPr="009E4F39">
        <w:rPr>
          <w:rFonts w:ascii="Book Antiqua" w:hAnsi="Book Antiqua" w:cs="Arial"/>
        </w:rPr>
        <w:t>information. The judge summarised</w:t>
      </w:r>
      <w:r w:rsidR="00C6039F" w:rsidRPr="009E4F39">
        <w:rPr>
          <w:rFonts w:ascii="Book Antiqua" w:hAnsi="Book Antiqua" w:cs="Arial"/>
        </w:rPr>
        <w:t xml:space="preserve"> the evidence of Peter Millington and Rebecca Collings and referred to the ETS evidence confirming that the test result had been invalidated. T</w:t>
      </w:r>
      <w:r w:rsidR="00385CA4" w:rsidRPr="009E4F39">
        <w:rPr>
          <w:rFonts w:ascii="Book Antiqua" w:hAnsi="Book Antiqua" w:cs="Arial"/>
        </w:rPr>
        <w:t>hat evidence was however before Judge L</w:t>
      </w:r>
      <w:r w:rsidR="00C6039F" w:rsidRPr="009E4F39">
        <w:rPr>
          <w:rFonts w:ascii="Book Antiqua" w:hAnsi="Book Antiqua" w:cs="Arial"/>
        </w:rPr>
        <w:t xml:space="preserve">loyd. </w:t>
      </w:r>
      <w:r w:rsidR="009506F7" w:rsidRPr="009E4F39">
        <w:rPr>
          <w:rFonts w:ascii="Book Antiqua" w:hAnsi="Book Antiqua" w:cs="Arial"/>
        </w:rPr>
        <w:t xml:space="preserve">The “new information” the judge appears to be referring to is the report of Professor Peter French. </w:t>
      </w:r>
    </w:p>
    <w:p w14:paraId="4391433D" w14:textId="77777777" w:rsidR="000354AC" w:rsidRPr="009E4F39" w:rsidRDefault="00BC31AD" w:rsidP="00647AB3">
      <w:pPr>
        <w:numPr>
          <w:ilvl w:val="0"/>
          <w:numId w:val="1"/>
        </w:numPr>
        <w:spacing w:before="240"/>
        <w:jc w:val="both"/>
        <w:rPr>
          <w:rFonts w:ascii="Book Antiqua" w:hAnsi="Book Antiqua" w:cs="Arial"/>
        </w:rPr>
      </w:pPr>
      <w:r w:rsidRPr="009E4F39">
        <w:rPr>
          <w:rFonts w:ascii="Book Antiqua" w:hAnsi="Book Antiqua" w:cs="Arial"/>
        </w:rPr>
        <w:t xml:space="preserve"> The judge</w:t>
      </w:r>
      <w:r w:rsidR="000354AC" w:rsidRPr="009E4F39">
        <w:rPr>
          <w:rFonts w:ascii="Book Antiqua" w:hAnsi="Book Antiqua" w:cs="Arial"/>
        </w:rPr>
        <w:t xml:space="preserve"> conclud</w:t>
      </w:r>
      <w:r w:rsidR="00461DAA">
        <w:rPr>
          <w:rFonts w:ascii="Book Antiqua" w:hAnsi="Book Antiqua" w:cs="Arial"/>
        </w:rPr>
        <w:t xml:space="preserve">ed </w:t>
      </w:r>
      <w:r w:rsidR="00C6039F" w:rsidRPr="009E4F39">
        <w:rPr>
          <w:rFonts w:ascii="Book Antiqua" w:hAnsi="Book Antiqua" w:cs="Arial"/>
        </w:rPr>
        <w:t>that the</w:t>
      </w:r>
      <w:r w:rsidR="009506F7" w:rsidRPr="009E4F39">
        <w:rPr>
          <w:rFonts w:ascii="Book Antiqua" w:hAnsi="Book Antiqua" w:cs="Arial"/>
        </w:rPr>
        <w:t xml:space="preserve"> </w:t>
      </w:r>
      <w:r w:rsidR="000354AC" w:rsidRPr="009E4F39">
        <w:rPr>
          <w:rFonts w:ascii="Book Antiqua" w:hAnsi="Book Antiqua" w:cs="Arial"/>
        </w:rPr>
        <w:t>SSHD had produced prima facie evi</w:t>
      </w:r>
      <w:r w:rsidR="009506F7" w:rsidRPr="009E4F39">
        <w:rPr>
          <w:rFonts w:ascii="Book Antiqua" w:hAnsi="Book Antiqua" w:cs="Arial"/>
        </w:rPr>
        <w:t>dence of deception [26</w:t>
      </w:r>
      <w:r w:rsidR="00457FFE" w:rsidRPr="009E4F39">
        <w:rPr>
          <w:rFonts w:ascii="Book Antiqua" w:hAnsi="Book Antiqua" w:cs="Arial"/>
        </w:rPr>
        <w:t xml:space="preserve">] </w:t>
      </w:r>
      <w:proofErr w:type="gramStart"/>
      <w:r w:rsidR="00457FFE" w:rsidRPr="009E4F39">
        <w:rPr>
          <w:rFonts w:ascii="Book Antiqua" w:hAnsi="Book Antiqua" w:cs="Arial"/>
        </w:rPr>
        <w:t>&amp;[</w:t>
      </w:r>
      <w:proofErr w:type="gramEnd"/>
      <w:r w:rsidR="00457FFE" w:rsidRPr="009E4F39">
        <w:rPr>
          <w:rFonts w:ascii="Book Antiqua" w:hAnsi="Book Antiqua" w:cs="Arial"/>
        </w:rPr>
        <w:t>29]</w:t>
      </w:r>
      <w:r w:rsidR="000354AC" w:rsidRPr="009E4F39">
        <w:rPr>
          <w:rFonts w:ascii="Book Antiqua" w:hAnsi="Book Antiqua" w:cs="Arial"/>
        </w:rPr>
        <w:t xml:space="preserve">. </w:t>
      </w:r>
    </w:p>
    <w:p w14:paraId="36CD512E" w14:textId="77777777" w:rsidR="000354AC" w:rsidRPr="009E4F39" w:rsidRDefault="00BC31AD" w:rsidP="00647AB3">
      <w:pPr>
        <w:numPr>
          <w:ilvl w:val="0"/>
          <w:numId w:val="1"/>
        </w:numPr>
        <w:spacing w:before="240"/>
        <w:jc w:val="both"/>
        <w:rPr>
          <w:rFonts w:ascii="Book Antiqua" w:hAnsi="Book Antiqua" w:cs="Arial"/>
        </w:rPr>
      </w:pPr>
      <w:r w:rsidRPr="009E4F39">
        <w:rPr>
          <w:rFonts w:ascii="Book Antiqua" w:hAnsi="Book Antiqua" w:cs="Arial"/>
        </w:rPr>
        <w:t>T</w:t>
      </w:r>
      <w:r w:rsidR="00132F6C" w:rsidRPr="009E4F39">
        <w:rPr>
          <w:rFonts w:ascii="Book Antiqua" w:hAnsi="Book Antiqua" w:cs="Arial"/>
        </w:rPr>
        <w:t>he claimant</w:t>
      </w:r>
      <w:r w:rsidRPr="009E4F39">
        <w:rPr>
          <w:rFonts w:ascii="Book Antiqua" w:hAnsi="Book Antiqua" w:cs="Arial"/>
        </w:rPr>
        <w:t xml:space="preserve"> gave evidence relating to the events that she</w:t>
      </w:r>
      <w:r w:rsidR="000354AC" w:rsidRPr="009E4F39">
        <w:rPr>
          <w:rFonts w:ascii="Book Antiqua" w:hAnsi="Book Antiqua" w:cs="Arial"/>
        </w:rPr>
        <w:t xml:space="preserve"> said occurred i</w:t>
      </w:r>
      <w:r w:rsidR="0004152A" w:rsidRPr="009E4F39">
        <w:rPr>
          <w:rFonts w:ascii="Book Antiqua" w:hAnsi="Book Antiqua" w:cs="Arial"/>
        </w:rPr>
        <w:t xml:space="preserve">n 2011 </w:t>
      </w:r>
      <w:r w:rsidRPr="009E4F39">
        <w:rPr>
          <w:rFonts w:ascii="Book Antiqua" w:hAnsi="Book Antiqua" w:cs="Arial"/>
        </w:rPr>
        <w:t xml:space="preserve">when she </w:t>
      </w:r>
      <w:r w:rsidR="000354AC" w:rsidRPr="009E4F39">
        <w:rPr>
          <w:rFonts w:ascii="Book Antiqua" w:hAnsi="Book Antiqua" w:cs="Arial"/>
        </w:rPr>
        <w:t>purports to have taken th</w:t>
      </w:r>
      <w:r w:rsidR="00132F6C" w:rsidRPr="009E4F39">
        <w:rPr>
          <w:rFonts w:ascii="Book Antiqua" w:hAnsi="Book Antiqua" w:cs="Arial"/>
        </w:rPr>
        <w:t xml:space="preserve">e </w:t>
      </w:r>
      <w:r w:rsidR="005D2C4D" w:rsidRPr="009E4F39">
        <w:rPr>
          <w:rFonts w:ascii="Book Antiqua" w:hAnsi="Book Antiqua" w:cs="Arial"/>
        </w:rPr>
        <w:t xml:space="preserve">English </w:t>
      </w:r>
      <w:r w:rsidR="00132F6C" w:rsidRPr="009E4F39">
        <w:rPr>
          <w:rFonts w:ascii="Book Antiqua" w:hAnsi="Book Antiqua" w:cs="Arial"/>
        </w:rPr>
        <w:t>langu</w:t>
      </w:r>
      <w:r w:rsidR="005D2C4D" w:rsidRPr="009E4F39">
        <w:rPr>
          <w:rFonts w:ascii="Book Antiqua" w:hAnsi="Book Antiqua" w:cs="Arial"/>
        </w:rPr>
        <w:t>age test</w:t>
      </w:r>
      <w:r w:rsidR="009A4963" w:rsidRPr="009E4F39">
        <w:rPr>
          <w:rFonts w:ascii="Book Antiqua" w:hAnsi="Book Antiqua" w:cs="Arial"/>
        </w:rPr>
        <w:t>.</w:t>
      </w:r>
      <w:r w:rsidR="00A815D4" w:rsidRPr="009E4F39">
        <w:rPr>
          <w:rFonts w:ascii="Book Antiqua" w:hAnsi="Book Antiqua" w:cs="Arial"/>
        </w:rPr>
        <w:t xml:space="preserve"> Giving brief reasons</w:t>
      </w:r>
      <w:r w:rsidRPr="009E4F39">
        <w:rPr>
          <w:rFonts w:ascii="Book Antiqua" w:hAnsi="Book Antiqua" w:cs="Arial"/>
        </w:rPr>
        <w:t>,</w:t>
      </w:r>
      <w:r w:rsidR="002A5CFB" w:rsidRPr="009E4F39">
        <w:rPr>
          <w:rFonts w:ascii="Book Antiqua" w:hAnsi="Book Antiqua" w:cs="Arial"/>
        </w:rPr>
        <w:t xml:space="preserve"> </w:t>
      </w:r>
      <w:r w:rsidR="00A815D4" w:rsidRPr="009E4F39">
        <w:rPr>
          <w:rFonts w:ascii="Book Antiqua" w:hAnsi="Book Antiqua" w:cs="Arial"/>
        </w:rPr>
        <w:t>t</w:t>
      </w:r>
      <w:r w:rsidR="002A5CFB" w:rsidRPr="009E4F39">
        <w:rPr>
          <w:rFonts w:ascii="Book Antiqua" w:hAnsi="Book Antiqua" w:cs="Arial"/>
        </w:rPr>
        <w:t>he judge was struck by the claimant’s failure</w:t>
      </w:r>
      <w:r w:rsidRPr="009E4F39">
        <w:rPr>
          <w:rFonts w:ascii="Book Antiqua" w:hAnsi="Book Antiqua" w:cs="Arial"/>
        </w:rPr>
        <w:t xml:space="preserve"> to be precise about why she took the test at the </w:t>
      </w:r>
      <w:r w:rsidR="009E4F39" w:rsidRPr="009E4F39">
        <w:rPr>
          <w:rFonts w:ascii="Book Antiqua" w:hAnsi="Book Antiqua" w:cs="Arial"/>
        </w:rPr>
        <w:t>college</w:t>
      </w:r>
      <w:r w:rsidRPr="009E4F39">
        <w:rPr>
          <w:rFonts w:ascii="Book Antiqua" w:hAnsi="Book Antiqua" w:cs="Arial"/>
        </w:rPr>
        <w:t xml:space="preserve"> in question and concluded </w:t>
      </w:r>
      <w:r w:rsidR="00A815D4" w:rsidRPr="009E4F39">
        <w:rPr>
          <w:rFonts w:ascii="Book Antiqua" w:hAnsi="Book Antiqua" w:cs="Arial"/>
        </w:rPr>
        <w:t xml:space="preserve">that she was using deflection rather than addressing the </w:t>
      </w:r>
      <w:r w:rsidRPr="009E4F39">
        <w:rPr>
          <w:rFonts w:ascii="Book Antiqua" w:hAnsi="Book Antiqua" w:cs="Arial"/>
        </w:rPr>
        <w:t>questions and the</w:t>
      </w:r>
      <w:r w:rsidR="003E6BCA" w:rsidRPr="009E4F39">
        <w:rPr>
          <w:rFonts w:ascii="Book Antiqua" w:hAnsi="Book Antiqua" w:cs="Arial"/>
        </w:rPr>
        <w:t xml:space="preserve"> issues in the case</w:t>
      </w:r>
      <w:r w:rsidRPr="009E4F39">
        <w:rPr>
          <w:rFonts w:ascii="Book Antiqua" w:hAnsi="Book Antiqua" w:cs="Arial"/>
        </w:rPr>
        <w:t xml:space="preserve">. </w:t>
      </w:r>
      <w:r w:rsidR="009E4F39" w:rsidRPr="009E4F39">
        <w:rPr>
          <w:rFonts w:ascii="Book Antiqua" w:hAnsi="Book Antiqua" w:cs="Arial"/>
        </w:rPr>
        <w:t>Accordingly</w:t>
      </w:r>
      <w:r w:rsidR="00A815D4" w:rsidRPr="009E4F39">
        <w:rPr>
          <w:rFonts w:ascii="Book Antiqua" w:hAnsi="Book Antiqua" w:cs="Arial"/>
        </w:rPr>
        <w:t xml:space="preserve">, the judge concluded that </w:t>
      </w:r>
      <w:r w:rsidR="003E6BCA" w:rsidRPr="009E4F39">
        <w:rPr>
          <w:rFonts w:ascii="Book Antiqua" w:hAnsi="Book Antiqua" w:cs="Arial"/>
        </w:rPr>
        <w:t>the claimant had used a proxy test taker [30].</w:t>
      </w:r>
      <w:r w:rsidR="000354AC" w:rsidRPr="009E4F39">
        <w:rPr>
          <w:rFonts w:ascii="Book Antiqua" w:hAnsi="Book Antiqua" w:cs="Arial"/>
        </w:rPr>
        <w:t xml:space="preserve"> </w:t>
      </w:r>
    </w:p>
    <w:p w14:paraId="7DB01944" w14:textId="77777777" w:rsidR="000354AC" w:rsidRPr="009E4F39" w:rsidRDefault="000354AC" w:rsidP="00647AB3">
      <w:pPr>
        <w:numPr>
          <w:ilvl w:val="0"/>
          <w:numId w:val="1"/>
        </w:numPr>
        <w:spacing w:before="240"/>
        <w:jc w:val="both"/>
        <w:rPr>
          <w:rFonts w:ascii="Book Antiqua" w:hAnsi="Book Antiqua" w:cs="Arial"/>
        </w:rPr>
      </w:pPr>
      <w:r w:rsidRPr="009E4F39">
        <w:rPr>
          <w:rFonts w:ascii="Book Antiqua" w:hAnsi="Book Antiqua" w:cs="Arial"/>
        </w:rPr>
        <w:t>T</w:t>
      </w:r>
      <w:r w:rsidR="00BC31AD" w:rsidRPr="009E4F39">
        <w:rPr>
          <w:rFonts w:ascii="Book Antiqua" w:hAnsi="Book Antiqua" w:cs="Arial"/>
        </w:rPr>
        <w:t>he rationale deployed by the judge</w:t>
      </w:r>
      <w:r w:rsidRPr="009E4F39">
        <w:rPr>
          <w:rFonts w:ascii="Book Antiqua" w:hAnsi="Book Antiqua" w:cs="Arial"/>
        </w:rPr>
        <w:t xml:space="preserve"> for allowing the claimant’s appeal</w:t>
      </w:r>
      <w:r w:rsidR="009A4963" w:rsidRPr="009E4F39">
        <w:rPr>
          <w:rFonts w:ascii="Book Antiqua" w:hAnsi="Book Antiqua" w:cs="Arial"/>
        </w:rPr>
        <w:t xml:space="preserve"> </w:t>
      </w:r>
      <w:r w:rsidR="001A171F">
        <w:rPr>
          <w:rFonts w:ascii="Book Antiqua" w:hAnsi="Book Antiqua" w:cs="Arial"/>
        </w:rPr>
        <w:t xml:space="preserve">outside of the Rules </w:t>
      </w:r>
      <w:r w:rsidR="009A4963" w:rsidRPr="009E4F39">
        <w:rPr>
          <w:rFonts w:ascii="Book Antiqua" w:hAnsi="Book Antiqua" w:cs="Arial"/>
        </w:rPr>
        <w:t>can be summarised as follows</w:t>
      </w:r>
      <w:r w:rsidRPr="009E4F39">
        <w:rPr>
          <w:rFonts w:ascii="Book Antiqua" w:hAnsi="Book Antiqua" w:cs="Arial"/>
        </w:rPr>
        <w:t>:</w:t>
      </w:r>
    </w:p>
    <w:p w14:paraId="67C63173" w14:textId="77777777" w:rsidR="009A4963" w:rsidRPr="009E4F39" w:rsidRDefault="000B4EA3" w:rsidP="00724E39">
      <w:pPr>
        <w:spacing w:before="120"/>
        <w:ind w:left="1134" w:hanging="567"/>
        <w:jc w:val="both"/>
        <w:rPr>
          <w:rFonts w:ascii="Book Antiqua" w:hAnsi="Book Antiqua" w:cs="Arial"/>
        </w:rPr>
      </w:pPr>
      <w:r w:rsidRPr="009E4F39">
        <w:rPr>
          <w:rFonts w:ascii="Book Antiqua" w:hAnsi="Book Antiqua" w:cs="Arial"/>
        </w:rPr>
        <w:t>(</w:t>
      </w:r>
      <w:proofErr w:type="spellStart"/>
      <w:r w:rsidRPr="009E4F39">
        <w:rPr>
          <w:rFonts w:ascii="Book Antiqua" w:hAnsi="Book Antiqua" w:cs="Arial"/>
        </w:rPr>
        <w:t>i</w:t>
      </w:r>
      <w:proofErr w:type="spellEnd"/>
      <w:r w:rsidRPr="009E4F39">
        <w:rPr>
          <w:rFonts w:ascii="Book Antiqua" w:hAnsi="Book Antiqua" w:cs="Arial"/>
        </w:rPr>
        <w:t xml:space="preserve">) </w:t>
      </w:r>
      <w:r w:rsidR="00F833D4" w:rsidRPr="009E4F39">
        <w:rPr>
          <w:rFonts w:ascii="Book Antiqua" w:hAnsi="Book Antiqua" w:cs="Arial"/>
        </w:rPr>
        <w:tab/>
      </w:r>
      <w:r w:rsidR="001A171F">
        <w:rPr>
          <w:rFonts w:ascii="Book Antiqua" w:hAnsi="Book Antiqua" w:cs="Arial"/>
        </w:rPr>
        <w:t>that as the claimant employed deception in</w:t>
      </w:r>
      <w:r w:rsidR="00F833D4" w:rsidRPr="009E4F39">
        <w:rPr>
          <w:rFonts w:ascii="Book Antiqua" w:hAnsi="Book Antiqua" w:cs="Arial"/>
        </w:rPr>
        <w:t xml:space="preserve"> a previous application for leav</w:t>
      </w:r>
      <w:r w:rsidR="009A4963" w:rsidRPr="009E4F39">
        <w:rPr>
          <w:rFonts w:ascii="Book Antiqua" w:hAnsi="Book Antiqua" w:cs="Arial"/>
        </w:rPr>
        <w:t>e to remain</w:t>
      </w:r>
      <w:r w:rsidR="001A171F">
        <w:rPr>
          <w:rFonts w:ascii="Book Antiqua" w:hAnsi="Book Antiqua" w:cs="Arial"/>
        </w:rPr>
        <w:t>, she</w:t>
      </w:r>
      <w:r w:rsidR="00FF44D6" w:rsidRPr="009E4F39">
        <w:rPr>
          <w:rFonts w:ascii="Book Antiqua" w:hAnsi="Book Antiqua" w:cs="Arial"/>
        </w:rPr>
        <w:t xml:space="preserve"> could not meet the </w:t>
      </w:r>
      <w:r w:rsidR="00F833D4" w:rsidRPr="009E4F39">
        <w:rPr>
          <w:rFonts w:ascii="Book Antiqua" w:hAnsi="Book Antiqua" w:cs="Arial"/>
        </w:rPr>
        <w:t xml:space="preserve">suitability </w:t>
      </w:r>
      <w:r w:rsidR="009E4F39" w:rsidRPr="009E4F39">
        <w:rPr>
          <w:rFonts w:ascii="Book Antiqua" w:hAnsi="Book Antiqua" w:cs="Arial"/>
        </w:rPr>
        <w:t>requirements</w:t>
      </w:r>
      <w:r w:rsidR="001A171F">
        <w:rPr>
          <w:rFonts w:ascii="Book Antiqua" w:hAnsi="Book Antiqua" w:cs="Arial"/>
        </w:rPr>
        <w:t xml:space="preserve"> of</w:t>
      </w:r>
      <w:r w:rsidRPr="009E4F39">
        <w:rPr>
          <w:rFonts w:ascii="Book Antiqua" w:hAnsi="Book Antiqua" w:cs="Arial"/>
        </w:rPr>
        <w:t xml:space="preserve"> A</w:t>
      </w:r>
      <w:r w:rsidR="00F833D4" w:rsidRPr="009E4F39">
        <w:rPr>
          <w:rFonts w:ascii="Book Antiqua" w:hAnsi="Book Antiqua" w:cs="Arial"/>
        </w:rPr>
        <w:t>ppendix F</w:t>
      </w:r>
      <w:r w:rsidR="00FF44D6" w:rsidRPr="009E4F39">
        <w:rPr>
          <w:rFonts w:ascii="Book Antiqua" w:hAnsi="Book Antiqua" w:cs="Arial"/>
        </w:rPr>
        <w:t>M</w:t>
      </w:r>
      <w:r w:rsidR="00F833D4" w:rsidRPr="009E4F39">
        <w:rPr>
          <w:rFonts w:ascii="Book Antiqua" w:hAnsi="Book Antiqua" w:cs="Arial"/>
        </w:rPr>
        <w:t xml:space="preserve"> of the Rules</w:t>
      </w:r>
      <w:r w:rsidR="00FF44D6" w:rsidRPr="009E4F39">
        <w:rPr>
          <w:rFonts w:ascii="Book Antiqua" w:hAnsi="Book Antiqua" w:cs="Arial"/>
        </w:rPr>
        <w:t>.</w:t>
      </w:r>
      <w:r w:rsidR="009A4963" w:rsidRPr="009E4F39">
        <w:rPr>
          <w:rFonts w:ascii="Book Antiqua" w:hAnsi="Book Antiqua" w:cs="Arial"/>
        </w:rPr>
        <w:t xml:space="preserve"> </w:t>
      </w:r>
    </w:p>
    <w:p w14:paraId="3963EA69" w14:textId="77777777" w:rsidR="009A4963" w:rsidRPr="009E4F39" w:rsidRDefault="00F833D4" w:rsidP="00724E39">
      <w:pPr>
        <w:spacing w:before="120"/>
        <w:ind w:left="1134" w:hanging="567"/>
        <w:jc w:val="both"/>
        <w:rPr>
          <w:rFonts w:ascii="Book Antiqua" w:hAnsi="Book Antiqua" w:cs="Arial"/>
        </w:rPr>
      </w:pPr>
      <w:r w:rsidRPr="009E4F39">
        <w:rPr>
          <w:rFonts w:ascii="Book Antiqua" w:hAnsi="Book Antiqua" w:cs="Arial"/>
        </w:rPr>
        <w:lastRenderedPageBreak/>
        <w:t>(ii)</w:t>
      </w:r>
      <w:r w:rsidRPr="009E4F39">
        <w:rPr>
          <w:rFonts w:ascii="Book Antiqua" w:hAnsi="Book Antiqua" w:cs="Arial"/>
        </w:rPr>
        <w:tab/>
      </w:r>
      <w:r w:rsidR="00FF44D6" w:rsidRPr="009E4F39">
        <w:rPr>
          <w:rFonts w:ascii="Book Antiqua" w:hAnsi="Book Antiqua" w:cs="Arial"/>
        </w:rPr>
        <w:t>Notwi</w:t>
      </w:r>
      <w:r w:rsidR="00EF592D" w:rsidRPr="009E4F39">
        <w:rPr>
          <w:rFonts w:ascii="Book Antiqua" w:hAnsi="Book Antiqua" w:cs="Arial"/>
        </w:rPr>
        <w:t>thstanding the deception,</w:t>
      </w:r>
      <w:r w:rsidRPr="009E4F39">
        <w:rPr>
          <w:rFonts w:ascii="Book Antiqua" w:hAnsi="Book Antiqua" w:cs="Arial"/>
        </w:rPr>
        <w:t xml:space="preserve"> the claimant’s removal </w:t>
      </w:r>
      <w:r w:rsidR="00EF592D" w:rsidRPr="009E4F39">
        <w:rPr>
          <w:rFonts w:ascii="Book Antiqua" w:hAnsi="Book Antiqua" w:cs="Arial"/>
        </w:rPr>
        <w:t>would be a</w:t>
      </w:r>
      <w:r w:rsidR="00FF44D6" w:rsidRPr="009E4F39">
        <w:rPr>
          <w:rFonts w:ascii="Book Antiqua" w:hAnsi="Book Antiqua" w:cs="Arial"/>
        </w:rPr>
        <w:t xml:space="preserve"> disproportionate interference </w:t>
      </w:r>
      <w:r w:rsidRPr="009E4F39">
        <w:rPr>
          <w:rFonts w:ascii="Book Antiqua" w:hAnsi="Book Antiqua" w:cs="Arial"/>
        </w:rPr>
        <w:t xml:space="preserve">with her family life </w:t>
      </w:r>
      <w:r w:rsidR="000B4EA3" w:rsidRPr="009E4F39">
        <w:rPr>
          <w:rFonts w:ascii="Book Antiqua" w:hAnsi="Book Antiqua" w:cs="Arial"/>
        </w:rPr>
        <w:t>as her</w:t>
      </w:r>
      <w:r w:rsidR="00EF592D" w:rsidRPr="009E4F39">
        <w:rPr>
          <w:rFonts w:ascii="Book Antiqua" w:hAnsi="Book Antiqua" w:cs="Arial"/>
        </w:rPr>
        <w:t xml:space="preserve"> spouse would face insurmountable </w:t>
      </w:r>
      <w:r w:rsidR="009E4F39" w:rsidRPr="009E4F39">
        <w:rPr>
          <w:rFonts w:ascii="Book Antiqua" w:hAnsi="Book Antiqua" w:cs="Arial"/>
        </w:rPr>
        <w:t>obstacles</w:t>
      </w:r>
      <w:r w:rsidR="00EF592D" w:rsidRPr="009E4F39">
        <w:rPr>
          <w:rFonts w:ascii="Book Antiqua" w:hAnsi="Book Antiqua" w:cs="Arial"/>
        </w:rPr>
        <w:t xml:space="preserve"> if he had to relocate to Uzbekistan. </w:t>
      </w:r>
      <w:r w:rsidR="00FF44D6" w:rsidRPr="009E4F39">
        <w:rPr>
          <w:rFonts w:ascii="Book Antiqua" w:hAnsi="Book Antiqua" w:cs="Arial"/>
        </w:rPr>
        <w:t xml:space="preserve">  </w:t>
      </w:r>
    </w:p>
    <w:p w14:paraId="49248B9F" w14:textId="77777777" w:rsidR="00EF592D" w:rsidRPr="009E4F39" w:rsidRDefault="00620C54" w:rsidP="00620C54">
      <w:pPr>
        <w:spacing w:before="240"/>
        <w:ind w:left="567" w:hanging="567"/>
        <w:jc w:val="both"/>
        <w:rPr>
          <w:rFonts w:ascii="Book Antiqua" w:hAnsi="Book Antiqua" w:cs="Arial"/>
        </w:rPr>
      </w:pPr>
      <w:r>
        <w:rPr>
          <w:rFonts w:ascii="Book Antiqua" w:hAnsi="Book Antiqua" w:cs="Arial"/>
        </w:rPr>
        <w:t>15.</w:t>
      </w:r>
      <w:r>
        <w:rPr>
          <w:rFonts w:ascii="Book Antiqua" w:hAnsi="Book Antiqua" w:cs="Arial"/>
        </w:rPr>
        <w:tab/>
      </w:r>
      <w:r w:rsidR="00F864CF" w:rsidRPr="009E4F39">
        <w:rPr>
          <w:rFonts w:ascii="Book Antiqua" w:hAnsi="Book Antiqua" w:cs="Arial"/>
        </w:rPr>
        <w:t xml:space="preserve">Permission to appeal </w:t>
      </w:r>
      <w:r w:rsidR="00EF592D" w:rsidRPr="009E4F39">
        <w:rPr>
          <w:rFonts w:ascii="Book Antiqua" w:hAnsi="Book Antiqua" w:cs="Arial"/>
        </w:rPr>
        <w:t>was granted</w:t>
      </w:r>
      <w:r w:rsidR="00F864CF" w:rsidRPr="009E4F39">
        <w:rPr>
          <w:rFonts w:ascii="Book Antiqua" w:hAnsi="Book Antiqua" w:cs="Arial"/>
        </w:rPr>
        <w:t xml:space="preserve"> to the SSHD</w:t>
      </w:r>
      <w:r w:rsidR="00EF592D" w:rsidRPr="009E4F39">
        <w:rPr>
          <w:rFonts w:ascii="Book Antiqua" w:hAnsi="Book Antiqua" w:cs="Arial"/>
        </w:rPr>
        <w:t xml:space="preserve"> on the </w:t>
      </w:r>
      <w:r w:rsidR="008311CE">
        <w:rPr>
          <w:rFonts w:ascii="Book Antiqua" w:hAnsi="Book Antiqua" w:cs="Arial"/>
        </w:rPr>
        <w:t xml:space="preserve">basis that it was arguable </w:t>
      </w:r>
      <w:r w:rsidR="00EF592D" w:rsidRPr="009E4F39">
        <w:rPr>
          <w:rFonts w:ascii="Book Antiqua" w:hAnsi="Book Antiqua" w:cs="Arial"/>
        </w:rPr>
        <w:t>the judge erred in her assessment of proportionality and in concluding that there were exceptional or compelling circumstances which justified such a conclusion.</w:t>
      </w:r>
      <w:r w:rsidR="00A34333" w:rsidRPr="009E4F39">
        <w:rPr>
          <w:rFonts w:ascii="Book Antiqua" w:hAnsi="Book Antiqua" w:cs="Arial"/>
        </w:rPr>
        <w:t xml:space="preserve"> </w:t>
      </w:r>
      <w:r w:rsidR="009B4FC2" w:rsidRPr="009E4F39">
        <w:rPr>
          <w:rFonts w:ascii="Book Antiqua" w:hAnsi="Book Antiqua" w:cs="Arial"/>
        </w:rPr>
        <w:t xml:space="preserve">The SSHD invited the tribunal to set </w:t>
      </w:r>
      <w:r w:rsidR="009E4F39" w:rsidRPr="009E4F39">
        <w:rPr>
          <w:rFonts w:ascii="Book Antiqua" w:hAnsi="Book Antiqua" w:cs="Arial"/>
        </w:rPr>
        <w:t>aside</w:t>
      </w:r>
      <w:r w:rsidR="009B4FC2" w:rsidRPr="009E4F39">
        <w:rPr>
          <w:rFonts w:ascii="Book Antiqua" w:hAnsi="Book Antiqua" w:cs="Arial"/>
        </w:rPr>
        <w:t xml:space="preserve"> the judge’s decision. </w:t>
      </w:r>
      <w:r w:rsidR="00EF592D" w:rsidRPr="009E4F39">
        <w:rPr>
          <w:rFonts w:ascii="Book Antiqua" w:hAnsi="Book Antiqua" w:cs="Arial"/>
        </w:rPr>
        <w:t xml:space="preserve"> </w:t>
      </w:r>
    </w:p>
    <w:p w14:paraId="1A0D258F" w14:textId="77777777" w:rsidR="00EF592D" w:rsidRPr="009E4F39" w:rsidRDefault="00620C54" w:rsidP="00620C54">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r>
      <w:r w:rsidR="000B4EA3" w:rsidRPr="009E4F39">
        <w:rPr>
          <w:rFonts w:ascii="Book Antiqua" w:hAnsi="Book Antiqua" w:cs="Arial"/>
        </w:rPr>
        <w:t>The claimant filed a Rule</w:t>
      </w:r>
      <w:r w:rsidR="00EF592D" w:rsidRPr="009E4F39">
        <w:rPr>
          <w:rFonts w:ascii="Book Antiqua" w:hAnsi="Book Antiqua" w:cs="Arial"/>
        </w:rPr>
        <w:t xml:space="preserve"> 24 response. </w:t>
      </w:r>
      <w:r w:rsidR="000B4EA3" w:rsidRPr="009E4F39">
        <w:rPr>
          <w:rFonts w:ascii="Book Antiqua" w:hAnsi="Book Antiqua" w:cs="Arial"/>
        </w:rPr>
        <w:t>Therein i</w:t>
      </w:r>
      <w:r w:rsidR="003B0930" w:rsidRPr="009E4F39">
        <w:rPr>
          <w:rFonts w:ascii="Book Antiqua" w:hAnsi="Book Antiqua" w:cs="Arial"/>
        </w:rPr>
        <w:t>t was conce</w:t>
      </w:r>
      <w:r w:rsidR="001F0BA5" w:rsidRPr="009E4F39">
        <w:rPr>
          <w:rFonts w:ascii="Book Antiqua" w:hAnsi="Book Antiqua" w:cs="Arial"/>
        </w:rPr>
        <w:t>ded that the judge erred in law</w:t>
      </w:r>
      <w:r w:rsidR="00E0044D" w:rsidRPr="009E4F39">
        <w:rPr>
          <w:rFonts w:ascii="Book Antiqua" w:hAnsi="Book Antiqua" w:cs="Arial"/>
        </w:rPr>
        <w:t xml:space="preserve"> as pleaded in the SSHD’s grounds and called </w:t>
      </w:r>
      <w:r w:rsidR="009B4FC2" w:rsidRPr="009E4F39">
        <w:rPr>
          <w:rFonts w:ascii="Book Antiqua" w:hAnsi="Book Antiqua" w:cs="Arial"/>
        </w:rPr>
        <w:t xml:space="preserve">inter alia </w:t>
      </w:r>
      <w:r w:rsidR="00E0044D" w:rsidRPr="009E4F39">
        <w:rPr>
          <w:rFonts w:ascii="Book Antiqua" w:hAnsi="Book Antiqua" w:cs="Arial"/>
        </w:rPr>
        <w:t xml:space="preserve">for the decision to be set aside. </w:t>
      </w:r>
      <w:r w:rsidR="00BB4870" w:rsidRPr="009E4F39">
        <w:rPr>
          <w:rFonts w:ascii="Book Antiqua" w:hAnsi="Book Antiqua" w:cs="Arial"/>
        </w:rPr>
        <w:t>The claimant further</w:t>
      </w:r>
      <w:r w:rsidR="00E0044D" w:rsidRPr="009E4F39">
        <w:rPr>
          <w:rFonts w:ascii="Book Antiqua" w:hAnsi="Book Antiqua" w:cs="Arial"/>
        </w:rPr>
        <w:t xml:space="preserve"> raised additional matters also said to </w:t>
      </w:r>
      <w:r w:rsidR="00BB4870" w:rsidRPr="009E4F39">
        <w:rPr>
          <w:rFonts w:ascii="Book Antiqua" w:hAnsi="Book Antiqua" w:cs="Arial"/>
        </w:rPr>
        <w:t>amount to errors of law</w:t>
      </w:r>
      <w:r w:rsidR="00E0044D" w:rsidRPr="009E4F39">
        <w:rPr>
          <w:rFonts w:ascii="Book Antiqua" w:hAnsi="Book Antiqua" w:cs="Arial"/>
        </w:rPr>
        <w:t xml:space="preserve"> central to the judge’s consideration of the deception issue. </w:t>
      </w:r>
      <w:r w:rsidR="00B75888" w:rsidRPr="009E4F39">
        <w:rPr>
          <w:rFonts w:ascii="Book Antiqua" w:hAnsi="Book Antiqua" w:cs="Arial"/>
        </w:rPr>
        <w:t xml:space="preserve"> </w:t>
      </w:r>
    </w:p>
    <w:p w14:paraId="0566ADC7" w14:textId="77777777" w:rsidR="003C2C1B" w:rsidRPr="009E4F39" w:rsidRDefault="00620C54" w:rsidP="00620C54">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r>
      <w:r w:rsidR="006244EA" w:rsidRPr="009E4F39">
        <w:rPr>
          <w:rFonts w:ascii="Book Antiqua" w:hAnsi="Book Antiqua" w:cs="Arial"/>
        </w:rPr>
        <w:t xml:space="preserve">The Rule 24 response was a matter of some contention at the hearing. Mr Lindsay submitted that the claimant did not have permission to argue a </w:t>
      </w:r>
      <w:r w:rsidR="00F104A8" w:rsidRPr="009E4F39">
        <w:rPr>
          <w:rFonts w:ascii="Book Antiqua" w:hAnsi="Book Antiqua" w:cs="Arial"/>
        </w:rPr>
        <w:t>cross appeal citing the author</w:t>
      </w:r>
      <w:r w:rsidR="006244EA" w:rsidRPr="009E4F39">
        <w:rPr>
          <w:rFonts w:ascii="Book Antiqua" w:hAnsi="Book Antiqua" w:cs="Arial"/>
        </w:rPr>
        <w:t xml:space="preserve">ity of </w:t>
      </w:r>
      <w:r w:rsidR="006244EA" w:rsidRPr="009E4F39">
        <w:rPr>
          <w:rFonts w:ascii="Book Antiqua" w:hAnsi="Book Antiqua" w:cs="Arial"/>
          <w:u w:val="single"/>
        </w:rPr>
        <w:t>EG and NG (UT Rule 17: withdrawal; Rule 24; Scope) Ethiopia</w:t>
      </w:r>
      <w:r w:rsidR="006244EA" w:rsidRPr="009E4F39">
        <w:rPr>
          <w:rFonts w:ascii="Book Antiqua" w:hAnsi="Book Antiqua" w:cs="Arial"/>
        </w:rPr>
        <w:t xml:space="preserve"> [2013] UKUT 00143 (IAC)</w:t>
      </w:r>
      <w:r w:rsidR="003B6A32" w:rsidRPr="009E4F39">
        <w:rPr>
          <w:rFonts w:ascii="Book Antiqua" w:hAnsi="Book Antiqua" w:cs="Arial"/>
        </w:rPr>
        <w:t xml:space="preserve"> (albeit not produced before me).</w:t>
      </w:r>
      <w:r w:rsidR="00234C3C" w:rsidRPr="009E4F39">
        <w:rPr>
          <w:rFonts w:ascii="Book Antiqua" w:hAnsi="Book Antiqua" w:cs="Arial"/>
        </w:rPr>
        <w:t xml:space="preserve"> </w:t>
      </w:r>
      <w:r w:rsidR="00DB669D" w:rsidRPr="009E4F39">
        <w:rPr>
          <w:rFonts w:ascii="Book Antiqua" w:hAnsi="Book Antiqua" w:cs="Arial"/>
        </w:rPr>
        <w:t xml:space="preserve">He invited me to set aside the </w:t>
      </w:r>
      <w:r w:rsidR="006551C7">
        <w:rPr>
          <w:rFonts w:ascii="Book Antiqua" w:hAnsi="Book Antiqua" w:cs="Arial"/>
        </w:rPr>
        <w:t>judge’s</w:t>
      </w:r>
      <w:r w:rsidR="00BB0436">
        <w:rPr>
          <w:rFonts w:ascii="Book Antiqua" w:hAnsi="Book Antiqua" w:cs="Arial"/>
        </w:rPr>
        <w:t xml:space="preserve"> </w:t>
      </w:r>
      <w:r w:rsidR="00DB669D" w:rsidRPr="009E4F39">
        <w:rPr>
          <w:rFonts w:ascii="Book Antiqua" w:hAnsi="Book Antiqua" w:cs="Arial"/>
        </w:rPr>
        <w:t xml:space="preserve">decision but preserve the judge’s findings in relation to the deception issue. </w:t>
      </w:r>
      <w:r w:rsidR="00234C3C" w:rsidRPr="009E4F39">
        <w:rPr>
          <w:rFonts w:ascii="Book Antiqua" w:hAnsi="Book Antiqua" w:cs="Arial"/>
        </w:rPr>
        <w:t>Ms Norman submitted that it was her understanding that the Rule 24 respon</w:t>
      </w:r>
      <w:r w:rsidR="00BB0436">
        <w:rPr>
          <w:rFonts w:ascii="Book Antiqua" w:hAnsi="Book Antiqua" w:cs="Arial"/>
        </w:rPr>
        <w:t>se could stand as a cross appeal</w:t>
      </w:r>
      <w:r w:rsidR="00DB669D" w:rsidRPr="009E4F39">
        <w:rPr>
          <w:rFonts w:ascii="Book Antiqua" w:hAnsi="Book Antiqua" w:cs="Arial"/>
        </w:rPr>
        <w:t xml:space="preserve"> and she invited me to set aside the decision with no preserved findings.</w:t>
      </w:r>
      <w:r w:rsidR="003C2C1B" w:rsidRPr="009E4F39">
        <w:rPr>
          <w:rFonts w:ascii="Book Antiqua" w:hAnsi="Book Antiqua" w:cs="Arial"/>
        </w:rPr>
        <w:t xml:space="preserve"> In the alternative, Ms </w:t>
      </w:r>
      <w:r w:rsidR="009E4F39" w:rsidRPr="009E4F39">
        <w:rPr>
          <w:rFonts w:ascii="Book Antiqua" w:hAnsi="Book Antiqua" w:cs="Arial"/>
        </w:rPr>
        <w:t>Norman</w:t>
      </w:r>
      <w:r w:rsidR="003C2C1B" w:rsidRPr="009E4F39">
        <w:rPr>
          <w:rFonts w:ascii="Book Antiqua" w:hAnsi="Book Antiqua" w:cs="Arial"/>
        </w:rPr>
        <w:t xml:space="preserve"> invited</w:t>
      </w:r>
      <w:r w:rsidR="00BB0436">
        <w:rPr>
          <w:rFonts w:ascii="Book Antiqua" w:hAnsi="Book Antiqua" w:cs="Arial"/>
        </w:rPr>
        <w:t xml:space="preserve"> the tribunal to treat the Rule</w:t>
      </w:r>
      <w:r w:rsidR="003C2C1B" w:rsidRPr="009E4F39">
        <w:rPr>
          <w:rFonts w:ascii="Book Antiqua" w:hAnsi="Book Antiqua" w:cs="Arial"/>
        </w:rPr>
        <w:t xml:space="preserve"> 24 response as an application</w:t>
      </w:r>
      <w:r w:rsidR="005B12B6">
        <w:rPr>
          <w:rFonts w:ascii="Book Antiqua" w:hAnsi="Book Antiqua" w:cs="Arial"/>
        </w:rPr>
        <w:t xml:space="preserve"> for permission to appeal. I</w:t>
      </w:r>
      <w:r w:rsidR="003C2C1B" w:rsidRPr="009E4F39">
        <w:rPr>
          <w:rFonts w:ascii="Book Antiqua" w:hAnsi="Book Antiqua" w:cs="Arial"/>
        </w:rPr>
        <w:t xml:space="preserve"> indicated to the parties that I would consider their respective submission</w:t>
      </w:r>
      <w:r w:rsidR="005B12B6">
        <w:rPr>
          <w:rFonts w:ascii="Book Antiqua" w:hAnsi="Book Antiqua" w:cs="Arial"/>
        </w:rPr>
        <w:t>s</w:t>
      </w:r>
      <w:r w:rsidR="003C2C1B" w:rsidRPr="009E4F39">
        <w:rPr>
          <w:rFonts w:ascii="Book Antiqua" w:hAnsi="Book Antiqua" w:cs="Arial"/>
        </w:rPr>
        <w:t xml:space="preserve"> in due course, </w:t>
      </w:r>
      <w:r w:rsidR="005B12B6">
        <w:rPr>
          <w:rFonts w:ascii="Book Antiqua" w:hAnsi="Book Antiqua" w:cs="Arial"/>
        </w:rPr>
        <w:t xml:space="preserve">and </w:t>
      </w:r>
      <w:r w:rsidR="003C2C1B" w:rsidRPr="009E4F39">
        <w:rPr>
          <w:rFonts w:ascii="Book Antiqua" w:hAnsi="Book Antiqua" w:cs="Arial"/>
        </w:rPr>
        <w:t>both representatives dealt with</w:t>
      </w:r>
      <w:r w:rsidR="005B12B6">
        <w:rPr>
          <w:rFonts w:ascii="Book Antiqua" w:hAnsi="Book Antiqua" w:cs="Arial"/>
        </w:rPr>
        <w:t xml:space="preserve"> the matters raised in the Rule</w:t>
      </w:r>
      <w:r w:rsidR="003C2C1B" w:rsidRPr="009E4F39">
        <w:rPr>
          <w:rFonts w:ascii="Book Antiqua" w:hAnsi="Book Antiqua" w:cs="Arial"/>
        </w:rPr>
        <w:t xml:space="preserve"> 24 response</w:t>
      </w:r>
      <w:r w:rsidR="005B12B6">
        <w:rPr>
          <w:rFonts w:ascii="Book Antiqua" w:hAnsi="Book Antiqua" w:cs="Arial"/>
        </w:rPr>
        <w:t xml:space="preserve">, </w:t>
      </w:r>
      <w:r w:rsidR="006551C7">
        <w:rPr>
          <w:rFonts w:ascii="Book Antiqua" w:hAnsi="Book Antiqua" w:cs="Arial"/>
        </w:rPr>
        <w:t>if</w:t>
      </w:r>
      <w:r w:rsidR="003C2C1B" w:rsidRPr="009E4F39">
        <w:rPr>
          <w:rFonts w:ascii="Book Antiqua" w:hAnsi="Book Antiqua" w:cs="Arial"/>
        </w:rPr>
        <w:t xml:space="preserve"> I d</w:t>
      </w:r>
      <w:r w:rsidR="00F104A8" w:rsidRPr="009E4F39">
        <w:rPr>
          <w:rFonts w:ascii="Book Antiqua" w:hAnsi="Book Antiqua" w:cs="Arial"/>
        </w:rPr>
        <w:t xml:space="preserve">ecide that the </w:t>
      </w:r>
      <w:r w:rsidR="005B12B6">
        <w:rPr>
          <w:rFonts w:ascii="Book Antiqua" w:hAnsi="Book Antiqua" w:cs="Arial"/>
        </w:rPr>
        <w:t>position adopted by Ms Norman i</w:t>
      </w:r>
      <w:r w:rsidR="00F104A8" w:rsidRPr="009E4F39">
        <w:rPr>
          <w:rFonts w:ascii="Book Antiqua" w:hAnsi="Book Antiqua" w:cs="Arial"/>
        </w:rPr>
        <w:t xml:space="preserve">s correct. </w:t>
      </w:r>
      <w:r w:rsidR="00DB669D" w:rsidRPr="009E4F39">
        <w:rPr>
          <w:rFonts w:ascii="Book Antiqua" w:hAnsi="Book Antiqua" w:cs="Arial"/>
        </w:rPr>
        <w:t xml:space="preserve"> </w:t>
      </w:r>
    </w:p>
    <w:p w14:paraId="4F256211" w14:textId="77777777" w:rsidR="00E247AA" w:rsidRPr="009E4F39" w:rsidRDefault="00620C54" w:rsidP="00620C54">
      <w:pPr>
        <w:spacing w:before="240"/>
        <w:ind w:left="567" w:hanging="567"/>
        <w:jc w:val="both"/>
        <w:rPr>
          <w:rFonts w:ascii="Book Antiqua" w:hAnsi="Book Antiqua" w:cs="Arial"/>
        </w:rPr>
      </w:pPr>
      <w:r>
        <w:rPr>
          <w:rFonts w:ascii="Book Antiqua" w:hAnsi="Book Antiqua" w:cs="Arial"/>
        </w:rPr>
        <w:t>18.</w:t>
      </w:r>
      <w:r>
        <w:rPr>
          <w:rFonts w:ascii="Book Antiqua" w:hAnsi="Book Antiqua" w:cs="Arial"/>
        </w:rPr>
        <w:tab/>
      </w:r>
      <w:r w:rsidR="007359DA" w:rsidRPr="009E4F39">
        <w:rPr>
          <w:rFonts w:ascii="Book Antiqua" w:hAnsi="Book Antiqua" w:cs="Arial"/>
        </w:rPr>
        <w:t xml:space="preserve">There is no dispute between the parties that the judge erred in law in the manner put forth by the SSHD in the grounds. The errors I find are clear on the face of the decision. The judge’s assessment of the question of </w:t>
      </w:r>
      <w:r w:rsidR="009E4F39" w:rsidRPr="009E4F39">
        <w:rPr>
          <w:rFonts w:ascii="Book Antiqua" w:hAnsi="Book Antiqua" w:cs="Arial"/>
        </w:rPr>
        <w:t>proporti</w:t>
      </w:r>
      <w:r w:rsidR="009E4F39">
        <w:rPr>
          <w:rFonts w:ascii="Book Antiqua" w:hAnsi="Book Antiqua" w:cs="Arial"/>
        </w:rPr>
        <w:t>o</w:t>
      </w:r>
      <w:r w:rsidR="009E4F39" w:rsidRPr="009E4F39">
        <w:rPr>
          <w:rFonts w:ascii="Book Antiqua" w:hAnsi="Book Antiqua" w:cs="Arial"/>
        </w:rPr>
        <w:t>nal</w:t>
      </w:r>
      <w:r w:rsidR="009E4F39">
        <w:rPr>
          <w:rFonts w:ascii="Book Antiqua" w:hAnsi="Book Antiqua" w:cs="Arial"/>
        </w:rPr>
        <w:t>it</w:t>
      </w:r>
      <w:r w:rsidR="009E4F39" w:rsidRPr="009E4F39">
        <w:rPr>
          <w:rFonts w:ascii="Book Antiqua" w:hAnsi="Book Antiqua" w:cs="Arial"/>
        </w:rPr>
        <w:t>y</w:t>
      </w:r>
      <w:r w:rsidR="007359DA" w:rsidRPr="009E4F39">
        <w:rPr>
          <w:rFonts w:ascii="Book Antiqua" w:hAnsi="Book Antiqua" w:cs="Arial"/>
        </w:rPr>
        <w:t xml:space="preserve"> is flawed by reference to the test of “insurmountable obstacles” a requirement which it is accepted is not </w:t>
      </w:r>
      <w:r w:rsidR="007C7DCF">
        <w:rPr>
          <w:rFonts w:ascii="Book Antiqua" w:hAnsi="Book Antiqua" w:cs="Arial"/>
        </w:rPr>
        <w:t xml:space="preserve">the </w:t>
      </w:r>
      <w:r w:rsidR="009E4F39" w:rsidRPr="009E4F39">
        <w:rPr>
          <w:rFonts w:ascii="Book Antiqua" w:hAnsi="Book Antiqua" w:cs="Arial"/>
        </w:rPr>
        <w:t>benchmark</w:t>
      </w:r>
      <w:r w:rsidR="007359DA" w:rsidRPr="009E4F39">
        <w:rPr>
          <w:rFonts w:ascii="Book Antiqua" w:hAnsi="Book Antiqua" w:cs="Arial"/>
        </w:rPr>
        <w:t xml:space="preserve"> in this case</w:t>
      </w:r>
      <w:r w:rsidR="007C7DCF">
        <w:rPr>
          <w:rFonts w:ascii="Book Antiqua" w:hAnsi="Book Antiqua" w:cs="Arial"/>
        </w:rPr>
        <w:t>. N</w:t>
      </w:r>
      <w:r w:rsidR="007359DA" w:rsidRPr="009E4F39">
        <w:rPr>
          <w:rFonts w:ascii="Book Antiqua" w:hAnsi="Book Antiqua" w:cs="Arial"/>
        </w:rPr>
        <w:t>or did the judge fa</w:t>
      </w:r>
      <w:r w:rsidR="00A45097" w:rsidRPr="009E4F39">
        <w:rPr>
          <w:rFonts w:ascii="Book Antiqua" w:hAnsi="Book Antiqua" w:cs="Arial"/>
        </w:rPr>
        <w:t>ctor into her assessment</w:t>
      </w:r>
      <w:r w:rsidR="007359DA" w:rsidRPr="009E4F39">
        <w:rPr>
          <w:rFonts w:ascii="Book Antiqua" w:hAnsi="Book Antiqua" w:cs="Arial"/>
        </w:rPr>
        <w:t xml:space="preserve"> </w:t>
      </w:r>
      <w:r w:rsidR="009E4F39" w:rsidRPr="009E4F39">
        <w:rPr>
          <w:rFonts w:ascii="Book Antiqua" w:hAnsi="Book Antiqua" w:cs="Arial"/>
        </w:rPr>
        <w:t>whether</w:t>
      </w:r>
      <w:r w:rsidR="007359DA" w:rsidRPr="009E4F39">
        <w:rPr>
          <w:rFonts w:ascii="Book Antiqua" w:hAnsi="Book Antiqua" w:cs="Arial"/>
        </w:rPr>
        <w:t xml:space="preserve"> it was proportionate to expect the claimant to apply for entry clearance.  </w:t>
      </w:r>
      <w:r w:rsidR="00A45097" w:rsidRPr="009E4F39">
        <w:rPr>
          <w:rFonts w:ascii="Book Antiqua" w:hAnsi="Book Antiqua" w:cs="Arial"/>
        </w:rPr>
        <w:t>In the face of clear errors, material to the outcome, I set aside the decision of the First-tier T</w:t>
      </w:r>
      <w:r w:rsidR="00E247AA" w:rsidRPr="009E4F39">
        <w:rPr>
          <w:rFonts w:ascii="Book Antiqua" w:hAnsi="Book Antiqua" w:cs="Arial"/>
        </w:rPr>
        <w:t>ribunal</w:t>
      </w:r>
      <w:r w:rsidR="00A45097" w:rsidRPr="009E4F39">
        <w:rPr>
          <w:rFonts w:ascii="Book Antiqua" w:hAnsi="Book Antiqua" w:cs="Arial"/>
        </w:rPr>
        <w:t>.</w:t>
      </w:r>
      <w:r w:rsidR="00E247AA" w:rsidRPr="009E4F39">
        <w:rPr>
          <w:rFonts w:ascii="Book Antiqua" w:hAnsi="Book Antiqua" w:cs="Arial"/>
        </w:rPr>
        <w:t xml:space="preserve"> </w:t>
      </w:r>
    </w:p>
    <w:p w14:paraId="682FF78C" w14:textId="77777777" w:rsidR="00E247AA" w:rsidRPr="009E4F39" w:rsidRDefault="00620C54" w:rsidP="00620C54">
      <w:pPr>
        <w:spacing w:before="240"/>
        <w:ind w:left="567" w:hanging="567"/>
        <w:jc w:val="both"/>
        <w:rPr>
          <w:rFonts w:ascii="Book Antiqua" w:hAnsi="Book Antiqua" w:cs="Arial"/>
        </w:rPr>
      </w:pPr>
      <w:r>
        <w:rPr>
          <w:rFonts w:ascii="Book Antiqua" w:hAnsi="Book Antiqua" w:cs="Arial"/>
        </w:rPr>
        <w:t>19.</w:t>
      </w:r>
      <w:r>
        <w:rPr>
          <w:rFonts w:ascii="Book Antiqua" w:hAnsi="Book Antiqua" w:cs="Arial"/>
        </w:rPr>
        <w:tab/>
      </w:r>
      <w:r w:rsidR="00E247AA" w:rsidRPr="009E4F39">
        <w:rPr>
          <w:rFonts w:ascii="Book Antiqua" w:hAnsi="Book Antiqua" w:cs="Arial"/>
        </w:rPr>
        <w:t xml:space="preserve">The representatives’ submissions centred around the scope of a rehearing. Mr Lindsay called for the deception findings to be preserved and Ms Norman argued for the contrary. </w:t>
      </w:r>
    </w:p>
    <w:p w14:paraId="133899BE" w14:textId="77777777" w:rsidR="00E247AA" w:rsidRPr="009E4F39" w:rsidRDefault="00620C54" w:rsidP="00620C54">
      <w:pPr>
        <w:spacing w:before="240"/>
        <w:ind w:left="567" w:hanging="567"/>
        <w:jc w:val="both"/>
        <w:rPr>
          <w:rFonts w:ascii="Book Antiqua" w:hAnsi="Book Antiqua" w:cs="Arial"/>
        </w:rPr>
      </w:pPr>
      <w:r>
        <w:rPr>
          <w:rFonts w:ascii="Book Antiqua" w:hAnsi="Book Antiqua" w:cs="Arial"/>
        </w:rPr>
        <w:t>20.</w:t>
      </w:r>
      <w:r>
        <w:rPr>
          <w:rFonts w:ascii="Book Antiqua" w:hAnsi="Book Antiqua" w:cs="Arial"/>
        </w:rPr>
        <w:tab/>
      </w:r>
      <w:r w:rsidR="00E247AA" w:rsidRPr="009E4F39">
        <w:rPr>
          <w:rFonts w:ascii="Book Antiqua" w:hAnsi="Book Antiqua" w:cs="Arial"/>
        </w:rPr>
        <w:t>I find that the appropriate course is t</w:t>
      </w:r>
      <w:r w:rsidR="007C7DCF">
        <w:rPr>
          <w:rFonts w:ascii="Book Antiqua" w:hAnsi="Book Antiqua" w:cs="Arial"/>
        </w:rPr>
        <w:t>o set aside the decision</w:t>
      </w:r>
      <w:r w:rsidR="00E247AA" w:rsidRPr="009E4F39">
        <w:rPr>
          <w:rFonts w:ascii="Book Antiqua" w:hAnsi="Book Antiqua" w:cs="Arial"/>
        </w:rPr>
        <w:t xml:space="preserve"> with no findings preserved. My reasons are as follows.</w:t>
      </w:r>
    </w:p>
    <w:p w14:paraId="7D6EC65E" w14:textId="77777777" w:rsidR="009D7711" w:rsidRPr="009E4F39" w:rsidRDefault="00620C54" w:rsidP="00620C54">
      <w:pPr>
        <w:spacing w:before="240"/>
        <w:ind w:left="567" w:hanging="567"/>
        <w:jc w:val="both"/>
        <w:rPr>
          <w:rFonts w:ascii="Book Antiqua" w:hAnsi="Book Antiqua" w:cs="Arial"/>
        </w:rPr>
      </w:pPr>
      <w:r>
        <w:rPr>
          <w:rFonts w:ascii="Book Antiqua" w:hAnsi="Book Antiqua" w:cs="Arial"/>
        </w:rPr>
        <w:t>21.</w:t>
      </w:r>
      <w:r>
        <w:rPr>
          <w:rFonts w:ascii="Book Antiqua" w:hAnsi="Book Antiqua" w:cs="Arial"/>
        </w:rPr>
        <w:tab/>
      </w:r>
      <w:r w:rsidR="00E247AA" w:rsidRPr="009E4F39">
        <w:rPr>
          <w:rFonts w:ascii="Book Antiqua" w:hAnsi="Book Antiqua" w:cs="Arial"/>
        </w:rPr>
        <w:t>First, s.12</w:t>
      </w:r>
      <w:r w:rsidR="00AF14FB" w:rsidRPr="009E4F39">
        <w:rPr>
          <w:rFonts w:ascii="Book Antiqua" w:hAnsi="Book Antiqua" w:cs="Arial"/>
        </w:rPr>
        <w:t xml:space="preserve"> (2)</w:t>
      </w:r>
      <w:r w:rsidR="00E247AA" w:rsidRPr="009E4F39">
        <w:rPr>
          <w:rFonts w:ascii="Book Antiqua" w:hAnsi="Book Antiqua" w:cs="Arial"/>
        </w:rPr>
        <w:t xml:space="preserve"> of the </w:t>
      </w:r>
      <w:r w:rsidR="00AF14FB" w:rsidRPr="009E4F39">
        <w:rPr>
          <w:rFonts w:ascii="Book Antiqua" w:hAnsi="Book Antiqua" w:cs="Arial"/>
        </w:rPr>
        <w:t>Tribunals, Courts and Enforcement Act 2007 provides that the tribunal may (but need not) set aside the decision of the First-tier Tribunal, and</w:t>
      </w:r>
      <w:r w:rsidR="009D7711" w:rsidRPr="009E4F39">
        <w:rPr>
          <w:rFonts w:ascii="Book Antiqua" w:hAnsi="Book Antiqua" w:cs="Arial"/>
        </w:rPr>
        <w:t xml:space="preserve"> either</w:t>
      </w:r>
      <w:r w:rsidR="00AF14FB" w:rsidRPr="009E4F39">
        <w:rPr>
          <w:rFonts w:ascii="Book Antiqua" w:hAnsi="Book Antiqua" w:cs="Arial"/>
        </w:rPr>
        <w:t xml:space="preserve"> remit the case to the First-tier Tribunal with dir</w:t>
      </w:r>
      <w:r w:rsidR="009D7711" w:rsidRPr="009E4F39">
        <w:rPr>
          <w:rFonts w:ascii="Book Antiqua" w:hAnsi="Book Antiqua" w:cs="Arial"/>
        </w:rPr>
        <w:t>ections for its reconsideration</w:t>
      </w:r>
      <w:r w:rsidR="00AF14FB" w:rsidRPr="009E4F39">
        <w:rPr>
          <w:rFonts w:ascii="Book Antiqua" w:hAnsi="Book Antiqua" w:cs="Arial"/>
        </w:rPr>
        <w:t xml:space="preserve"> or re-make the decision.</w:t>
      </w:r>
      <w:r w:rsidR="009D7711" w:rsidRPr="009E4F39">
        <w:rPr>
          <w:rFonts w:ascii="Book Antiqua" w:hAnsi="Book Antiqua" w:cs="Arial"/>
        </w:rPr>
        <w:t xml:space="preserve"> </w:t>
      </w:r>
      <w:r w:rsidR="00602F73">
        <w:rPr>
          <w:rFonts w:ascii="Book Antiqua" w:hAnsi="Book Antiqua" w:cs="Arial"/>
        </w:rPr>
        <w:t>The question of whether findings should be</w:t>
      </w:r>
      <w:r w:rsidR="009D7711" w:rsidRPr="009E4F39">
        <w:rPr>
          <w:rFonts w:ascii="Book Antiqua" w:hAnsi="Book Antiqua" w:cs="Arial"/>
        </w:rPr>
        <w:t xml:space="preserve"> preserve</w:t>
      </w:r>
      <w:r w:rsidR="00602F73">
        <w:rPr>
          <w:rFonts w:ascii="Book Antiqua" w:hAnsi="Book Antiqua" w:cs="Arial"/>
        </w:rPr>
        <w:t>d is</w:t>
      </w:r>
      <w:r w:rsidR="009D7711" w:rsidRPr="009E4F39">
        <w:rPr>
          <w:rFonts w:ascii="Book Antiqua" w:hAnsi="Book Antiqua" w:cs="Arial"/>
        </w:rPr>
        <w:t xml:space="preserve"> not laid down by statute and Mr Lindsay was not able to identify where if any such power lies. I take the view therefore that once the tribunal has exercised its discretion to set aside a decision of the First-tier Tribunal, then the whole of the decision falls to be set aside. </w:t>
      </w:r>
    </w:p>
    <w:p w14:paraId="1DBCF4C5" w14:textId="77777777" w:rsidR="00F03E07" w:rsidRPr="009E4F39" w:rsidRDefault="00620C54" w:rsidP="00620C54">
      <w:pPr>
        <w:spacing w:before="240"/>
        <w:ind w:left="567" w:hanging="567"/>
        <w:jc w:val="both"/>
        <w:rPr>
          <w:rFonts w:ascii="Book Antiqua" w:hAnsi="Book Antiqua" w:cs="Arial"/>
          <w:color w:val="0B0C0C"/>
        </w:rPr>
      </w:pPr>
      <w:r>
        <w:rPr>
          <w:rFonts w:ascii="Book Antiqua" w:hAnsi="Book Antiqua" w:cs="Arial"/>
        </w:rPr>
        <w:lastRenderedPageBreak/>
        <w:t>22.</w:t>
      </w:r>
      <w:r>
        <w:rPr>
          <w:rFonts w:ascii="Book Antiqua" w:hAnsi="Book Antiqua" w:cs="Arial"/>
        </w:rPr>
        <w:tab/>
      </w:r>
      <w:r w:rsidR="009D7711" w:rsidRPr="009E4F39">
        <w:rPr>
          <w:rFonts w:ascii="Book Antiqua" w:hAnsi="Book Antiqua" w:cs="Arial"/>
        </w:rPr>
        <w:t xml:space="preserve">Second, notwithstanding the above, I go on to consider the purported cross appeal by the claimant. </w:t>
      </w:r>
      <w:r w:rsidR="009D7711" w:rsidRPr="009E4F39">
        <w:rPr>
          <w:rFonts w:ascii="Book Antiqua" w:hAnsi="Book Antiqua" w:cs="Arial"/>
          <w:color w:val="0B0C0C"/>
        </w:rPr>
        <w:t>I do not agree with Mr Lindsay’s</w:t>
      </w:r>
      <w:r w:rsidR="007359DA" w:rsidRPr="009E4F39">
        <w:rPr>
          <w:rFonts w:ascii="Book Antiqua" w:hAnsi="Book Antiqua" w:cs="Arial"/>
          <w:color w:val="0B0C0C"/>
        </w:rPr>
        <w:t xml:space="preserve"> conten</w:t>
      </w:r>
      <w:r w:rsidR="00F03E07" w:rsidRPr="009E4F39">
        <w:rPr>
          <w:rFonts w:ascii="Book Antiqua" w:hAnsi="Book Antiqua" w:cs="Arial"/>
          <w:color w:val="0B0C0C"/>
        </w:rPr>
        <w:t>tion that the claimant</w:t>
      </w:r>
      <w:r w:rsidR="007359DA" w:rsidRPr="009E4F39">
        <w:rPr>
          <w:rFonts w:ascii="Book Antiqua" w:hAnsi="Book Antiqua" w:cs="Arial"/>
          <w:color w:val="0B0C0C"/>
        </w:rPr>
        <w:t xml:space="preserve"> is raising points that she is not allo</w:t>
      </w:r>
      <w:r w:rsidR="00D338E3">
        <w:rPr>
          <w:rFonts w:ascii="Book Antiqua" w:hAnsi="Book Antiqua" w:cs="Arial"/>
          <w:color w:val="0B0C0C"/>
        </w:rPr>
        <w:t>wed to raise in a Rule 24 response</w:t>
      </w:r>
      <w:r w:rsidR="007359DA" w:rsidRPr="009E4F39">
        <w:rPr>
          <w:rFonts w:ascii="Book Antiqua" w:hAnsi="Book Antiqua" w:cs="Arial"/>
          <w:color w:val="0B0C0C"/>
        </w:rPr>
        <w:t xml:space="preserve">. </w:t>
      </w:r>
      <w:r w:rsidR="00F03E07" w:rsidRPr="009E4F39">
        <w:rPr>
          <w:rFonts w:ascii="Book Antiqua" w:hAnsi="Book Antiqua" w:cs="Arial"/>
          <w:color w:val="0B0C0C"/>
        </w:rPr>
        <w:t xml:space="preserve">The claimant succeeded before the First-tier Tribunal. She was under no obligation to raise anything in any kind of appeal. As was made clear in </w:t>
      </w:r>
      <w:r w:rsidR="00F03E07" w:rsidRPr="00D338E3">
        <w:rPr>
          <w:rFonts w:ascii="Book Antiqua" w:hAnsi="Book Antiqua" w:cs="Arial"/>
          <w:color w:val="0B0C0C"/>
          <w:u w:val="single"/>
        </w:rPr>
        <w:t>EG and NG</w:t>
      </w:r>
      <w:r w:rsidR="00F03E07" w:rsidRPr="009E4F39">
        <w:rPr>
          <w:rFonts w:ascii="Book Antiqua" w:hAnsi="Book Antiqua" w:cs="Arial"/>
          <w:color w:val="0B0C0C"/>
        </w:rPr>
        <w:t>, a party to an appeal does not need permission to raise points in reply unless that party "seeks to persuade the Upper Tribunal to replace a decision of the First-tier Tribunal with a decision that would make a material difference to one of the parties". Here, I am not being asked to replace a decision</w:t>
      </w:r>
      <w:r w:rsidR="00D338E3">
        <w:rPr>
          <w:rFonts w:ascii="Book Antiqua" w:hAnsi="Book Antiqua" w:cs="Arial"/>
          <w:color w:val="0B0C0C"/>
        </w:rPr>
        <w:t xml:space="preserve"> by one party</w:t>
      </w:r>
      <w:r w:rsidR="00F03E07" w:rsidRPr="009E4F39">
        <w:rPr>
          <w:rFonts w:ascii="Book Antiqua" w:hAnsi="Book Antiqua" w:cs="Arial"/>
          <w:color w:val="0B0C0C"/>
        </w:rPr>
        <w:t xml:space="preserve"> as both parties agree that the decision cannot stand. </w:t>
      </w:r>
    </w:p>
    <w:p w14:paraId="7506DD57" w14:textId="77777777" w:rsidR="003736F9" w:rsidRPr="009E4F39" w:rsidRDefault="003736F9" w:rsidP="00647AB3">
      <w:pPr>
        <w:jc w:val="both"/>
        <w:rPr>
          <w:rFonts w:ascii="Book Antiqua" w:hAnsi="Book Antiqua" w:cs="Arial"/>
          <w:color w:val="0B0C0C"/>
        </w:rPr>
      </w:pPr>
    </w:p>
    <w:p w14:paraId="23664027" w14:textId="77777777" w:rsidR="00CD2BF5" w:rsidRPr="009E4F39" w:rsidRDefault="00620C54" w:rsidP="00620C54">
      <w:pPr>
        <w:ind w:left="567" w:hanging="567"/>
        <w:jc w:val="both"/>
        <w:rPr>
          <w:rFonts w:ascii="Book Antiqua" w:hAnsi="Book Antiqua" w:cs="Arial"/>
          <w:color w:val="0B0C0C"/>
        </w:rPr>
      </w:pPr>
      <w:r>
        <w:rPr>
          <w:rFonts w:ascii="Book Antiqua" w:hAnsi="Book Antiqua" w:cs="Arial"/>
          <w:color w:val="0B0C0C"/>
        </w:rPr>
        <w:t>23.</w:t>
      </w:r>
      <w:r>
        <w:rPr>
          <w:rFonts w:ascii="Book Antiqua" w:hAnsi="Book Antiqua" w:cs="Arial"/>
          <w:color w:val="0B0C0C"/>
        </w:rPr>
        <w:tab/>
      </w:r>
      <w:r w:rsidR="003736F9" w:rsidRPr="009E4F39">
        <w:rPr>
          <w:rFonts w:ascii="Book Antiqua" w:hAnsi="Book Antiqua" w:cs="Arial"/>
          <w:color w:val="0B0C0C"/>
        </w:rPr>
        <w:t>While, I take the view</w:t>
      </w:r>
      <w:r w:rsidR="00580327">
        <w:rPr>
          <w:rFonts w:ascii="Book Antiqua" w:hAnsi="Book Antiqua" w:cs="Arial"/>
          <w:color w:val="0B0C0C"/>
        </w:rPr>
        <w:t>,</w:t>
      </w:r>
      <w:r w:rsidR="003736F9" w:rsidRPr="009E4F39">
        <w:rPr>
          <w:rFonts w:ascii="Book Antiqua" w:hAnsi="Book Antiqua" w:cs="Arial"/>
          <w:color w:val="0B0C0C"/>
        </w:rPr>
        <w:t xml:space="preserve"> therefore</w:t>
      </w:r>
      <w:r w:rsidR="00580327">
        <w:rPr>
          <w:rFonts w:ascii="Book Antiqua" w:hAnsi="Book Antiqua" w:cs="Arial"/>
          <w:color w:val="0B0C0C"/>
        </w:rPr>
        <w:t>,</w:t>
      </w:r>
      <w:r w:rsidR="003736F9" w:rsidRPr="009E4F39">
        <w:rPr>
          <w:rFonts w:ascii="Book Antiqua" w:hAnsi="Book Antiqua" w:cs="Arial"/>
          <w:color w:val="0B0C0C"/>
        </w:rPr>
        <w:t xml:space="preserve"> that I should accordingly set aside the decision with no findings </w:t>
      </w:r>
      <w:r w:rsidR="009E4F39" w:rsidRPr="009E4F39">
        <w:rPr>
          <w:rFonts w:ascii="Book Antiqua" w:hAnsi="Book Antiqua" w:cs="Arial"/>
          <w:color w:val="0B0C0C"/>
        </w:rPr>
        <w:t>preserved</w:t>
      </w:r>
      <w:r w:rsidR="00580327">
        <w:rPr>
          <w:rFonts w:ascii="Book Antiqua" w:hAnsi="Book Antiqua" w:cs="Arial"/>
          <w:color w:val="0B0C0C"/>
        </w:rPr>
        <w:t>,</w:t>
      </w:r>
      <w:r w:rsidR="003736F9" w:rsidRPr="009E4F39">
        <w:rPr>
          <w:rFonts w:ascii="Book Antiqua" w:hAnsi="Book Antiqua" w:cs="Arial"/>
          <w:color w:val="0B0C0C"/>
        </w:rPr>
        <w:t xml:space="preserve"> I have considered the alternative </w:t>
      </w:r>
      <w:r w:rsidR="009E4F39" w:rsidRPr="009E4F39">
        <w:rPr>
          <w:rFonts w:ascii="Book Antiqua" w:hAnsi="Book Antiqua" w:cs="Arial"/>
          <w:color w:val="0B0C0C"/>
        </w:rPr>
        <w:t>position</w:t>
      </w:r>
      <w:r w:rsidR="00580327">
        <w:rPr>
          <w:rFonts w:ascii="Book Antiqua" w:hAnsi="Book Antiqua" w:cs="Arial"/>
          <w:color w:val="0B0C0C"/>
        </w:rPr>
        <w:t>, namely, that if the Rule</w:t>
      </w:r>
      <w:r w:rsidR="003736F9" w:rsidRPr="009E4F39">
        <w:rPr>
          <w:rFonts w:ascii="Book Antiqua" w:hAnsi="Book Antiqua" w:cs="Arial"/>
          <w:color w:val="0B0C0C"/>
        </w:rPr>
        <w:t xml:space="preserve"> 24 response does </w:t>
      </w:r>
      <w:r w:rsidR="009E4F39" w:rsidRPr="009E4F39">
        <w:rPr>
          <w:rFonts w:ascii="Book Antiqua" w:hAnsi="Book Antiqua" w:cs="Arial"/>
          <w:color w:val="0B0C0C"/>
        </w:rPr>
        <w:t>raise</w:t>
      </w:r>
      <w:r w:rsidR="003736F9" w:rsidRPr="009E4F39">
        <w:rPr>
          <w:rFonts w:ascii="Book Antiqua" w:hAnsi="Book Antiqua" w:cs="Arial"/>
          <w:color w:val="0B0C0C"/>
        </w:rPr>
        <w:t xml:space="preserve"> a cross appeal, does the claimant require permission to appeal? The answer to that question is clear cut. In </w:t>
      </w:r>
      <w:r w:rsidR="003736F9" w:rsidRPr="00580327">
        <w:rPr>
          <w:rFonts w:ascii="Book Antiqua" w:hAnsi="Book Antiqua" w:cs="Arial"/>
          <w:color w:val="0B0C0C"/>
          <w:u w:val="single"/>
        </w:rPr>
        <w:t>EG and NG</w:t>
      </w:r>
      <w:r w:rsidR="003736F9" w:rsidRPr="009E4F39">
        <w:rPr>
          <w:rFonts w:ascii="Book Antiqua" w:hAnsi="Book Antiqua" w:cs="Arial"/>
          <w:color w:val="0B0C0C"/>
        </w:rPr>
        <w:t xml:space="preserve">, the tribunal confirmed </w:t>
      </w:r>
      <w:r w:rsidR="006E6D0F" w:rsidRPr="009E4F39">
        <w:rPr>
          <w:rFonts w:ascii="Book Antiqua" w:hAnsi="Book Antiqua" w:cs="Arial"/>
          <w:color w:val="0B0C0C"/>
        </w:rPr>
        <w:t>that the Upper Tribunal cannot entertain an application purporting to be made under rule 24 for permission to appeal until the Fir</w:t>
      </w:r>
      <w:r w:rsidR="003736F9" w:rsidRPr="009E4F39">
        <w:rPr>
          <w:rFonts w:ascii="Book Antiqua" w:hAnsi="Book Antiqua" w:cs="Arial"/>
          <w:color w:val="0B0C0C"/>
        </w:rPr>
        <w:t xml:space="preserve">st-tier Tribunal </w:t>
      </w:r>
      <w:r w:rsidR="006E6D0F" w:rsidRPr="009E4F39">
        <w:rPr>
          <w:rFonts w:ascii="Book Antiqua" w:hAnsi="Book Antiqua" w:cs="Arial"/>
          <w:color w:val="0B0C0C"/>
        </w:rPr>
        <w:t>has been asked in writing for permission to appeal and has either refused it or declined. In this instance, no</w:t>
      </w:r>
      <w:r w:rsidR="00CD2BF5" w:rsidRPr="009E4F39">
        <w:rPr>
          <w:rFonts w:ascii="Book Antiqua" w:hAnsi="Book Antiqua" w:cs="Arial"/>
          <w:color w:val="0B0C0C"/>
        </w:rPr>
        <w:t xml:space="preserve"> application has been made, but Ms Norman sought to do so at the hearing. While I have borne in mind that the applicati</w:t>
      </w:r>
      <w:r w:rsidR="00EE0F44" w:rsidRPr="009E4F39">
        <w:rPr>
          <w:rFonts w:ascii="Book Antiqua" w:hAnsi="Book Antiqua" w:cs="Arial"/>
          <w:color w:val="0B0C0C"/>
        </w:rPr>
        <w:t>on i</w:t>
      </w:r>
      <w:r w:rsidR="00580327">
        <w:rPr>
          <w:rFonts w:ascii="Book Antiqua" w:hAnsi="Book Antiqua" w:cs="Arial"/>
          <w:color w:val="0B0C0C"/>
        </w:rPr>
        <w:t>s late, the challenge set out in the R</w:t>
      </w:r>
      <w:r w:rsidR="00CD2BF5" w:rsidRPr="009E4F39">
        <w:rPr>
          <w:rFonts w:ascii="Book Antiqua" w:hAnsi="Book Antiqua" w:cs="Arial"/>
          <w:color w:val="0B0C0C"/>
        </w:rPr>
        <w:t xml:space="preserve">ule 24 response </w:t>
      </w:r>
      <w:r w:rsidR="00EE0F44" w:rsidRPr="009E4F39">
        <w:rPr>
          <w:rFonts w:ascii="Book Antiqua" w:hAnsi="Book Antiqua" w:cs="Arial"/>
          <w:color w:val="0B0C0C"/>
        </w:rPr>
        <w:t>in respect of the judge</w:t>
      </w:r>
      <w:r w:rsidR="00580327">
        <w:rPr>
          <w:rFonts w:ascii="Book Antiqua" w:hAnsi="Book Antiqua" w:cs="Arial"/>
          <w:color w:val="0B0C0C"/>
        </w:rPr>
        <w:t>’s handling of</w:t>
      </w:r>
      <w:r w:rsidR="00EE0F44" w:rsidRPr="009E4F39">
        <w:rPr>
          <w:rFonts w:ascii="Book Antiqua" w:hAnsi="Book Antiqua" w:cs="Arial"/>
          <w:color w:val="0B0C0C"/>
        </w:rPr>
        <w:t xml:space="preserve"> the deceptio</w:t>
      </w:r>
      <w:r w:rsidR="00580327">
        <w:rPr>
          <w:rFonts w:ascii="Book Antiqua" w:hAnsi="Book Antiqua" w:cs="Arial"/>
          <w:color w:val="0B0C0C"/>
        </w:rPr>
        <w:t>n issue identify</w:t>
      </w:r>
      <w:r w:rsidR="00423B96" w:rsidRPr="009E4F39">
        <w:rPr>
          <w:rFonts w:ascii="Book Antiqua" w:hAnsi="Book Antiqua" w:cs="Arial"/>
          <w:color w:val="0B0C0C"/>
        </w:rPr>
        <w:t xml:space="preserve"> obvious</w:t>
      </w:r>
      <w:r w:rsidR="00580327">
        <w:rPr>
          <w:rFonts w:ascii="Book Antiqua" w:hAnsi="Book Antiqua" w:cs="Arial"/>
          <w:color w:val="0B0C0C"/>
        </w:rPr>
        <w:t xml:space="preserve"> and troubling</w:t>
      </w:r>
      <w:r w:rsidR="00423B96" w:rsidRPr="009E4F39">
        <w:rPr>
          <w:rFonts w:ascii="Book Antiqua" w:hAnsi="Book Antiqua" w:cs="Arial"/>
          <w:color w:val="0B0C0C"/>
        </w:rPr>
        <w:t xml:space="preserve"> errors in her approach.</w:t>
      </w:r>
    </w:p>
    <w:p w14:paraId="24B7E13A" w14:textId="77777777" w:rsidR="00620C54" w:rsidRDefault="00620C54" w:rsidP="00620C54">
      <w:pPr>
        <w:jc w:val="both"/>
        <w:rPr>
          <w:rFonts w:ascii="Book Antiqua" w:hAnsi="Book Antiqua" w:cs="Arial"/>
          <w:color w:val="0B0C0C"/>
        </w:rPr>
      </w:pPr>
    </w:p>
    <w:p w14:paraId="3D48255E" w14:textId="77777777" w:rsidR="00620C54" w:rsidRDefault="00620C54" w:rsidP="00620C54">
      <w:pPr>
        <w:ind w:left="567" w:hanging="567"/>
        <w:jc w:val="both"/>
        <w:rPr>
          <w:rFonts w:ascii="Book Antiqua" w:hAnsi="Book Antiqua" w:cs="Arial"/>
          <w:color w:val="0B0C0C"/>
        </w:rPr>
      </w:pPr>
      <w:r>
        <w:rPr>
          <w:rFonts w:ascii="Book Antiqua" w:hAnsi="Book Antiqua" w:cs="Arial"/>
          <w:color w:val="0B0C0C"/>
        </w:rPr>
        <w:t>24.</w:t>
      </w:r>
      <w:r>
        <w:rPr>
          <w:rFonts w:ascii="Book Antiqua" w:hAnsi="Book Antiqua" w:cs="Arial"/>
          <w:color w:val="0B0C0C"/>
        </w:rPr>
        <w:tab/>
      </w:r>
      <w:r w:rsidR="009E4F39" w:rsidRPr="009E4F39">
        <w:rPr>
          <w:rFonts w:ascii="Book Antiqua" w:hAnsi="Book Antiqua" w:cs="Arial"/>
          <w:color w:val="0B0C0C"/>
        </w:rPr>
        <w:t>Pursuant</w:t>
      </w:r>
      <w:r w:rsidR="005B0710" w:rsidRPr="009E4F39">
        <w:rPr>
          <w:rFonts w:ascii="Book Antiqua" w:hAnsi="Book Antiqua" w:cs="Arial"/>
          <w:color w:val="0B0C0C"/>
        </w:rPr>
        <w:t xml:space="preserve"> to s.</w:t>
      </w:r>
      <w:r w:rsidR="006E6D0F" w:rsidRPr="009E4F39">
        <w:rPr>
          <w:rFonts w:ascii="Book Antiqua" w:hAnsi="Book Antiqua" w:cs="Arial"/>
          <w:color w:val="0B0C0C"/>
        </w:rPr>
        <w:t xml:space="preserve"> 4(1) (c) of the Tribunals Courts and Enforcement Act 2007</w:t>
      </w:r>
      <w:r w:rsidR="005B0710" w:rsidRPr="009E4F39">
        <w:rPr>
          <w:rFonts w:ascii="Book Antiqua" w:hAnsi="Book Antiqua" w:cs="Arial"/>
          <w:color w:val="0B0C0C"/>
        </w:rPr>
        <w:t>,</w:t>
      </w:r>
      <w:r w:rsidR="006E6D0F" w:rsidRPr="009E4F39">
        <w:rPr>
          <w:rFonts w:ascii="Book Antiqua" w:hAnsi="Book Antiqua" w:cs="Arial"/>
          <w:color w:val="0B0C0C"/>
        </w:rPr>
        <w:t xml:space="preserve"> I am also a First-tier Tribunal Judge and may 'reconstitute' myself as a First-tier Tribunal Judge although also sittin</w:t>
      </w:r>
      <w:r w:rsidR="005B0710" w:rsidRPr="009E4F39">
        <w:rPr>
          <w:rFonts w:ascii="Book Antiqua" w:hAnsi="Book Antiqua" w:cs="Arial"/>
          <w:color w:val="0B0C0C"/>
        </w:rPr>
        <w:t>g in an Upper Tribunal capacity: see</w:t>
      </w:r>
      <w:r w:rsidR="006E6D0F" w:rsidRPr="009E4F39">
        <w:rPr>
          <w:rFonts w:ascii="Book Antiqua" w:hAnsi="Book Antiqua" w:cs="Arial"/>
          <w:color w:val="0B0C0C"/>
        </w:rPr>
        <w:t xml:space="preserve"> </w:t>
      </w:r>
      <w:r w:rsidR="006E6D0F" w:rsidRPr="009E4F39">
        <w:rPr>
          <w:rFonts w:ascii="Book Antiqua" w:hAnsi="Book Antiqua" w:cs="Arial"/>
          <w:color w:val="0B0C0C"/>
          <w:u w:val="single"/>
        </w:rPr>
        <w:t xml:space="preserve">ZEI and others (Decision withdrawn - </w:t>
      </w:r>
      <w:proofErr w:type="spellStart"/>
      <w:r w:rsidR="006E6D0F" w:rsidRPr="009E4F39">
        <w:rPr>
          <w:rFonts w:ascii="Book Antiqua" w:hAnsi="Book Antiqua" w:cs="Arial"/>
          <w:color w:val="0B0C0C"/>
          <w:u w:val="single"/>
        </w:rPr>
        <w:t>FtT</w:t>
      </w:r>
      <w:proofErr w:type="spellEnd"/>
      <w:r w:rsidR="006E6D0F" w:rsidRPr="009E4F39">
        <w:rPr>
          <w:rFonts w:ascii="Book Antiqua" w:hAnsi="Book Antiqua" w:cs="Arial"/>
          <w:color w:val="0B0C0C"/>
          <w:u w:val="single"/>
        </w:rPr>
        <w:t xml:space="preserve"> Rule 17 - considerations) Palestine </w:t>
      </w:r>
      <w:r w:rsidR="006E6D0F" w:rsidRPr="009E4F39">
        <w:rPr>
          <w:rFonts w:ascii="Book Antiqua" w:hAnsi="Book Antiqua" w:cs="Arial"/>
          <w:color w:val="0B0C0C"/>
        </w:rPr>
        <w:t>[</w:t>
      </w:r>
      <w:r w:rsidR="005B0710" w:rsidRPr="009E4F39">
        <w:rPr>
          <w:rFonts w:ascii="Book Antiqua" w:hAnsi="Book Antiqua" w:cs="Arial"/>
          <w:color w:val="0B0C0C"/>
        </w:rPr>
        <w:t>2017] UKUT 00292 (IAC) at</w:t>
      </w:r>
      <w:r w:rsidR="006E6D0F" w:rsidRPr="009E4F39">
        <w:rPr>
          <w:rFonts w:ascii="Book Antiqua" w:hAnsi="Book Antiqua" w:cs="Arial"/>
          <w:color w:val="0B0C0C"/>
        </w:rPr>
        <w:t xml:space="preserve"> </w:t>
      </w:r>
      <w:r w:rsidR="005B0710" w:rsidRPr="009E4F39">
        <w:rPr>
          <w:rFonts w:ascii="Book Antiqua" w:hAnsi="Book Antiqua" w:cs="Arial"/>
          <w:color w:val="0B0C0C"/>
        </w:rPr>
        <w:t>[</w:t>
      </w:r>
      <w:r w:rsidR="006E6D0F" w:rsidRPr="009E4F39">
        <w:rPr>
          <w:rFonts w:ascii="Book Antiqua" w:hAnsi="Book Antiqua" w:cs="Arial"/>
          <w:color w:val="0B0C0C"/>
        </w:rPr>
        <w:t>8</w:t>
      </w:r>
      <w:r w:rsidR="005B0710" w:rsidRPr="009E4F39">
        <w:rPr>
          <w:rFonts w:ascii="Book Antiqua" w:hAnsi="Book Antiqua" w:cs="Arial"/>
          <w:color w:val="0B0C0C"/>
        </w:rPr>
        <w:t>].</w:t>
      </w:r>
      <w:r w:rsidR="006E6D0F" w:rsidRPr="009E4F39">
        <w:rPr>
          <w:rFonts w:ascii="Book Antiqua" w:hAnsi="Book Antiqua" w:cs="Arial"/>
          <w:color w:val="0B0C0C"/>
        </w:rPr>
        <w:t xml:space="preserve"> Therefore, as an initial stage, acting in a First-tier Tribunal</w:t>
      </w:r>
      <w:r w:rsidR="00BD2B0B" w:rsidRPr="009E4F39">
        <w:rPr>
          <w:rFonts w:ascii="Book Antiqua" w:hAnsi="Book Antiqua" w:cs="Arial"/>
          <w:color w:val="0B0C0C"/>
        </w:rPr>
        <w:t xml:space="preserve"> Judge capacity, I considered</w:t>
      </w:r>
      <w:r w:rsidR="006E6D0F" w:rsidRPr="009E4F39">
        <w:rPr>
          <w:rFonts w:ascii="Book Antiqua" w:hAnsi="Book Antiqua" w:cs="Arial"/>
          <w:color w:val="0B0C0C"/>
        </w:rPr>
        <w:t xml:space="preserve"> whether permission should be granted to</w:t>
      </w:r>
      <w:r w:rsidR="00BD2B0B" w:rsidRPr="009E4F39">
        <w:rPr>
          <w:rFonts w:ascii="Book Antiqua" w:hAnsi="Book Antiqua" w:cs="Arial"/>
          <w:color w:val="0B0C0C"/>
        </w:rPr>
        <w:t xml:space="preserve"> the claimant</w:t>
      </w:r>
      <w:r w:rsidR="000526FC">
        <w:rPr>
          <w:rFonts w:ascii="Book Antiqua" w:hAnsi="Book Antiqua" w:cs="Arial"/>
          <w:color w:val="0B0C0C"/>
        </w:rPr>
        <w:t xml:space="preserve"> on the grounds identified</w:t>
      </w:r>
      <w:r>
        <w:rPr>
          <w:rFonts w:ascii="Book Antiqua" w:hAnsi="Book Antiqua" w:cs="Arial"/>
          <w:color w:val="0B0C0C"/>
        </w:rPr>
        <w:t>.</w:t>
      </w:r>
    </w:p>
    <w:p w14:paraId="13CE62F0" w14:textId="77777777" w:rsidR="00620C54" w:rsidRDefault="00620C54" w:rsidP="00620C54">
      <w:pPr>
        <w:ind w:left="567" w:hanging="567"/>
        <w:jc w:val="both"/>
        <w:rPr>
          <w:rFonts w:ascii="Book Antiqua" w:hAnsi="Book Antiqua" w:cs="Arial"/>
          <w:color w:val="0B0C0C"/>
        </w:rPr>
      </w:pPr>
    </w:p>
    <w:p w14:paraId="6FB65838" w14:textId="77777777" w:rsidR="0058295E" w:rsidRDefault="00620C54" w:rsidP="00620C54">
      <w:pPr>
        <w:ind w:left="567" w:hanging="567"/>
        <w:jc w:val="both"/>
        <w:rPr>
          <w:rFonts w:ascii="Book Antiqua" w:hAnsi="Book Antiqua" w:cs="Arial"/>
          <w:color w:val="0B0C0C"/>
        </w:rPr>
      </w:pPr>
      <w:r>
        <w:rPr>
          <w:rFonts w:ascii="Book Antiqua" w:hAnsi="Book Antiqua" w:cs="Arial"/>
          <w:color w:val="0B0C0C"/>
        </w:rPr>
        <w:t>25.</w:t>
      </w:r>
      <w:r>
        <w:rPr>
          <w:rFonts w:ascii="Book Antiqua" w:hAnsi="Book Antiqua" w:cs="Arial"/>
          <w:color w:val="0B0C0C"/>
        </w:rPr>
        <w:tab/>
      </w:r>
      <w:r w:rsidR="006E6D0F" w:rsidRPr="009E4F39">
        <w:rPr>
          <w:rFonts w:ascii="Book Antiqua" w:hAnsi="Book Antiqua" w:cs="Arial"/>
          <w:color w:val="0B0C0C"/>
        </w:rPr>
        <w:t>I find tha</w:t>
      </w:r>
      <w:r w:rsidR="000526FC">
        <w:rPr>
          <w:rFonts w:ascii="Book Antiqua" w:hAnsi="Book Antiqua" w:cs="Arial"/>
          <w:color w:val="0B0C0C"/>
        </w:rPr>
        <w:t xml:space="preserve">t it is arguable that the </w:t>
      </w:r>
      <w:r w:rsidR="006551C7">
        <w:rPr>
          <w:rFonts w:ascii="Book Antiqua" w:hAnsi="Book Antiqua" w:cs="Arial"/>
          <w:color w:val="0B0C0C"/>
        </w:rPr>
        <w:t>judge</w:t>
      </w:r>
      <w:r w:rsidR="00BD2B0B" w:rsidRPr="009E4F39">
        <w:rPr>
          <w:rFonts w:ascii="Book Antiqua" w:hAnsi="Book Antiqua" w:cs="Arial"/>
          <w:color w:val="0B0C0C"/>
        </w:rPr>
        <w:t xml:space="preserve"> erred in her approach to the consideration of the ETS evidence/issues</w:t>
      </w:r>
      <w:r w:rsidR="00783E0B" w:rsidRPr="009E4F39">
        <w:rPr>
          <w:rFonts w:ascii="Book Antiqua" w:hAnsi="Book Antiqua" w:cs="Arial"/>
          <w:color w:val="0B0C0C"/>
        </w:rPr>
        <w:t xml:space="preserve"> and as such I grant permission</w:t>
      </w:r>
      <w:r w:rsidR="00BD2B0B" w:rsidRPr="009E4F39">
        <w:rPr>
          <w:rFonts w:ascii="Book Antiqua" w:hAnsi="Book Antiqua" w:cs="Arial"/>
          <w:color w:val="0B0C0C"/>
        </w:rPr>
        <w:t xml:space="preserve">. </w:t>
      </w:r>
      <w:r w:rsidR="000526FC">
        <w:rPr>
          <w:rFonts w:ascii="Book Antiqua" w:hAnsi="Book Antiqua" w:cs="Arial"/>
          <w:color w:val="0B0C0C"/>
        </w:rPr>
        <w:t>I find that t</w:t>
      </w:r>
      <w:r w:rsidR="00EA1B4A" w:rsidRPr="009E4F39">
        <w:rPr>
          <w:rFonts w:ascii="Book Antiqua" w:hAnsi="Book Antiqua" w:cs="Arial"/>
          <w:color w:val="0B0C0C"/>
        </w:rPr>
        <w:t>he grounds are plainly made out as the judge failed to attribute any weight in her assessment to the finding of Judge Lloyd</w:t>
      </w:r>
      <w:r w:rsidR="0058295E">
        <w:rPr>
          <w:rFonts w:ascii="Book Antiqua" w:hAnsi="Book Antiqua" w:cs="Arial"/>
          <w:color w:val="0B0C0C"/>
        </w:rPr>
        <w:t>,</w:t>
      </w:r>
      <w:r w:rsidR="00EA1B4A" w:rsidRPr="009E4F39">
        <w:rPr>
          <w:rFonts w:ascii="Book Antiqua" w:hAnsi="Book Antiqua" w:cs="Arial"/>
          <w:color w:val="0B0C0C"/>
        </w:rPr>
        <w:t xml:space="preserve"> upheld by the Upper Tribunal</w:t>
      </w:r>
      <w:r w:rsidR="0058295E">
        <w:rPr>
          <w:rFonts w:ascii="Book Antiqua" w:hAnsi="Book Antiqua" w:cs="Arial"/>
          <w:color w:val="0B0C0C"/>
        </w:rPr>
        <w:t>,</w:t>
      </w:r>
      <w:r w:rsidR="00EA1B4A" w:rsidRPr="009E4F39">
        <w:rPr>
          <w:rFonts w:ascii="Book Antiqua" w:hAnsi="Book Antiqua" w:cs="Arial"/>
          <w:color w:val="0B0C0C"/>
        </w:rPr>
        <w:t xml:space="preserve"> that the claimant had provided a credible explanation</w:t>
      </w:r>
      <w:r w:rsidR="00B13D8D">
        <w:rPr>
          <w:rFonts w:ascii="Book Antiqua" w:hAnsi="Book Antiqua" w:cs="Arial"/>
          <w:color w:val="0B0C0C"/>
        </w:rPr>
        <w:t xml:space="preserve"> in </w:t>
      </w:r>
      <w:r w:rsidR="0058295E">
        <w:rPr>
          <w:rFonts w:ascii="Book Antiqua" w:hAnsi="Book Antiqua" w:cs="Arial"/>
          <w:color w:val="0B0C0C"/>
        </w:rPr>
        <w:t>response to the generic evidence and that the allegation of deception was not proven</w:t>
      </w:r>
      <w:r w:rsidR="00EA1B4A" w:rsidRPr="009E4F39">
        <w:rPr>
          <w:rFonts w:ascii="Book Antiqua" w:hAnsi="Book Antiqua" w:cs="Arial"/>
          <w:color w:val="0B0C0C"/>
        </w:rPr>
        <w:t>.</w:t>
      </w:r>
      <w:r w:rsidR="00674B03" w:rsidRPr="009E4F39">
        <w:rPr>
          <w:rFonts w:ascii="Book Antiqua" w:hAnsi="Book Antiqua" w:cs="Arial"/>
          <w:color w:val="0B0C0C"/>
        </w:rPr>
        <w:t xml:space="preserve"> </w:t>
      </w:r>
      <w:r w:rsidR="00EA1B4A" w:rsidRPr="009E4F39">
        <w:rPr>
          <w:rFonts w:ascii="Book Antiqua" w:hAnsi="Book Antiqua" w:cs="Arial"/>
          <w:color w:val="0B0C0C"/>
        </w:rPr>
        <w:t xml:space="preserve">While </w:t>
      </w:r>
      <w:r w:rsidR="00674B03" w:rsidRPr="009E4F39">
        <w:rPr>
          <w:rFonts w:ascii="Book Antiqua" w:hAnsi="Book Antiqua" w:cs="Arial"/>
          <w:color w:val="0B0C0C"/>
        </w:rPr>
        <w:t>it</w:t>
      </w:r>
      <w:r w:rsidR="0058295E">
        <w:rPr>
          <w:rFonts w:ascii="Book Antiqua" w:hAnsi="Book Antiqua" w:cs="Arial"/>
          <w:color w:val="0B0C0C"/>
        </w:rPr>
        <w:t xml:space="preserve"> may</w:t>
      </w:r>
      <w:r w:rsidR="00674B03" w:rsidRPr="009E4F39">
        <w:rPr>
          <w:rFonts w:ascii="Book Antiqua" w:hAnsi="Book Antiqua" w:cs="Arial"/>
          <w:color w:val="0B0C0C"/>
        </w:rPr>
        <w:t xml:space="preserve"> not</w:t>
      </w:r>
      <w:r w:rsidR="0058295E">
        <w:rPr>
          <w:rFonts w:ascii="Book Antiqua" w:hAnsi="Book Antiqua" w:cs="Arial"/>
          <w:color w:val="0B0C0C"/>
        </w:rPr>
        <w:t xml:space="preserve"> have been</w:t>
      </w:r>
      <w:r w:rsidR="00674B03" w:rsidRPr="009E4F39">
        <w:rPr>
          <w:rFonts w:ascii="Book Antiqua" w:hAnsi="Book Antiqua" w:cs="Arial"/>
          <w:color w:val="0B0C0C"/>
        </w:rPr>
        <w:t xml:space="preserve"> the case that this previous</w:t>
      </w:r>
      <w:r w:rsidR="00EA1B4A" w:rsidRPr="009E4F39">
        <w:rPr>
          <w:rFonts w:ascii="Book Antiqua" w:hAnsi="Book Antiqua" w:cs="Arial"/>
          <w:color w:val="0B0C0C"/>
        </w:rPr>
        <w:t xml:space="preserve"> fin</w:t>
      </w:r>
      <w:r w:rsidR="00674B03" w:rsidRPr="009E4F39">
        <w:rPr>
          <w:rFonts w:ascii="Book Antiqua" w:hAnsi="Book Antiqua" w:cs="Arial"/>
          <w:color w:val="0B0C0C"/>
        </w:rPr>
        <w:t>ding</w:t>
      </w:r>
      <w:r w:rsidR="00EA1B4A" w:rsidRPr="009E4F39">
        <w:rPr>
          <w:rFonts w:ascii="Book Antiqua" w:hAnsi="Book Antiqua" w:cs="Arial"/>
          <w:color w:val="0B0C0C"/>
        </w:rPr>
        <w:t xml:space="preserve"> </w:t>
      </w:r>
      <w:r w:rsidR="00674B03" w:rsidRPr="009E4F39">
        <w:rPr>
          <w:rFonts w:ascii="Book Antiqua" w:hAnsi="Book Antiqua" w:cs="Arial"/>
          <w:color w:val="0B0C0C"/>
        </w:rPr>
        <w:t>was determinative of the issue</w:t>
      </w:r>
      <w:r w:rsidR="0058295E">
        <w:rPr>
          <w:rFonts w:ascii="Book Antiqua" w:hAnsi="Book Antiqua" w:cs="Arial"/>
          <w:color w:val="0B0C0C"/>
        </w:rPr>
        <w:t xml:space="preserve"> in view of the “new information” before the judge, she was required to consider that evidence by reference to the findings of Judge Lloyd</w:t>
      </w:r>
      <w:r w:rsidR="00674B03" w:rsidRPr="009E4F39">
        <w:rPr>
          <w:rFonts w:ascii="Book Antiqua" w:hAnsi="Book Antiqua" w:cs="Arial"/>
          <w:color w:val="0B0C0C"/>
        </w:rPr>
        <w:t>.</w:t>
      </w:r>
      <w:r w:rsidR="0058295E">
        <w:rPr>
          <w:rFonts w:ascii="Book Antiqua" w:hAnsi="Book Antiqua" w:cs="Arial"/>
          <w:color w:val="0B0C0C"/>
        </w:rPr>
        <w:t xml:space="preserve"> That I find she failed to do.</w:t>
      </w:r>
      <w:r w:rsidR="00674B03" w:rsidRPr="009E4F39">
        <w:rPr>
          <w:rFonts w:ascii="Book Antiqua" w:hAnsi="Book Antiqua" w:cs="Arial"/>
          <w:color w:val="0B0C0C"/>
        </w:rPr>
        <w:t xml:space="preserve"> </w:t>
      </w:r>
    </w:p>
    <w:p w14:paraId="41633DAD" w14:textId="77777777" w:rsidR="0058295E" w:rsidRDefault="0058295E" w:rsidP="00647AB3">
      <w:pPr>
        <w:jc w:val="both"/>
        <w:rPr>
          <w:rFonts w:ascii="Book Antiqua" w:hAnsi="Book Antiqua" w:cs="Arial"/>
          <w:color w:val="0B0C0C"/>
        </w:rPr>
      </w:pPr>
    </w:p>
    <w:p w14:paraId="1741EDE4" w14:textId="77777777" w:rsidR="00674B03" w:rsidRPr="009E4F39" w:rsidRDefault="00620C54" w:rsidP="00620C54">
      <w:pPr>
        <w:ind w:left="567" w:hanging="567"/>
        <w:jc w:val="both"/>
        <w:rPr>
          <w:rFonts w:ascii="Book Antiqua" w:hAnsi="Book Antiqua" w:cs="Arial"/>
          <w:color w:val="0B0C0C"/>
        </w:rPr>
      </w:pPr>
      <w:r>
        <w:rPr>
          <w:rFonts w:ascii="Book Antiqua" w:hAnsi="Book Antiqua" w:cs="Arial"/>
          <w:color w:val="0B0C0C"/>
        </w:rPr>
        <w:t>26.</w:t>
      </w:r>
      <w:r>
        <w:rPr>
          <w:rFonts w:ascii="Book Antiqua" w:hAnsi="Book Antiqua" w:cs="Arial"/>
          <w:color w:val="0B0C0C"/>
        </w:rPr>
        <w:tab/>
      </w:r>
      <w:r w:rsidR="00674B03" w:rsidRPr="009E4F39">
        <w:rPr>
          <w:rFonts w:ascii="Book Antiqua" w:hAnsi="Book Antiqua" w:cs="Arial"/>
          <w:color w:val="0B0C0C"/>
        </w:rPr>
        <w:t xml:space="preserve">It was recognised in </w:t>
      </w:r>
      <w:r w:rsidR="00674B03" w:rsidRPr="00212AD5">
        <w:rPr>
          <w:rFonts w:ascii="Book Antiqua" w:hAnsi="Book Antiqua" w:cs="Arial"/>
          <w:color w:val="0B0C0C"/>
          <w:u w:val="single"/>
        </w:rPr>
        <w:t xml:space="preserve">SM and </w:t>
      </w:r>
      <w:proofErr w:type="spellStart"/>
      <w:r w:rsidR="00674B03" w:rsidRPr="00212AD5">
        <w:rPr>
          <w:rFonts w:ascii="Book Antiqua" w:hAnsi="Book Antiqua" w:cs="Arial"/>
          <w:color w:val="0B0C0C"/>
          <w:u w:val="single"/>
        </w:rPr>
        <w:t>Qadir</w:t>
      </w:r>
      <w:proofErr w:type="spellEnd"/>
      <w:r w:rsidR="00674B03" w:rsidRPr="00212AD5">
        <w:rPr>
          <w:rFonts w:ascii="Book Antiqua" w:hAnsi="Book Antiqua" w:cs="Arial"/>
          <w:color w:val="0B0C0C"/>
          <w:u w:val="single"/>
        </w:rPr>
        <w:t xml:space="preserve"> </w:t>
      </w:r>
      <w:r w:rsidR="00674B03" w:rsidRPr="00212AD5">
        <w:rPr>
          <w:rFonts w:ascii="Book Antiqua" w:hAnsi="Book Antiqua"/>
          <w:color w:val="000000"/>
          <w:u w:val="single"/>
        </w:rPr>
        <w:t>v Secretary of State for the Home Department (ETS - Evidence - Burden of Proof)</w:t>
      </w:r>
      <w:r w:rsidR="00674B03" w:rsidRPr="009E4F39">
        <w:rPr>
          <w:rFonts w:ascii="Book Antiqua" w:hAnsi="Book Antiqua"/>
          <w:color w:val="000000"/>
        </w:rPr>
        <w:t xml:space="preserve"> [2016] UKUT 229 (IAC)103 that the SSHD may seek to adduce further evidence in future appeals but emphasised, all appeals will be decided on the basis of the evidence actually adduced. The </w:t>
      </w:r>
      <w:r w:rsidR="002859F2">
        <w:rPr>
          <w:rFonts w:ascii="Book Antiqua" w:hAnsi="Book Antiqua"/>
          <w:color w:val="000000"/>
        </w:rPr>
        <w:t>“new information</w:t>
      </w:r>
      <w:r w:rsidR="00674B03" w:rsidRPr="009E4F39">
        <w:rPr>
          <w:rFonts w:ascii="Book Antiqua" w:hAnsi="Book Antiqua"/>
          <w:color w:val="000000"/>
        </w:rPr>
        <w:t xml:space="preserve">” </w:t>
      </w:r>
      <w:r w:rsidR="002859F2">
        <w:rPr>
          <w:rFonts w:ascii="Book Antiqua" w:hAnsi="Book Antiqua"/>
          <w:color w:val="000000"/>
        </w:rPr>
        <w:t xml:space="preserve">the judge was referring to </w:t>
      </w:r>
      <w:r w:rsidR="00674B03" w:rsidRPr="009E4F39">
        <w:rPr>
          <w:rFonts w:ascii="Book Antiqua" w:hAnsi="Book Antiqua"/>
          <w:color w:val="000000"/>
        </w:rPr>
        <w:t>in this case appears to be expert in nature</w:t>
      </w:r>
      <w:r w:rsidR="006551C7">
        <w:rPr>
          <w:rFonts w:ascii="Book Antiqua" w:hAnsi="Book Antiqua"/>
          <w:color w:val="000000"/>
        </w:rPr>
        <w:t>,</w:t>
      </w:r>
      <w:r w:rsidR="00674B03" w:rsidRPr="009E4F39">
        <w:rPr>
          <w:rFonts w:ascii="Book Antiqua" w:hAnsi="Book Antiqua"/>
          <w:color w:val="000000"/>
        </w:rPr>
        <w:t xml:space="preserve"> namely</w:t>
      </w:r>
      <w:r w:rsidR="006551C7">
        <w:rPr>
          <w:rFonts w:ascii="Book Antiqua" w:hAnsi="Book Antiqua"/>
          <w:color w:val="000000"/>
        </w:rPr>
        <w:t>,</w:t>
      </w:r>
      <w:r w:rsidR="00674B03" w:rsidRPr="009E4F39">
        <w:rPr>
          <w:rFonts w:ascii="Book Antiqua" w:hAnsi="Book Antiqua"/>
          <w:color w:val="000000"/>
        </w:rPr>
        <w:t xml:space="preserve"> the report of Professor </w:t>
      </w:r>
      <w:r w:rsidR="009E4F39" w:rsidRPr="009E4F39">
        <w:rPr>
          <w:rFonts w:ascii="Book Antiqua" w:hAnsi="Book Antiqua"/>
          <w:color w:val="000000"/>
        </w:rPr>
        <w:t>French</w:t>
      </w:r>
      <w:r w:rsidR="006551C7">
        <w:rPr>
          <w:rFonts w:ascii="Book Antiqua" w:hAnsi="Book Antiqua"/>
          <w:color w:val="000000"/>
        </w:rPr>
        <w:t>. The judge further erred however in failing</w:t>
      </w:r>
      <w:r w:rsidR="00674B03" w:rsidRPr="009E4F39">
        <w:rPr>
          <w:rFonts w:ascii="Book Antiqua" w:hAnsi="Book Antiqua"/>
          <w:color w:val="000000"/>
        </w:rPr>
        <w:t xml:space="preserve"> to address the expert evidence and provide sufficient reasons as to why that evidence, which was not specific to the </w:t>
      </w:r>
      <w:r w:rsidR="00674B03" w:rsidRPr="009E4F39">
        <w:rPr>
          <w:rFonts w:ascii="Book Antiqua" w:hAnsi="Book Antiqua"/>
          <w:color w:val="000000"/>
        </w:rPr>
        <w:lastRenderedPageBreak/>
        <w:t>claimant, was sufficient</w:t>
      </w:r>
      <w:r w:rsidR="006551C7">
        <w:rPr>
          <w:rFonts w:ascii="Book Antiqua" w:hAnsi="Book Antiqua"/>
          <w:color w:val="000000"/>
        </w:rPr>
        <w:t xml:space="preserve"> inter alia</w:t>
      </w:r>
      <w:r w:rsidR="00674B03" w:rsidRPr="009E4F39">
        <w:rPr>
          <w:rFonts w:ascii="Book Antiqua" w:hAnsi="Book Antiqua"/>
          <w:color w:val="000000"/>
        </w:rPr>
        <w:t xml:space="preserve"> to discharge the legal burden in this case. The very brief reference to the report at [27] does not discharge that duty</w:t>
      </w:r>
      <w:r w:rsidR="00783E0B" w:rsidRPr="009E4F39">
        <w:rPr>
          <w:rFonts w:ascii="Book Antiqua" w:hAnsi="Book Antiqua"/>
          <w:color w:val="000000"/>
        </w:rPr>
        <w:t xml:space="preserve">. </w:t>
      </w:r>
      <w:r w:rsidR="00674B03" w:rsidRPr="009E4F39">
        <w:rPr>
          <w:rFonts w:ascii="Book Antiqua" w:hAnsi="Book Antiqua"/>
          <w:color w:val="000000"/>
        </w:rPr>
        <w:t xml:space="preserve"> </w:t>
      </w:r>
    </w:p>
    <w:p w14:paraId="575007B6" w14:textId="77777777" w:rsidR="00674B03" w:rsidRPr="009E4F39" w:rsidRDefault="00674B03" w:rsidP="00647AB3">
      <w:pPr>
        <w:jc w:val="both"/>
        <w:rPr>
          <w:rFonts w:ascii="Book Antiqua" w:hAnsi="Book Antiqua" w:cs="Arial"/>
          <w:color w:val="0B0C0C"/>
        </w:rPr>
      </w:pPr>
    </w:p>
    <w:p w14:paraId="3444C0B0" w14:textId="77777777" w:rsidR="00620C54" w:rsidRDefault="00620C54" w:rsidP="00620C54">
      <w:pPr>
        <w:ind w:left="567" w:hanging="567"/>
        <w:jc w:val="both"/>
        <w:rPr>
          <w:rFonts w:ascii="Book Antiqua" w:hAnsi="Book Antiqua" w:cs="Arial"/>
          <w:color w:val="0B0C0C"/>
        </w:rPr>
      </w:pPr>
      <w:r>
        <w:rPr>
          <w:rFonts w:ascii="Book Antiqua" w:hAnsi="Book Antiqua" w:cs="Arial"/>
          <w:color w:val="0B0C0C"/>
        </w:rPr>
        <w:t>27.</w:t>
      </w:r>
      <w:r>
        <w:rPr>
          <w:rFonts w:ascii="Book Antiqua" w:hAnsi="Book Antiqua" w:cs="Arial"/>
          <w:color w:val="0B0C0C"/>
        </w:rPr>
        <w:tab/>
      </w:r>
      <w:r w:rsidR="00783E0B" w:rsidRPr="009E4F39">
        <w:rPr>
          <w:rFonts w:ascii="Book Antiqua" w:hAnsi="Book Antiqua" w:cs="Arial"/>
          <w:color w:val="0B0C0C"/>
        </w:rPr>
        <w:t>These errors in my view reinforce my conclusion t</w:t>
      </w:r>
      <w:r w:rsidR="006551C7">
        <w:rPr>
          <w:rFonts w:ascii="Book Antiqua" w:hAnsi="Book Antiqua" w:cs="Arial"/>
          <w:color w:val="0B0C0C"/>
        </w:rPr>
        <w:t xml:space="preserve">hat the appropriate </w:t>
      </w:r>
      <w:r w:rsidR="00783E0B" w:rsidRPr="009E4F39">
        <w:rPr>
          <w:rFonts w:ascii="Book Antiqua" w:hAnsi="Book Antiqua" w:cs="Arial"/>
          <w:color w:val="0B0C0C"/>
        </w:rPr>
        <w:t>course</w:t>
      </w:r>
      <w:r w:rsidR="006551C7">
        <w:rPr>
          <w:rFonts w:ascii="Book Antiqua" w:hAnsi="Book Antiqua" w:cs="Arial"/>
          <w:color w:val="0B0C0C"/>
        </w:rPr>
        <w:t>,</w:t>
      </w:r>
      <w:r w:rsidR="00783E0B" w:rsidRPr="009E4F39">
        <w:rPr>
          <w:rFonts w:ascii="Book Antiqua" w:hAnsi="Book Antiqua" w:cs="Arial"/>
          <w:color w:val="0B0C0C"/>
        </w:rPr>
        <w:t xml:space="preserve"> given the gravity of the consequences in deception cases</w:t>
      </w:r>
      <w:r w:rsidR="006551C7">
        <w:rPr>
          <w:rFonts w:ascii="Book Antiqua" w:hAnsi="Book Antiqua" w:cs="Arial"/>
          <w:color w:val="0B0C0C"/>
        </w:rPr>
        <w:t>,</w:t>
      </w:r>
      <w:r w:rsidR="00783E0B" w:rsidRPr="009E4F39">
        <w:rPr>
          <w:rFonts w:ascii="Book Antiqua" w:hAnsi="Book Antiqua" w:cs="Arial"/>
          <w:color w:val="0B0C0C"/>
        </w:rPr>
        <w:t xml:space="preserve"> that no findings should be </w:t>
      </w:r>
      <w:r w:rsidR="006551C7">
        <w:rPr>
          <w:rFonts w:ascii="Book Antiqua" w:hAnsi="Book Antiqua" w:cs="Arial"/>
          <w:color w:val="0B0C0C"/>
        </w:rPr>
        <w:t>preserved.</w:t>
      </w:r>
      <w:r w:rsidR="00783E0B" w:rsidRPr="009E4F39">
        <w:rPr>
          <w:rFonts w:ascii="Book Antiqua" w:hAnsi="Book Antiqua" w:cs="Arial"/>
          <w:color w:val="0B0C0C"/>
        </w:rPr>
        <w:t xml:space="preserve"> </w:t>
      </w:r>
    </w:p>
    <w:p w14:paraId="4CA0E52C" w14:textId="77777777" w:rsidR="00620C54" w:rsidRDefault="00620C54" w:rsidP="00620C54">
      <w:pPr>
        <w:ind w:left="567" w:hanging="567"/>
        <w:jc w:val="both"/>
        <w:rPr>
          <w:rFonts w:ascii="Book Antiqua" w:hAnsi="Book Antiqua" w:cs="Arial"/>
          <w:color w:val="0B0C0C"/>
        </w:rPr>
      </w:pPr>
    </w:p>
    <w:p w14:paraId="53849C87" w14:textId="77777777" w:rsidR="006E6D0F" w:rsidRPr="00620C54" w:rsidRDefault="00620C54" w:rsidP="00620C54">
      <w:pPr>
        <w:ind w:left="567" w:hanging="567"/>
        <w:jc w:val="both"/>
        <w:rPr>
          <w:rFonts w:ascii="Book Antiqua" w:hAnsi="Book Antiqua" w:cs="Arial"/>
          <w:color w:val="0B0C0C"/>
        </w:rPr>
      </w:pPr>
      <w:r>
        <w:rPr>
          <w:rFonts w:ascii="Book Antiqua" w:hAnsi="Book Antiqua" w:cs="Arial"/>
          <w:color w:val="0B0C0C"/>
        </w:rPr>
        <w:t>28.</w:t>
      </w:r>
      <w:r>
        <w:rPr>
          <w:rFonts w:ascii="Book Antiqua" w:hAnsi="Book Antiqua" w:cs="Arial"/>
          <w:color w:val="0B0C0C"/>
        </w:rPr>
        <w:tab/>
      </w:r>
      <w:r w:rsidR="006E6D0F" w:rsidRPr="009E4F39">
        <w:rPr>
          <w:rFonts w:ascii="Book Antiqua" w:hAnsi="Book Antiqua" w:cs="Arial"/>
          <w:color w:val="0B0C0C"/>
        </w:rPr>
        <w:t>I therefore find that the First-tier Tribunal erred in law</w:t>
      </w:r>
      <w:r w:rsidR="00897A3D">
        <w:rPr>
          <w:rFonts w:ascii="Book Antiqua" w:hAnsi="Book Antiqua" w:cs="Arial"/>
          <w:color w:val="0B0C0C"/>
        </w:rPr>
        <w:t>. I</w:t>
      </w:r>
      <w:r w:rsidR="006E6D0F" w:rsidRPr="009E4F39">
        <w:rPr>
          <w:rFonts w:ascii="Book Antiqua" w:hAnsi="Book Antiqua" w:cs="Arial"/>
          <w:color w:val="0B0C0C"/>
        </w:rPr>
        <w:t xml:space="preserve"> remit the case to the Fi</w:t>
      </w:r>
      <w:r w:rsidR="00783E0B" w:rsidRPr="009E4F39">
        <w:rPr>
          <w:rFonts w:ascii="Book Antiqua" w:hAnsi="Book Antiqua" w:cs="Arial"/>
          <w:color w:val="0B0C0C"/>
        </w:rPr>
        <w:t>rst-tier Tribunal for a re</w:t>
      </w:r>
      <w:r w:rsidR="006E6D0F" w:rsidRPr="009E4F39">
        <w:rPr>
          <w:rFonts w:ascii="Book Antiqua" w:hAnsi="Book Antiqua" w:cs="Arial"/>
          <w:color w:val="0B0C0C"/>
        </w:rPr>
        <w:t>hearing</w:t>
      </w:r>
      <w:r w:rsidR="00783E0B" w:rsidRPr="009E4F39">
        <w:rPr>
          <w:rFonts w:ascii="Book Antiqua" w:hAnsi="Book Antiqua" w:cs="Arial"/>
          <w:color w:val="0B0C0C"/>
        </w:rPr>
        <w:t xml:space="preserve"> on all issues</w:t>
      </w:r>
      <w:r w:rsidR="006551C7">
        <w:rPr>
          <w:rFonts w:ascii="Book Antiqua" w:hAnsi="Book Antiqua" w:cs="Arial"/>
          <w:color w:val="0B0C0C"/>
        </w:rPr>
        <w:t xml:space="preserve"> by a different judge</w:t>
      </w:r>
      <w:r w:rsidR="006E6D0F" w:rsidRPr="009E4F39">
        <w:rPr>
          <w:rFonts w:ascii="Book Antiqua" w:hAnsi="Book Antiqua" w:cs="Arial"/>
          <w:color w:val="0B0C0C"/>
        </w:rPr>
        <w:t xml:space="preserve"> in accordance with paragraph 7.2 of the Practice Statements for the Immigration and Asylum Chamber of the Upper Tribunal pursuant to s.12(2)(b)(</w:t>
      </w:r>
      <w:proofErr w:type="spellStart"/>
      <w:r w:rsidR="006E6D0F" w:rsidRPr="009E4F39">
        <w:rPr>
          <w:rFonts w:ascii="Book Antiqua" w:hAnsi="Book Antiqua" w:cs="Arial"/>
          <w:color w:val="0B0C0C"/>
        </w:rPr>
        <w:t>i</w:t>
      </w:r>
      <w:proofErr w:type="spellEnd"/>
      <w:r w:rsidR="006E6D0F" w:rsidRPr="009E4F39">
        <w:rPr>
          <w:rFonts w:ascii="Book Antiqua" w:hAnsi="Book Antiqua" w:cs="Arial"/>
          <w:color w:val="0B0C0C"/>
        </w:rPr>
        <w:t>) of the Tribunals, Courts and Enforcement Act 2007.</w:t>
      </w:r>
      <w:r w:rsidR="00783E0B" w:rsidRPr="009E4F39">
        <w:rPr>
          <w:rFonts w:ascii="Book Antiqua" w:hAnsi="Book Antiqua" w:cs="Arial"/>
          <w:color w:val="0B0C0C"/>
        </w:rPr>
        <w:t xml:space="preserve"> To be clear, i</w:t>
      </w:r>
      <w:r w:rsidR="006E6D0F" w:rsidRPr="009E4F39">
        <w:rPr>
          <w:rFonts w:ascii="Book Antiqua" w:hAnsi="Book Antiqua" w:cs="Arial"/>
          <w:color w:val="0B0C0C"/>
        </w:rPr>
        <w:t>n the particular circumstances of this case</w:t>
      </w:r>
      <w:r w:rsidR="006551C7">
        <w:rPr>
          <w:rFonts w:ascii="Book Antiqua" w:hAnsi="Book Antiqua" w:cs="Arial"/>
          <w:color w:val="0B0C0C"/>
        </w:rPr>
        <w:t>,</w:t>
      </w:r>
      <w:r w:rsidR="006E6D0F" w:rsidRPr="009E4F39">
        <w:rPr>
          <w:rFonts w:ascii="Book Antiqua" w:hAnsi="Book Antiqua" w:cs="Arial"/>
          <w:color w:val="0B0C0C"/>
        </w:rPr>
        <w:t xml:space="preserve"> none of the findings of </w:t>
      </w:r>
      <w:r w:rsidR="00783E0B" w:rsidRPr="009E4F39">
        <w:rPr>
          <w:rFonts w:ascii="Book Antiqua" w:hAnsi="Book Antiqua" w:cs="Arial"/>
          <w:color w:val="0B0C0C"/>
        </w:rPr>
        <w:t xml:space="preserve">First-tier Tribunal Judge </w:t>
      </w:r>
      <w:proofErr w:type="spellStart"/>
      <w:r w:rsidR="00783E0B" w:rsidRPr="009E4F39">
        <w:rPr>
          <w:rFonts w:ascii="Book Antiqua" w:hAnsi="Book Antiqua" w:cs="Arial"/>
          <w:color w:val="0B0C0C"/>
        </w:rPr>
        <w:t>Obhi</w:t>
      </w:r>
      <w:proofErr w:type="spellEnd"/>
      <w:r w:rsidR="006551C7">
        <w:rPr>
          <w:rFonts w:ascii="Book Antiqua" w:hAnsi="Book Antiqua" w:cs="Arial"/>
          <w:color w:val="0B0C0C"/>
        </w:rPr>
        <w:t xml:space="preserve"> are</w:t>
      </w:r>
      <w:r w:rsidR="006E6D0F" w:rsidRPr="009E4F39">
        <w:rPr>
          <w:rFonts w:ascii="Book Antiqua" w:hAnsi="Book Antiqua" w:cs="Arial"/>
          <w:color w:val="0B0C0C"/>
        </w:rPr>
        <w:t xml:space="preserve"> preserved.</w:t>
      </w:r>
    </w:p>
    <w:p w14:paraId="61DB195B" w14:textId="77777777" w:rsidR="00724E39" w:rsidRDefault="00724E39" w:rsidP="00647AB3">
      <w:pPr>
        <w:jc w:val="both"/>
        <w:rPr>
          <w:rFonts w:ascii="Book Antiqua" w:hAnsi="Book Antiqua" w:cs="Arial"/>
          <w:color w:val="0B0C0C"/>
        </w:rPr>
      </w:pPr>
    </w:p>
    <w:p w14:paraId="140CC937" w14:textId="77777777" w:rsidR="00724E39" w:rsidRDefault="00724E39" w:rsidP="00647AB3">
      <w:pPr>
        <w:jc w:val="both"/>
        <w:rPr>
          <w:rFonts w:ascii="Book Antiqua" w:hAnsi="Book Antiqua" w:cs="Arial"/>
          <w:color w:val="0B0C0C"/>
        </w:rPr>
      </w:pPr>
    </w:p>
    <w:p w14:paraId="0C3976F8" w14:textId="19A618A9" w:rsidR="000354AC" w:rsidRPr="009E4F39" w:rsidRDefault="000354AC" w:rsidP="00647AB3">
      <w:pPr>
        <w:jc w:val="both"/>
        <w:rPr>
          <w:rFonts w:ascii="Book Antiqua" w:hAnsi="Book Antiqua"/>
        </w:rPr>
      </w:pPr>
      <w:r w:rsidRPr="009E4F39">
        <w:rPr>
          <w:rFonts w:ascii="Book Antiqua" w:hAnsi="Book Antiqua"/>
        </w:rPr>
        <w:t xml:space="preserve">Signed: </w:t>
      </w:r>
    </w:p>
    <w:p w14:paraId="6DB1DBD7" w14:textId="77777777" w:rsidR="00724E39" w:rsidRDefault="00724E39" w:rsidP="00647AB3">
      <w:pPr>
        <w:jc w:val="both"/>
        <w:rPr>
          <w:rFonts w:ascii="Book Antiqua" w:hAnsi="Book Antiqua"/>
        </w:rPr>
      </w:pPr>
    </w:p>
    <w:p w14:paraId="07B6CC1C" w14:textId="1B322493" w:rsidR="000354AC" w:rsidRPr="009E4F39" w:rsidRDefault="00A64095" w:rsidP="00647AB3">
      <w:pPr>
        <w:jc w:val="both"/>
        <w:rPr>
          <w:rFonts w:ascii="Book Antiqua" w:hAnsi="Book Antiqua" w:cs="Arial"/>
        </w:rPr>
      </w:pPr>
      <w:r w:rsidRPr="009E4F39">
        <w:rPr>
          <w:rFonts w:ascii="Book Antiqua" w:hAnsi="Book Antiqua"/>
        </w:rPr>
        <w:t xml:space="preserve">Deputy Upper Tribunal Judge </w:t>
      </w:r>
      <w:proofErr w:type="spellStart"/>
      <w:r w:rsidRPr="009E4F39">
        <w:rPr>
          <w:rFonts w:ascii="Book Antiqua" w:hAnsi="Book Antiqua"/>
        </w:rPr>
        <w:t>Bagral</w:t>
      </w:r>
      <w:proofErr w:type="spellEnd"/>
      <w:r w:rsidR="000354AC" w:rsidRPr="009E4F39">
        <w:rPr>
          <w:rFonts w:ascii="Book Antiqua" w:hAnsi="Book Antiqua"/>
        </w:rPr>
        <w:t xml:space="preserve">                  </w:t>
      </w:r>
      <w:r w:rsidR="00783E0B" w:rsidRPr="009E4F39">
        <w:rPr>
          <w:rFonts w:ascii="Book Antiqua" w:hAnsi="Book Antiqua"/>
        </w:rPr>
        <w:t xml:space="preserve">                         Date 13 June 2018</w:t>
      </w:r>
    </w:p>
    <w:p w14:paraId="0AC105C6" w14:textId="77777777" w:rsidR="000354AC" w:rsidRPr="009E4F39" w:rsidRDefault="000354AC" w:rsidP="00647AB3">
      <w:pPr>
        <w:jc w:val="both"/>
        <w:rPr>
          <w:rFonts w:ascii="Book Antiqua" w:hAnsi="Book Antiqua" w:cs="Arial"/>
        </w:rPr>
      </w:pPr>
    </w:p>
    <w:p w14:paraId="2A0727DE" w14:textId="77777777" w:rsidR="000354AC" w:rsidRPr="009E4F39" w:rsidRDefault="000354AC" w:rsidP="00647AB3">
      <w:pPr>
        <w:jc w:val="both"/>
        <w:rPr>
          <w:rFonts w:ascii="Book Antiqua" w:hAnsi="Book Antiqua" w:cs="Arial"/>
        </w:rPr>
      </w:pPr>
    </w:p>
    <w:p w14:paraId="6F912632" w14:textId="77777777" w:rsidR="000354AC" w:rsidRPr="009E4F39" w:rsidRDefault="000354AC" w:rsidP="00647AB3">
      <w:pPr>
        <w:jc w:val="both"/>
        <w:rPr>
          <w:rFonts w:ascii="Book Antiqua" w:hAnsi="Book Antiqua"/>
        </w:rPr>
      </w:pPr>
    </w:p>
    <w:p w14:paraId="2E732EFF" w14:textId="77777777" w:rsidR="002B5C2A" w:rsidRPr="009E4F39" w:rsidRDefault="002B5C2A" w:rsidP="00647AB3">
      <w:pPr>
        <w:jc w:val="both"/>
        <w:rPr>
          <w:rFonts w:ascii="Book Antiqua" w:hAnsi="Book Antiqua"/>
        </w:rPr>
      </w:pPr>
    </w:p>
    <w:sectPr w:rsidR="002B5C2A" w:rsidRPr="009E4F39" w:rsidSect="000354AC">
      <w:headerReference w:type="default" r:id="rId8"/>
      <w:footerReference w:type="default" r:id="rId9"/>
      <w:headerReference w:type="first" r:id="rId10"/>
      <w:footerReference w:type="first" r:id="rId11"/>
      <w:pgSz w:w="11906" w:h="16838"/>
      <w:pgMar w:top="5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A6992" w14:textId="77777777" w:rsidR="00C7673D" w:rsidRDefault="00C7673D">
      <w:r>
        <w:separator/>
      </w:r>
    </w:p>
  </w:endnote>
  <w:endnote w:type="continuationSeparator" w:id="0">
    <w:p w14:paraId="5AA50DCB" w14:textId="77777777" w:rsidR="00C7673D" w:rsidRDefault="00C7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80EA" w14:textId="27B1F89A" w:rsidR="000354AC" w:rsidRPr="00616DB0" w:rsidRDefault="000354AC" w:rsidP="000354AC">
    <w:pPr>
      <w:pStyle w:val="Footer"/>
      <w:jc w:val="center"/>
      <w:rPr>
        <w:rFonts w:ascii="Book Antiqua" w:hAnsi="Book Antiqua" w:cs="Arial"/>
      </w:rPr>
    </w:pPr>
    <w:r w:rsidRPr="00616DB0">
      <w:rPr>
        <w:rStyle w:val="PageNumber"/>
        <w:rFonts w:ascii="Book Antiqua" w:hAnsi="Book Antiqua" w:cs="Arial"/>
      </w:rPr>
      <w:fldChar w:fldCharType="begin"/>
    </w:r>
    <w:r w:rsidRPr="00616DB0">
      <w:rPr>
        <w:rStyle w:val="PageNumber"/>
        <w:rFonts w:ascii="Book Antiqua" w:hAnsi="Book Antiqua" w:cs="Arial"/>
      </w:rPr>
      <w:instrText xml:space="preserve"> PAGE </w:instrText>
    </w:r>
    <w:r w:rsidRPr="00616DB0">
      <w:rPr>
        <w:rStyle w:val="PageNumber"/>
        <w:rFonts w:ascii="Book Antiqua" w:hAnsi="Book Antiqua" w:cs="Arial"/>
      </w:rPr>
      <w:fldChar w:fldCharType="separate"/>
    </w:r>
    <w:r w:rsidR="001221F9">
      <w:rPr>
        <w:rStyle w:val="PageNumber"/>
        <w:rFonts w:ascii="Book Antiqua" w:hAnsi="Book Antiqua" w:cs="Arial"/>
        <w:noProof/>
      </w:rPr>
      <w:t>2</w:t>
    </w:r>
    <w:r w:rsidRPr="00616DB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0E37E" w14:textId="77777777" w:rsidR="000354AC" w:rsidRPr="00F5664C" w:rsidRDefault="000354AC" w:rsidP="000354AC">
    <w:pPr>
      <w:jc w:val="center"/>
      <w:rPr>
        <w:rFonts w:ascii="Book Antiqua" w:hAnsi="Book Antiqua" w:cs="Arial"/>
        <w:b/>
      </w:rPr>
    </w:pPr>
    <w:r w:rsidRPr="00F5664C">
      <w:rPr>
        <w:rFonts w:ascii="Book Antiqua" w:hAnsi="Book Antiqua" w:cs="Arial"/>
        <w:b/>
        <w:spacing w:val="-6"/>
      </w:rPr>
      <w:t>©</w:t>
    </w:r>
    <w:r w:rsidR="00EA60B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CC3D9" w14:textId="77777777" w:rsidR="00C7673D" w:rsidRDefault="00C7673D">
      <w:r>
        <w:separator/>
      </w:r>
    </w:p>
  </w:footnote>
  <w:footnote w:type="continuationSeparator" w:id="0">
    <w:p w14:paraId="7A1D1412" w14:textId="77777777" w:rsidR="00C7673D" w:rsidRDefault="00C76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7A50" w14:textId="77777777" w:rsidR="000354AC" w:rsidRDefault="000354AC" w:rsidP="000354AC">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w:t>
    </w:r>
    <w:r w:rsidR="00EA60B7">
      <w:rPr>
        <w:rFonts w:ascii="Book Antiqua" w:hAnsi="Book Antiqua" w:cs="Arial"/>
        <w:sz w:val="16"/>
        <w:szCs w:val="16"/>
      </w:rPr>
      <w:t>20043</w:t>
    </w:r>
    <w:r>
      <w:rPr>
        <w:rFonts w:ascii="Book Antiqua" w:hAnsi="Book Antiqua" w:cs="Arial"/>
        <w:sz w:val="16"/>
        <w:szCs w:val="16"/>
      </w:rPr>
      <w:t>/</w:t>
    </w:r>
    <w:r w:rsidR="00EA60B7">
      <w:rPr>
        <w:rFonts w:ascii="Book Antiqua" w:hAnsi="Book Antiqua" w:cs="Arial"/>
        <w:sz w:val="16"/>
        <w:szCs w:val="16"/>
      </w:rPr>
      <w:t>2016</w:t>
    </w:r>
  </w:p>
  <w:p w14:paraId="41251F89" w14:textId="77777777" w:rsidR="000354AC" w:rsidRPr="00A974CB" w:rsidRDefault="000354AC" w:rsidP="000354AC">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7B2A" w14:textId="77777777" w:rsidR="000354AC" w:rsidRPr="00F5664C" w:rsidRDefault="000354A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AC"/>
    <w:rsid w:val="00033D33"/>
    <w:rsid w:val="000354AC"/>
    <w:rsid w:val="0004152A"/>
    <w:rsid w:val="00046379"/>
    <w:rsid w:val="000500E3"/>
    <w:rsid w:val="000526FC"/>
    <w:rsid w:val="000B4EA3"/>
    <w:rsid w:val="000C036D"/>
    <w:rsid w:val="000D2941"/>
    <w:rsid w:val="00115D94"/>
    <w:rsid w:val="001221F9"/>
    <w:rsid w:val="00124B42"/>
    <w:rsid w:val="00132F6C"/>
    <w:rsid w:val="001501C3"/>
    <w:rsid w:val="001611B2"/>
    <w:rsid w:val="0019134F"/>
    <w:rsid w:val="001A171F"/>
    <w:rsid w:val="001B2746"/>
    <w:rsid w:val="001B35ED"/>
    <w:rsid w:val="001F0BA5"/>
    <w:rsid w:val="001F12E0"/>
    <w:rsid w:val="002067A8"/>
    <w:rsid w:val="0021288F"/>
    <w:rsid w:val="00212AD5"/>
    <w:rsid w:val="00234C3C"/>
    <w:rsid w:val="002420A0"/>
    <w:rsid w:val="0024618F"/>
    <w:rsid w:val="002859F2"/>
    <w:rsid w:val="002A5CFB"/>
    <w:rsid w:val="002B5C2A"/>
    <w:rsid w:val="002B7336"/>
    <w:rsid w:val="0037015C"/>
    <w:rsid w:val="003736F9"/>
    <w:rsid w:val="00385CA4"/>
    <w:rsid w:val="003B0930"/>
    <w:rsid w:val="003B6A32"/>
    <w:rsid w:val="003C2C1B"/>
    <w:rsid w:val="003E6BCA"/>
    <w:rsid w:val="003F54D6"/>
    <w:rsid w:val="00423B96"/>
    <w:rsid w:val="00443884"/>
    <w:rsid w:val="00445DC3"/>
    <w:rsid w:val="00457FFE"/>
    <w:rsid w:val="00461DAA"/>
    <w:rsid w:val="00474772"/>
    <w:rsid w:val="004916DC"/>
    <w:rsid w:val="004D1652"/>
    <w:rsid w:val="004E3803"/>
    <w:rsid w:val="0050445E"/>
    <w:rsid w:val="00513304"/>
    <w:rsid w:val="005231F1"/>
    <w:rsid w:val="005257EA"/>
    <w:rsid w:val="00567381"/>
    <w:rsid w:val="00580327"/>
    <w:rsid w:val="0058295E"/>
    <w:rsid w:val="005B0710"/>
    <w:rsid w:val="005B12B6"/>
    <w:rsid w:val="005B73CF"/>
    <w:rsid w:val="005B7446"/>
    <w:rsid w:val="005D1098"/>
    <w:rsid w:val="005D2C4D"/>
    <w:rsid w:val="005D53E2"/>
    <w:rsid w:val="005E790C"/>
    <w:rsid w:val="005F57E9"/>
    <w:rsid w:val="00602F73"/>
    <w:rsid w:val="00620C54"/>
    <w:rsid w:val="006244EA"/>
    <w:rsid w:val="00647AB3"/>
    <w:rsid w:val="00651180"/>
    <w:rsid w:val="006551C7"/>
    <w:rsid w:val="00674B03"/>
    <w:rsid w:val="00685696"/>
    <w:rsid w:val="006B2F7E"/>
    <w:rsid w:val="006C2A21"/>
    <w:rsid w:val="006C33EA"/>
    <w:rsid w:val="006E6D0F"/>
    <w:rsid w:val="006F0B64"/>
    <w:rsid w:val="00724E39"/>
    <w:rsid w:val="007359DA"/>
    <w:rsid w:val="00760561"/>
    <w:rsid w:val="00783E0B"/>
    <w:rsid w:val="007C4F10"/>
    <w:rsid w:val="007C7DCF"/>
    <w:rsid w:val="007F4614"/>
    <w:rsid w:val="0080153B"/>
    <w:rsid w:val="00802E5D"/>
    <w:rsid w:val="008311CE"/>
    <w:rsid w:val="00885ACA"/>
    <w:rsid w:val="00890F22"/>
    <w:rsid w:val="008914D3"/>
    <w:rsid w:val="00897A3D"/>
    <w:rsid w:val="008B48C4"/>
    <w:rsid w:val="008C4666"/>
    <w:rsid w:val="009506F7"/>
    <w:rsid w:val="009A099A"/>
    <w:rsid w:val="009A4963"/>
    <w:rsid w:val="009B1BDD"/>
    <w:rsid w:val="009B4FC2"/>
    <w:rsid w:val="009B6D41"/>
    <w:rsid w:val="009C2633"/>
    <w:rsid w:val="009D7711"/>
    <w:rsid w:val="009E4F39"/>
    <w:rsid w:val="009E62CD"/>
    <w:rsid w:val="00A32704"/>
    <w:rsid w:val="00A34333"/>
    <w:rsid w:val="00A346B4"/>
    <w:rsid w:val="00A45097"/>
    <w:rsid w:val="00A64095"/>
    <w:rsid w:val="00A815D4"/>
    <w:rsid w:val="00AF14FB"/>
    <w:rsid w:val="00B13D8D"/>
    <w:rsid w:val="00B51039"/>
    <w:rsid w:val="00B75888"/>
    <w:rsid w:val="00B84E3E"/>
    <w:rsid w:val="00BB0436"/>
    <w:rsid w:val="00BB4870"/>
    <w:rsid w:val="00BC31AD"/>
    <w:rsid w:val="00BD2B0B"/>
    <w:rsid w:val="00BD60DD"/>
    <w:rsid w:val="00BE1EEE"/>
    <w:rsid w:val="00BE280D"/>
    <w:rsid w:val="00C24357"/>
    <w:rsid w:val="00C27674"/>
    <w:rsid w:val="00C567F5"/>
    <w:rsid w:val="00C6039F"/>
    <w:rsid w:val="00C71189"/>
    <w:rsid w:val="00C7673D"/>
    <w:rsid w:val="00C930A1"/>
    <w:rsid w:val="00CB418A"/>
    <w:rsid w:val="00CD1C4F"/>
    <w:rsid w:val="00CD2BF5"/>
    <w:rsid w:val="00D338E3"/>
    <w:rsid w:val="00D918C0"/>
    <w:rsid w:val="00DA161E"/>
    <w:rsid w:val="00DA27A1"/>
    <w:rsid w:val="00DA4D59"/>
    <w:rsid w:val="00DB669D"/>
    <w:rsid w:val="00E0044D"/>
    <w:rsid w:val="00E247AA"/>
    <w:rsid w:val="00E66C1D"/>
    <w:rsid w:val="00E92241"/>
    <w:rsid w:val="00EA1B4A"/>
    <w:rsid w:val="00EA1CC7"/>
    <w:rsid w:val="00EA60B7"/>
    <w:rsid w:val="00EA613C"/>
    <w:rsid w:val="00EC7B52"/>
    <w:rsid w:val="00ED59D6"/>
    <w:rsid w:val="00EE0F44"/>
    <w:rsid w:val="00EF3DEE"/>
    <w:rsid w:val="00EF592D"/>
    <w:rsid w:val="00EF7F61"/>
    <w:rsid w:val="00F03E07"/>
    <w:rsid w:val="00F104A8"/>
    <w:rsid w:val="00F12359"/>
    <w:rsid w:val="00F362ED"/>
    <w:rsid w:val="00F41A98"/>
    <w:rsid w:val="00F833D4"/>
    <w:rsid w:val="00F864CF"/>
    <w:rsid w:val="00FF212C"/>
    <w:rsid w:val="00FF4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32A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4AC"/>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54AC"/>
    <w:pPr>
      <w:tabs>
        <w:tab w:val="center" w:pos="4153"/>
        <w:tab w:val="right" w:pos="8306"/>
      </w:tabs>
    </w:pPr>
  </w:style>
  <w:style w:type="character" w:customStyle="1" w:styleId="HeaderChar">
    <w:name w:val="Header Char"/>
    <w:link w:val="Header"/>
    <w:rsid w:val="000354AC"/>
    <w:rPr>
      <w:rFonts w:ascii="Times New Roman" w:eastAsia="Times New Roman" w:hAnsi="Times New Roman" w:cs="Times New Roman"/>
      <w:sz w:val="24"/>
      <w:szCs w:val="24"/>
      <w:lang w:eastAsia="en-GB"/>
    </w:rPr>
  </w:style>
  <w:style w:type="paragraph" w:styleId="Footer">
    <w:name w:val="footer"/>
    <w:basedOn w:val="Normal"/>
    <w:link w:val="FooterChar"/>
    <w:rsid w:val="000354AC"/>
    <w:pPr>
      <w:tabs>
        <w:tab w:val="center" w:pos="4153"/>
        <w:tab w:val="right" w:pos="8306"/>
      </w:tabs>
    </w:pPr>
  </w:style>
  <w:style w:type="character" w:customStyle="1" w:styleId="FooterChar">
    <w:name w:val="Footer Char"/>
    <w:link w:val="Footer"/>
    <w:rsid w:val="000354AC"/>
    <w:rPr>
      <w:rFonts w:ascii="Times New Roman" w:eastAsia="Times New Roman" w:hAnsi="Times New Roman" w:cs="Times New Roman"/>
      <w:sz w:val="24"/>
      <w:szCs w:val="24"/>
      <w:lang w:eastAsia="en-GB"/>
    </w:rPr>
  </w:style>
  <w:style w:type="character" w:styleId="PageNumber">
    <w:name w:val="page number"/>
    <w:rsid w:val="000354AC"/>
  </w:style>
  <w:style w:type="character" w:styleId="Hyperlink">
    <w:name w:val="Hyperlink"/>
    <w:uiPriority w:val="99"/>
    <w:unhideWhenUsed/>
    <w:rsid w:val="0024618F"/>
    <w:rPr>
      <w:color w:val="0000FF"/>
      <w:u w:val="single"/>
    </w:rPr>
  </w:style>
  <w:style w:type="character" w:styleId="UnresolvedMention">
    <w:name w:val="Unresolved Mention"/>
    <w:uiPriority w:val="99"/>
    <w:semiHidden/>
    <w:unhideWhenUsed/>
    <w:rsid w:val="006244EA"/>
    <w:rPr>
      <w:color w:val="808080"/>
      <w:shd w:val="clear" w:color="auto" w:fill="E6E6E6"/>
    </w:rPr>
  </w:style>
  <w:style w:type="paragraph" w:styleId="BalloonText">
    <w:name w:val="Balloon Text"/>
    <w:basedOn w:val="Normal"/>
    <w:link w:val="BalloonTextChar"/>
    <w:uiPriority w:val="99"/>
    <w:semiHidden/>
    <w:unhideWhenUsed/>
    <w:rsid w:val="00A346B4"/>
    <w:rPr>
      <w:rFonts w:ascii="Segoe UI" w:hAnsi="Segoe UI" w:cs="Segoe UI"/>
      <w:sz w:val="18"/>
      <w:szCs w:val="18"/>
    </w:rPr>
  </w:style>
  <w:style w:type="character" w:customStyle="1" w:styleId="BalloonTextChar">
    <w:name w:val="Balloon Text Char"/>
    <w:link w:val="BalloonText"/>
    <w:uiPriority w:val="99"/>
    <w:semiHidden/>
    <w:rsid w:val="00A346B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448">
      <w:bodyDiv w:val="1"/>
      <w:marLeft w:val="0"/>
      <w:marRight w:val="0"/>
      <w:marTop w:val="0"/>
      <w:marBottom w:val="0"/>
      <w:divBdr>
        <w:top w:val="none" w:sz="0" w:space="0" w:color="auto"/>
        <w:left w:val="none" w:sz="0" w:space="0" w:color="auto"/>
        <w:bottom w:val="none" w:sz="0" w:space="0" w:color="auto"/>
        <w:right w:val="none" w:sz="0" w:space="0" w:color="auto"/>
      </w:divBdr>
    </w:div>
    <w:div w:id="3670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2288</Words>
  <Characters>13042</Characters>
  <Application>Microsoft Office Word</Application>
  <DocSecurity>0</DocSecurity>
  <Lines>108</Lines>
  <Paragraphs>30</Paragraphs>
  <ScaleCrop>false</ScaleCrop>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2018-08-10T13:26:00Z</dcterms:created>
  <dcterms:modified xsi:type="dcterms:W3CDTF">2018-08-10T13:26:00Z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