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A182" w14:textId="653122AA" w:rsidR="008A6059" w:rsidRPr="009B7433" w:rsidRDefault="0031063C" w:rsidP="008A6059">
      <w:pPr>
        <w:jc w:val="center"/>
        <w:rPr>
          <w:rFonts w:ascii="Book Antiqua" w:hAnsi="Book Antiqua" w:cs="Arial"/>
          <w:caps/>
          <w:color w:val="000000"/>
          <w:sz w:val="16"/>
          <w:szCs w:val="16"/>
        </w:rPr>
      </w:pPr>
      <w:r>
        <w:rPr>
          <w:noProof/>
        </w:rPr>
        <w:drawing>
          <wp:inline distT="0" distB="0" distL="0" distR="0" wp14:anchorId="1AD9ADF6" wp14:editId="750AA038">
            <wp:extent cx="1191600" cy="103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3200"/>
                    </a:xfrm>
                    <a:prstGeom prst="rect">
                      <a:avLst/>
                    </a:prstGeom>
                    <a:noFill/>
                    <a:ln>
                      <a:noFill/>
                    </a:ln>
                  </pic:spPr>
                </pic:pic>
              </a:graphicData>
            </a:graphic>
          </wp:inline>
        </w:drawing>
      </w:r>
    </w:p>
    <w:p w14:paraId="0E46BD8F"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AE2C76D" w14:textId="167FFF02" w:rsidR="007B0824" w:rsidRPr="00A17597" w:rsidRDefault="008A6059" w:rsidP="00780F86">
      <w:pPr>
        <w:tabs>
          <w:tab w:val="right" w:pos="9720"/>
        </w:tabs>
        <w:ind w:right="-82"/>
        <w:rPr>
          <w:rFonts w:ascii="Book Antiqua" w:hAnsi="Book Antiqua" w:cs="Arial"/>
          <w:b/>
          <w:caps/>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17597">
        <w:rPr>
          <w:rFonts w:ascii="Book Antiqua" w:hAnsi="Book Antiqua" w:cs="Arial"/>
          <w:b/>
          <w:color w:val="000000"/>
        </w:rPr>
        <w:t xml:space="preserve">   </w:t>
      </w:r>
      <w:proofErr w:type="gramEnd"/>
      <w:r w:rsidR="00A17597">
        <w:rPr>
          <w:rFonts w:ascii="Book Antiqua" w:hAnsi="Book Antiqua" w:cs="Arial"/>
          <w:b/>
          <w:color w:val="000000"/>
        </w:rPr>
        <w:t xml:space="preserve">                   </w:t>
      </w:r>
      <w:r w:rsidR="00420968" w:rsidRPr="00A17597">
        <w:rPr>
          <w:rFonts w:ascii="Book Antiqua" w:hAnsi="Book Antiqua" w:cs="Arial"/>
          <w:b/>
        </w:rPr>
        <w:t xml:space="preserve">Appeal Number: </w:t>
      </w:r>
      <w:r w:rsidR="00222274" w:rsidRPr="00A17597">
        <w:rPr>
          <w:rFonts w:ascii="Book Antiqua" w:hAnsi="Book Antiqua" w:cs="Arial"/>
          <w:b/>
          <w:caps/>
        </w:rPr>
        <w:t>HU/20293/2016</w:t>
      </w:r>
    </w:p>
    <w:p w14:paraId="79098E70" w14:textId="77777777" w:rsidR="00C345E1" w:rsidRPr="009B7433" w:rsidRDefault="00C345E1" w:rsidP="00C345E1">
      <w:pPr>
        <w:jc w:val="center"/>
        <w:rPr>
          <w:rFonts w:ascii="Book Antiqua" w:hAnsi="Book Antiqua" w:cs="Arial"/>
          <w:color w:val="000000"/>
        </w:rPr>
      </w:pPr>
    </w:p>
    <w:p w14:paraId="6AAACFB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F5E3D6C"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420968" w:rsidRPr="000363C4" w14:paraId="74E03D7C" w14:textId="77777777" w:rsidTr="00A17597">
        <w:tc>
          <w:tcPr>
            <w:tcW w:w="5245" w:type="dxa"/>
            <w:shd w:val="clear" w:color="auto" w:fill="auto"/>
          </w:tcPr>
          <w:p w14:paraId="7D6710CD"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110E53">
              <w:rPr>
                <w:rFonts w:ascii="Book Antiqua" w:hAnsi="Book Antiqua" w:cs="Arial"/>
                <w:b/>
              </w:rPr>
              <w:t xml:space="preserve">Field House </w:t>
            </w:r>
          </w:p>
        </w:tc>
        <w:tc>
          <w:tcPr>
            <w:tcW w:w="4763" w:type="dxa"/>
            <w:shd w:val="clear" w:color="auto" w:fill="auto"/>
          </w:tcPr>
          <w:p w14:paraId="75FC8DFE"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7E1B244C" w14:textId="77777777" w:rsidTr="00A17597">
        <w:tc>
          <w:tcPr>
            <w:tcW w:w="5245" w:type="dxa"/>
            <w:shd w:val="clear" w:color="auto" w:fill="auto"/>
          </w:tcPr>
          <w:p w14:paraId="59A3B3C2"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110E53">
              <w:rPr>
                <w:rFonts w:ascii="Book Antiqua" w:hAnsi="Book Antiqua" w:cs="Arial"/>
                <w:b/>
              </w:rPr>
              <w:t xml:space="preserve">5 June 2018 </w:t>
            </w:r>
          </w:p>
        </w:tc>
        <w:tc>
          <w:tcPr>
            <w:tcW w:w="4763" w:type="dxa"/>
            <w:shd w:val="clear" w:color="auto" w:fill="auto"/>
          </w:tcPr>
          <w:p w14:paraId="78340119" w14:textId="77777777" w:rsidR="00420968" w:rsidRPr="000363C4" w:rsidRDefault="003905A8" w:rsidP="000363C4">
            <w:pPr>
              <w:jc w:val="both"/>
              <w:rPr>
                <w:rFonts w:ascii="Book Antiqua" w:hAnsi="Book Antiqua" w:cs="Arial"/>
                <w:b/>
              </w:rPr>
            </w:pPr>
            <w:r>
              <w:rPr>
                <w:rFonts w:ascii="Book Antiqua" w:hAnsi="Book Antiqua" w:cs="Arial"/>
                <w:b/>
              </w:rPr>
              <w:t>On 14 June 2018</w:t>
            </w:r>
          </w:p>
        </w:tc>
      </w:tr>
      <w:tr w:rsidR="00D22636" w:rsidRPr="000363C4" w14:paraId="746E0A72" w14:textId="77777777" w:rsidTr="00A17597">
        <w:tc>
          <w:tcPr>
            <w:tcW w:w="5245" w:type="dxa"/>
            <w:shd w:val="clear" w:color="auto" w:fill="auto"/>
          </w:tcPr>
          <w:p w14:paraId="724C8080" w14:textId="77777777" w:rsidR="00D22636" w:rsidRPr="000363C4" w:rsidRDefault="00D22636" w:rsidP="000363C4">
            <w:pPr>
              <w:jc w:val="both"/>
              <w:rPr>
                <w:rFonts w:ascii="Book Antiqua" w:hAnsi="Book Antiqua" w:cs="Arial"/>
                <w:b/>
              </w:rPr>
            </w:pPr>
          </w:p>
        </w:tc>
        <w:tc>
          <w:tcPr>
            <w:tcW w:w="4763" w:type="dxa"/>
            <w:shd w:val="clear" w:color="auto" w:fill="auto"/>
          </w:tcPr>
          <w:p w14:paraId="7BEAA94E" w14:textId="77777777" w:rsidR="00D22636" w:rsidRPr="000363C4" w:rsidRDefault="00D22636" w:rsidP="000363C4">
            <w:pPr>
              <w:jc w:val="both"/>
              <w:rPr>
                <w:rFonts w:ascii="Book Antiqua" w:hAnsi="Book Antiqua" w:cs="Arial"/>
                <w:b/>
              </w:rPr>
            </w:pPr>
          </w:p>
        </w:tc>
      </w:tr>
    </w:tbl>
    <w:p w14:paraId="3C93B405" w14:textId="77777777" w:rsidR="00A15234" w:rsidRPr="009B7433" w:rsidRDefault="00A15234" w:rsidP="00E4627B">
      <w:pPr>
        <w:rPr>
          <w:rFonts w:ascii="Book Antiqua" w:hAnsi="Book Antiqua" w:cs="Arial"/>
        </w:rPr>
      </w:pPr>
    </w:p>
    <w:p w14:paraId="096E005B"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5C10630C" w14:textId="77777777" w:rsidR="00A15234" w:rsidRPr="009B7433" w:rsidRDefault="00A15234" w:rsidP="00A15234">
      <w:pPr>
        <w:jc w:val="center"/>
        <w:rPr>
          <w:rFonts w:ascii="Book Antiqua" w:hAnsi="Book Antiqua" w:cs="Arial"/>
          <w:b/>
        </w:rPr>
      </w:pPr>
    </w:p>
    <w:p w14:paraId="7BB4A1D7"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4BCD4623" w14:textId="77777777" w:rsidR="00D20757" w:rsidRPr="009B7433" w:rsidRDefault="00D20757" w:rsidP="00A15234">
      <w:pPr>
        <w:jc w:val="center"/>
        <w:rPr>
          <w:rFonts w:ascii="Book Antiqua" w:hAnsi="Book Antiqua" w:cs="Arial"/>
          <w:b/>
        </w:rPr>
      </w:pPr>
    </w:p>
    <w:p w14:paraId="1D08922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6CDC5336" w14:textId="77777777" w:rsidR="00A845DC" w:rsidRPr="009B7433" w:rsidRDefault="00A845DC" w:rsidP="00A15234">
      <w:pPr>
        <w:jc w:val="center"/>
        <w:rPr>
          <w:rFonts w:ascii="Book Antiqua" w:hAnsi="Book Antiqua" w:cs="Arial"/>
          <w:b/>
        </w:rPr>
      </w:pPr>
    </w:p>
    <w:p w14:paraId="5B71256B" w14:textId="77777777" w:rsidR="000239E1" w:rsidRPr="00110E53" w:rsidRDefault="00110E53" w:rsidP="000239E1">
      <w:pPr>
        <w:jc w:val="center"/>
        <w:rPr>
          <w:rFonts w:ascii="Book Antiqua" w:hAnsi="Book Antiqua" w:cs="Arial"/>
          <w:b/>
          <w:caps/>
        </w:rPr>
      </w:pPr>
      <w:r>
        <w:rPr>
          <w:rFonts w:ascii="Book Antiqua" w:hAnsi="Book Antiqua" w:cs="Arial"/>
          <w:b/>
          <w:caps/>
        </w:rPr>
        <w:t xml:space="preserve">mr </w:t>
      </w:r>
      <w:r w:rsidRPr="00110E53">
        <w:rPr>
          <w:rFonts w:ascii="Book Antiqua" w:hAnsi="Book Antiqua" w:cs="Arial"/>
          <w:b/>
          <w:caps/>
        </w:rPr>
        <w:t>A F M Mahmudul</w:t>
      </w:r>
      <w:r>
        <w:rPr>
          <w:rFonts w:ascii="Book Antiqua" w:hAnsi="Book Antiqua" w:cs="Arial"/>
          <w:b/>
          <w:caps/>
        </w:rPr>
        <w:t xml:space="preserve"> hasan</w:t>
      </w:r>
    </w:p>
    <w:p w14:paraId="1EB55BCE" w14:textId="77777777" w:rsidR="000239E1" w:rsidRPr="00A17597" w:rsidRDefault="000239E1" w:rsidP="000239E1">
      <w:pPr>
        <w:jc w:val="center"/>
        <w:rPr>
          <w:rFonts w:ascii="Book Antiqua" w:hAnsi="Book Antiqua" w:cs="Arial"/>
          <w:caps/>
        </w:rPr>
      </w:pPr>
      <w:r w:rsidRPr="00A17597">
        <w:rPr>
          <w:rFonts w:ascii="Book Antiqua" w:hAnsi="Book Antiqua" w:cs="Arial"/>
          <w:caps/>
        </w:rPr>
        <w:t xml:space="preserve">(anonymity direction </w:t>
      </w:r>
      <w:r w:rsidR="00110E53" w:rsidRPr="00A17597">
        <w:rPr>
          <w:rFonts w:ascii="Book Antiqua" w:hAnsi="Book Antiqua" w:cs="Arial"/>
          <w:caps/>
        </w:rPr>
        <w:t>not made</w:t>
      </w:r>
      <w:r w:rsidRPr="00A17597">
        <w:rPr>
          <w:rFonts w:ascii="Book Antiqua" w:hAnsi="Book Antiqua" w:cs="Arial"/>
          <w:caps/>
        </w:rPr>
        <w:t>)</w:t>
      </w:r>
    </w:p>
    <w:p w14:paraId="2E8FB0D3"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14D9BCD5" w14:textId="77777777" w:rsidR="00A17597" w:rsidRDefault="00A17597" w:rsidP="00704B61">
      <w:pPr>
        <w:jc w:val="center"/>
        <w:rPr>
          <w:rFonts w:ascii="Book Antiqua" w:hAnsi="Book Antiqua" w:cs="Arial"/>
          <w:b/>
        </w:rPr>
      </w:pPr>
    </w:p>
    <w:p w14:paraId="597F50F6" w14:textId="5D2FFBBF" w:rsidR="00704B61" w:rsidRPr="009B7433" w:rsidRDefault="00DD5071" w:rsidP="00704B61">
      <w:pPr>
        <w:jc w:val="center"/>
        <w:rPr>
          <w:rFonts w:ascii="Book Antiqua" w:hAnsi="Book Antiqua" w:cs="Arial"/>
          <w:b/>
        </w:rPr>
      </w:pPr>
      <w:r w:rsidRPr="009B7433">
        <w:rPr>
          <w:rFonts w:ascii="Book Antiqua" w:hAnsi="Book Antiqua" w:cs="Arial"/>
          <w:b/>
        </w:rPr>
        <w:t>and</w:t>
      </w:r>
    </w:p>
    <w:p w14:paraId="0451E40F" w14:textId="77777777" w:rsidR="00DD5071" w:rsidRPr="009B7433" w:rsidRDefault="00DD5071" w:rsidP="00704B61">
      <w:pPr>
        <w:jc w:val="center"/>
        <w:rPr>
          <w:rFonts w:ascii="Book Antiqua" w:hAnsi="Book Antiqua" w:cs="Arial"/>
          <w:b/>
        </w:rPr>
      </w:pPr>
    </w:p>
    <w:p w14:paraId="54A6BC22" w14:textId="77777777" w:rsidR="00DD5071" w:rsidRPr="009B7433" w:rsidRDefault="00CA3482"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71DB25B3"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7F422907" w14:textId="77777777" w:rsidR="00DD5071" w:rsidRPr="009B7433" w:rsidRDefault="00DD5071" w:rsidP="00DD5071">
      <w:pPr>
        <w:rPr>
          <w:rFonts w:ascii="Book Antiqua" w:hAnsi="Book Antiqua" w:cs="Arial"/>
          <w:u w:val="single"/>
        </w:rPr>
      </w:pPr>
    </w:p>
    <w:p w14:paraId="282CEC0D"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E6887F6" w14:textId="77777777" w:rsidR="000239E1" w:rsidRPr="00F5664C" w:rsidRDefault="000239E1" w:rsidP="000239E1">
      <w:pPr>
        <w:rPr>
          <w:rFonts w:ascii="Book Antiqua" w:hAnsi="Book Antiqua" w:cs="Arial"/>
        </w:rPr>
      </w:pPr>
    </w:p>
    <w:p w14:paraId="6B34CF04"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10E53">
        <w:rPr>
          <w:rFonts w:ascii="Book Antiqua" w:hAnsi="Book Antiqua" w:cs="Arial"/>
        </w:rPr>
        <w:t xml:space="preserve">Miss R </w:t>
      </w:r>
      <w:proofErr w:type="spellStart"/>
      <w:r w:rsidR="00110E53">
        <w:rPr>
          <w:rFonts w:ascii="Book Antiqua" w:hAnsi="Book Antiqua" w:cs="Arial"/>
        </w:rPr>
        <w:t>Popal</w:t>
      </w:r>
      <w:proofErr w:type="spellEnd"/>
      <w:r w:rsidR="00110E53">
        <w:rPr>
          <w:rFonts w:ascii="Book Antiqua" w:hAnsi="Book Antiqua" w:cs="Arial"/>
        </w:rPr>
        <w:t xml:space="preserve">, Counsel instructed by J </w:t>
      </w:r>
      <w:proofErr w:type="spellStart"/>
      <w:r w:rsidR="00110E53">
        <w:rPr>
          <w:rFonts w:ascii="Book Antiqua" w:hAnsi="Book Antiqua" w:cs="Arial"/>
        </w:rPr>
        <w:t>Stifford</w:t>
      </w:r>
      <w:proofErr w:type="spellEnd"/>
      <w:r w:rsidR="00110E53">
        <w:rPr>
          <w:rFonts w:ascii="Book Antiqua" w:hAnsi="Book Antiqua" w:cs="Arial"/>
        </w:rPr>
        <w:t xml:space="preserve"> Law Solicitors </w:t>
      </w:r>
    </w:p>
    <w:p w14:paraId="63F6C6CF"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10E53">
        <w:rPr>
          <w:rFonts w:ascii="Book Antiqua" w:hAnsi="Book Antiqua" w:cs="Arial"/>
        </w:rPr>
        <w:t xml:space="preserve">Mr N Bramble, Senior Home Office Presenting Officer </w:t>
      </w:r>
    </w:p>
    <w:p w14:paraId="0D35E4DE" w14:textId="77777777" w:rsidR="00D05375" w:rsidRPr="00F5664C" w:rsidRDefault="00D05375" w:rsidP="00D05375">
      <w:pPr>
        <w:tabs>
          <w:tab w:val="left" w:pos="2520"/>
        </w:tabs>
        <w:rPr>
          <w:rFonts w:ascii="Book Antiqua" w:hAnsi="Book Antiqua" w:cs="Arial"/>
        </w:rPr>
      </w:pPr>
    </w:p>
    <w:p w14:paraId="6799E12D"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156074F6" w14:textId="77777777" w:rsidR="00D05375" w:rsidRDefault="00D05375" w:rsidP="00D05375">
      <w:pPr>
        <w:tabs>
          <w:tab w:val="left" w:pos="2520"/>
        </w:tabs>
        <w:jc w:val="both"/>
        <w:rPr>
          <w:rFonts w:ascii="Book Antiqua" w:hAnsi="Book Antiqua" w:cs="Arial"/>
        </w:rPr>
      </w:pPr>
    </w:p>
    <w:p w14:paraId="3073AD47" w14:textId="77777777" w:rsidR="00110E53" w:rsidRPr="00BD1748" w:rsidRDefault="00110E53" w:rsidP="00BD1748">
      <w:pPr>
        <w:spacing w:before="240"/>
        <w:jc w:val="both"/>
        <w:rPr>
          <w:rFonts w:ascii="Book Antiqua" w:hAnsi="Book Antiqua" w:cs="Arial"/>
          <w:b/>
          <w:u w:val="single"/>
        </w:rPr>
      </w:pPr>
      <w:r w:rsidRPr="00BD1748">
        <w:rPr>
          <w:rFonts w:ascii="Book Antiqua" w:hAnsi="Book Antiqua" w:cs="Arial"/>
          <w:b/>
          <w:u w:val="single"/>
        </w:rPr>
        <w:t>Background</w:t>
      </w:r>
    </w:p>
    <w:p w14:paraId="60CB4133" w14:textId="77777777" w:rsidR="000239E1" w:rsidRDefault="00110E53"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w:t>
      </w:r>
      <w:r w:rsidR="00BD1748">
        <w:rPr>
          <w:rFonts w:ascii="Book Antiqua" w:hAnsi="Book Antiqua" w:cs="Arial"/>
        </w:rPr>
        <w:t xml:space="preserve">is a citizen of </w:t>
      </w:r>
      <w:smartTag w:uri="urn:schemas-microsoft-com:office:smarttags" w:element="country-region">
        <w:smartTag w:uri="urn:schemas-microsoft-com:office:smarttags" w:element="place">
          <w:r w:rsidR="00BD1748">
            <w:rPr>
              <w:rFonts w:ascii="Book Antiqua" w:hAnsi="Book Antiqua" w:cs="Arial"/>
            </w:rPr>
            <w:t>Bangladesh</w:t>
          </w:r>
        </w:smartTag>
      </w:smartTag>
      <w:r w:rsidR="00BD1748">
        <w:rPr>
          <w:rFonts w:ascii="Book Antiqua" w:hAnsi="Book Antiqua" w:cs="Arial"/>
        </w:rPr>
        <w:t xml:space="preserve"> who appealed to the First-tier Tribunal against a decision of the respondent dated 11 August 2016 to refuse his application for indefinite leave to remain </w:t>
      </w:r>
      <w:proofErr w:type="gramStart"/>
      <w:r w:rsidR="00BD1748">
        <w:rPr>
          <w:rFonts w:ascii="Book Antiqua" w:hAnsi="Book Antiqua" w:cs="Arial"/>
        </w:rPr>
        <w:t xml:space="preserve">on the </w:t>
      </w:r>
      <w:r w:rsidR="00E00DF4">
        <w:rPr>
          <w:rFonts w:ascii="Book Antiqua" w:hAnsi="Book Antiqua" w:cs="Arial"/>
        </w:rPr>
        <w:t>basis</w:t>
      </w:r>
      <w:r w:rsidR="00BD1748">
        <w:rPr>
          <w:rFonts w:ascii="Book Antiqua" w:hAnsi="Book Antiqua" w:cs="Arial"/>
        </w:rPr>
        <w:t xml:space="preserve"> of</w:t>
      </w:r>
      <w:proofErr w:type="gramEnd"/>
      <w:r w:rsidR="00BD1748">
        <w:rPr>
          <w:rFonts w:ascii="Book Antiqua" w:hAnsi="Book Antiqua" w:cs="Arial"/>
        </w:rPr>
        <w:t xml:space="preserve"> ten years’ </w:t>
      </w:r>
      <w:r w:rsidR="00E00DF4">
        <w:rPr>
          <w:rFonts w:ascii="Book Antiqua" w:hAnsi="Book Antiqua" w:cs="Arial"/>
        </w:rPr>
        <w:t>lawful</w:t>
      </w:r>
      <w:r w:rsidR="00BD1748">
        <w:rPr>
          <w:rFonts w:ascii="Book Antiqua" w:hAnsi="Book Antiqua" w:cs="Arial"/>
        </w:rPr>
        <w:t xml:space="preserve"> residence.  The application was </w:t>
      </w:r>
      <w:r w:rsidR="00752ED0">
        <w:rPr>
          <w:rFonts w:ascii="Book Antiqua" w:hAnsi="Book Antiqua" w:cs="Arial"/>
        </w:rPr>
        <w:t>refused</w:t>
      </w:r>
      <w:r w:rsidR="00BD1748">
        <w:rPr>
          <w:rFonts w:ascii="Book Antiqua" w:hAnsi="Book Antiqua" w:cs="Arial"/>
        </w:rPr>
        <w:t xml:space="preserve"> under paragraphs 322(5) and 276B of the Immigration Rules.  In a decision promulgated on 13 November 2017, Judge of the First-tier Tribunal R L Walker dismissed the appellant’s appeal on human rights grounds.</w:t>
      </w:r>
    </w:p>
    <w:p w14:paraId="70913B82" w14:textId="77777777" w:rsidR="00BD1748" w:rsidRDefault="00BD1748"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 appeals with permission on the grounds that:</w:t>
      </w:r>
    </w:p>
    <w:p w14:paraId="0EA4DF58" w14:textId="77777777" w:rsidR="00BD1748" w:rsidRDefault="00BD1748" w:rsidP="00880CD8">
      <w:pPr>
        <w:numPr>
          <w:ilvl w:val="1"/>
          <w:numId w:val="3"/>
        </w:numPr>
        <w:spacing w:before="240"/>
        <w:jc w:val="both"/>
        <w:rPr>
          <w:rFonts w:ascii="Book Antiqua" w:hAnsi="Book Antiqua" w:cs="Arial"/>
        </w:rPr>
      </w:pPr>
      <w:r>
        <w:rPr>
          <w:rFonts w:ascii="Book Antiqua" w:hAnsi="Book Antiqua" w:cs="Arial"/>
        </w:rPr>
        <w:lastRenderedPageBreak/>
        <w:t xml:space="preserve">the judge had </w:t>
      </w:r>
      <w:r w:rsidR="00E00DF4">
        <w:rPr>
          <w:rFonts w:ascii="Book Antiqua" w:hAnsi="Book Antiqua" w:cs="Arial"/>
        </w:rPr>
        <w:t>insufficient</w:t>
      </w:r>
      <w:r w:rsidR="00752ED0">
        <w:rPr>
          <w:rFonts w:ascii="Book Antiqua" w:hAnsi="Book Antiqua" w:cs="Arial"/>
        </w:rPr>
        <w:t xml:space="preserve"> evidence, following</w:t>
      </w:r>
      <w:r>
        <w:rPr>
          <w:rFonts w:ascii="Book Antiqua" w:hAnsi="Book Antiqua" w:cs="Arial"/>
        </w:rPr>
        <w:t xml:space="preserve"> the test laid out in </w:t>
      </w:r>
      <w:r w:rsidRPr="00880CD8">
        <w:rPr>
          <w:rFonts w:ascii="Book Antiqua" w:hAnsi="Book Antiqua" w:cs="Arial"/>
          <w:b/>
          <w:u w:val="single"/>
        </w:rPr>
        <w:t xml:space="preserve">Secretary of State for the Home Department v </w:t>
      </w:r>
      <w:r w:rsidR="006D0A54">
        <w:rPr>
          <w:rFonts w:ascii="Book Antiqua" w:hAnsi="Book Antiqua" w:cs="Arial"/>
          <w:b/>
          <w:u w:val="single"/>
        </w:rPr>
        <w:t>Shehzad</w:t>
      </w:r>
      <w:r w:rsidRPr="00880CD8">
        <w:rPr>
          <w:rFonts w:ascii="Book Antiqua" w:hAnsi="Book Antiqua" w:cs="Arial"/>
          <w:b/>
          <w:u w:val="single"/>
        </w:rPr>
        <w:t xml:space="preserve"> and Chowd</w:t>
      </w:r>
      <w:r w:rsidR="00E31D92" w:rsidRPr="00880CD8">
        <w:rPr>
          <w:rFonts w:ascii="Book Antiqua" w:hAnsi="Book Antiqua" w:cs="Arial"/>
          <w:b/>
          <w:u w:val="single"/>
        </w:rPr>
        <w:t>h</w:t>
      </w:r>
      <w:r w:rsidRPr="00880CD8">
        <w:rPr>
          <w:rFonts w:ascii="Book Antiqua" w:hAnsi="Book Antiqua" w:cs="Arial"/>
          <w:b/>
          <w:u w:val="single"/>
        </w:rPr>
        <w:t>ury</w:t>
      </w:r>
      <w:r w:rsidRPr="00880CD8">
        <w:rPr>
          <w:rFonts w:ascii="Book Antiqua" w:hAnsi="Book Antiqua" w:cs="Arial"/>
          <w:b/>
        </w:rPr>
        <w:t xml:space="preserve"> [2016]</w:t>
      </w:r>
      <w:r w:rsidR="00880CD8" w:rsidRPr="00880CD8">
        <w:rPr>
          <w:rFonts w:ascii="Book Antiqua" w:hAnsi="Book Antiqua" w:cs="Arial"/>
          <w:b/>
        </w:rPr>
        <w:t xml:space="preserve">  EWCA </w:t>
      </w:r>
      <w:proofErr w:type="spellStart"/>
      <w:r w:rsidR="00880CD8" w:rsidRPr="00880CD8">
        <w:rPr>
          <w:rFonts w:ascii="Book Antiqua" w:hAnsi="Book Antiqua" w:cs="Arial"/>
          <w:b/>
        </w:rPr>
        <w:t>Civ</w:t>
      </w:r>
      <w:proofErr w:type="spellEnd"/>
      <w:r w:rsidR="00880CD8" w:rsidRPr="00880CD8">
        <w:rPr>
          <w:rFonts w:ascii="Book Antiqua" w:hAnsi="Book Antiqua" w:cs="Arial"/>
          <w:b/>
        </w:rPr>
        <w:t xml:space="preserve"> 615</w:t>
      </w:r>
      <w:r>
        <w:rPr>
          <w:rFonts w:ascii="Book Antiqua" w:hAnsi="Book Antiqua" w:cs="Arial"/>
        </w:rPr>
        <w:t xml:space="preserve">, to demonstrate that the </w:t>
      </w:r>
      <w:r w:rsidR="00880CD8">
        <w:rPr>
          <w:rFonts w:ascii="Book Antiqua" w:hAnsi="Book Antiqua" w:cs="Arial"/>
        </w:rPr>
        <w:t>test results were invalid given that the respondent’s case was at best very questionable;</w:t>
      </w:r>
    </w:p>
    <w:p w14:paraId="6618E2D9" w14:textId="77777777" w:rsidR="00880CD8" w:rsidRDefault="00752ED0" w:rsidP="00BD1748">
      <w:pPr>
        <w:numPr>
          <w:ilvl w:val="1"/>
          <w:numId w:val="3"/>
        </w:numPr>
        <w:spacing w:before="240"/>
        <w:jc w:val="both"/>
        <w:rPr>
          <w:rFonts w:ascii="Book Antiqua" w:hAnsi="Book Antiqua" w:cs="Arial"/>
        </w:rPr>
      </w:pPr>
      <w:r>
        <w:rPr>
          <w:rFonts w:ascii="Book Antiqua" w:hAnsi="Book Antiqua" w:cs="Arial"/>
        </w:rPr>
        <w:t>misapplication of the t</w:t>
      </w:r>
      <w:r w:rsidR="00880CD8">
        <w:rPr>
          <w:rFonts w:ascii="Book Antiqua" w:hAnsi="Book Antiqua" w:cs="Arial"/>
        </w:rPr>
        <w:t xml:space="preserve">est in </w:t>
      </w:r>
      <w:r w:rsidR="006D0A54">
        <w:rPr>
          <w:rFonts w:ascii="Book Antiqua" w:hAnsi="Book Antiqua" w:cs="Arial"/>
          <w:b/>
          <w:u w:val="single"/>
        </w:rPr>
        <w:t>Shehzad</w:t>
      </w:r>
      <w:r w:rsidR="00880CD8">
        <w:rPr>
          <w:rFonts w:ascii="Book Antiqua" w:hAnsi="Book Antiqua" w:cs="Arial"/>
        </w:rPr>
        <w:t xml:space="preserve"> and </w:t>
      </w:r>
      <w:r w:rsidR="00880CD8" w:rsidRPr="00880CD8">
        <w:rPr>
          <w:rFonts w:ascii="Book Antiqua" w:hAnsi="Book Antiqua" w:cs="Arial"/>
          <w:b/>
          <w:u w:val="single"/>
        </w:rPr>
        <w:t xml:space="preserve">SM and </w:t>
      </w:r>
      <w:proofErr w:type="spellStart"/>
      <w:r w:rsidR="00880CD8" w:rsidRPr="00880CD8">
        <w:rPr>
          <w:rFonts w:ascii="Book Antiqua" w:hAnsi="Book Antiqua" w:cs="Arial"/>
          <w:b/>
          <w:u w:val="single"/>
        </w:rPr>
        <w:t>Qadir</w:t>
      </w:r>
      <w:proofErr w:type="spellEnd"/>
      <w:r w:rsidR="00880CD8" w:rsidRPr="00880CD8">
        <w:rPr>
          <w:rFonts w:ascii="Book Antiqua" w:hAnsi="Book Antiqua" w:cs="Arial"/>
          <w:b/>
        </w:rPr>
        <w:t xml:space="preserve"> (ETS – Evidence – Burden of Proof) [2016] UKUT 00229 (IAC)</w:t>
      </w:r>
      <w:r w:rsidR="00880CD8">
        <w:rPr>
          <w:rFonts w:ascii="Book Antiqua" w:hAnsi="Book Antiqua" w:cs="Arial"/>
        </w:rPr>
        <w:t>;</w:t>
      </w:r>
    </w:p>
    <w:p w14:paraId="63C37B4B" w14:textId="77777777" w:rsidR="00880CD8" w:rsidRDefault="00880CD8" w:rsidP="00BD1748">
      <w:pPr>
        <w:numPr>
          <w:ilvl w:val="1"/>
          <w:numId w:val="3"/>
        </w:numPr>
        <w:spacing w:before="240"/>
        <w:jc w:val="both"/>
        <w:rPr>
          <w:rFonts w:ascii="Book Antiqua" w:hAnsi="Book Antiqua" w:cs="Arial"/>
        </w:rPr>
      </w:pPr>
      <w:r>
        <w:rPr>
          <w:rFonts w:ascii="Book Antiqua" w:hAnsi="Book Antiqua" w:cs="Arial"/>
        </w:rPr>
        <w:t>internally inconsistent findings.</w:t>
      </w:r>
    </w:p>
    <w:p w14:paraId="5D5DCBA1" w14:textId="77777777" w:rsidR="00BD1748" w:rsidRDefault="00880CD8"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respondent in his Rule 24 response indicated that the appellant’s application was not opposed on the basis the judge failed to consider the appellant’s explanation and why this amounted to an innocent explanation and that the Tribunal was </w:t>
      </w:r>
      <w:r w:rsidR="00E00DF4">
        <w:rPr>
          <w:rFonts w:ascii="Book Antiqua" w:hAnsi="Book Antiqua" w:cs="Arial"/>
        </w:rPr>
        <w:t>invited</w:t>
      </w:r>
      <w:r>
        <w:rPr>
          <w:rFonts w:ascii="Book Antiqua" w:hAnsi="Book Antiqua" w:cs="Arial"/>
        </w:rPr>
        <w:t xml:space="preserve"> to determine the appeal with a fresh oral hearing.</w:t>
      </w:r>
    </w:p>
    <w:p w14:paraId="7259C217" w14:textId="77777777" w:rsidR="00880CD8" w:rsidRDefault="00880CD8"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Before me Mr Bramble and Ms </w:t>
      </w:r>
      <w:proofErr w:type="spellStart"/>
      <w:r>
        <w:rPr>
          <w:rFonts w:ascii="Book Antiqua" w:hAnsi="Book Antiqua" w:cs="Arial"/>
        </w:rPr>
        <w:t>Popal</w:t>
      </w:r>
      <w:proofErr w:type="spellEnd"/>
      <w:r>
        <w:rPr>
          <w:rFonts w:ascii="Book Antiqua" w:hAnsi="Book Antiqua" w:cs="Arial"/>
        </w:rPr>
        <w:t xml:space="preserve"> </w:t>
      </w:r>
      <w:r w:rsidR="00E00DF4">
        <w:rPr>
          <w:rFonts w:ascii="Book Antiqua" w:hAnsi="Book Antiqua" w:cs="Arial"/>
        </w:rPr>
        <w:t>agreed</w:t>
      </w:r>
      <w:r>
        <w:rPr>
          <w:rFonts w:ascii="Book Antiqua" w:hAnsi="Book Antiqua" w:cs="Arial"/>
        </w:rPr>
        <w:t xml:space="preserve"> that there was no need to hear oral evidence and Mr Bramble had no submissions to make other than the fact that the appellant’s evidence, </w:t>
      </w:r>
      <w:r w:rsidR="00E00DF4">
        <w:rPr>
          <w:rFonts w:ascii="Book Antiqua" w:hAnsi="Book Antiqua" w:cs="Arial"/>
        </w:rPr>
        <w:t>including</w:t>
      </w:r>
      <w:r>
        <w:rPr>
          <w:rFonts w:ascii="Book Antiqua" w:hAnsi="Book Antiqua" w:cs="Arial"/>
        </w:rPr>
        <w:t xml:space="preserve"> his witness statement and the documents submitted</w:t>
      </w:r>
      <w:r w:rsidR="003F7448">
        <w:rPr>
          <w:rFonts w:ascii="Book Antiqua" w:hAnsi="Book Antiqua" w:cs="Arial"/>
        </w:rPr>
        <w:t>,</w:t>
      </w:r>
      <w:r>
        <w:rPr>
          <w:rFonts w:ascii="Book Antiqua" w:hAnsi="Book Antiqua" w:cs="Arial"/>
        </w:rPr>
        <w:t xml:space="preserve"> demonstrated that he had a high level of English prior to the test which he was alleged </w:t>
      </w:r>
      <w:r w:rsidR="00752ED0">
        <w:rPr>
          <w:rFonts w:ascii="Book Antiqua" w:hAnsi="Book Antiqua" w:cs="Arial"/>
        </w:rPr>
        <w:t xml:space="preserve">not </w:t>
      </w:r>
      <w:r>
        <w:rPr>
          <w:rFonts w:ascii="Book Antiqua" w:hAnsi="Book Antiqua" w:cs="Arial"/>
        </w:rPr>
        <w:t>to have taken.  Although</w:t>
      </w:r>
      <w:r w:rsidR="00752ED0">
        <w:rPr>
          <w:rFonts w:ascii="Book Antiqua" w:hAnsi="Book Antiqua" w:cs="Arial"/>
        </w:rPr>
        <w:t>,</w:t>
      </w:r>
      <w:r>
        <w:rPr>
          <w:rFonts w:ascii="Book Antiqua" w:hAnsi="Book Antiqua" w:cs="Arial"/>
        </w:rPr>
        <w:t xml:space="preserve"> therefore</w:t>
      </w:r>
      <w:r w:rsidR="00752ED0">
        <w:rPr>
          <w:rFonts w:ascii="Book Antiqua" w:hAnsi="Book Antiqua" w:cs="Arial"/>
        </w:rPr>
        <w:t>,</w:t>
      </w:r>
      <w:r>
        <w:rPr>
          <w:rFonts w:ascii="Book Antiqua" w:hAnsi="Book Antiqua" w:cs="Arial"/>
        </w:rPr>
        <w:t xml:space="preserve"> Mr Bramble did not specifically concede the substantive appeal, it was evident that he was not opposing the appellant’s case with any force or enthusiasm.  </w:t>
      </w:r>
    </w:p>
    <w:p w14:paraId="7877EE0E" w14:textId="77777777" w:rsidR="00880CD8" w:rsidRPr="00880CD8" w:rsidRDefault="00880CD8" w:rsidP="00880CD8">
      <w:pPr>
        <w:spacing w:before="240"/>
        <w:jc w:val="both"/>
        <w:rPr>
          <w:rFonts w:ascii="Book Antiqua" w:hAnsi="Book Antiqua" w:cs="Arial"/>
          <w:b/>
          <w:u w:val="single"/>
        </w:rPr>
      </w:pPr>
      <w:r w:rsidRPr="00880CD8">
        <w:rPr>
          <w:rFonts w:ascii="Book Antiqua" w:hAnsi="Book Antiqua" w:cs="Arial"/>
          <w:b/>
          <w:u w:val="single"/>
        </w:rPr>
        <w:t xml:space="preserve">Remaking the Decision </w:t>
      </w:r>
    </w:p>
    <w:p w14:paraId="2BF4791C" w14:textId="77777777" w:rsidR="009C1539" w:rsidRDefault="009C1539" w:rsidP="000239E1">
      <w:pPr>
        <w:numPr>
          <w:ilvl w:val="0"/>
          <w:numId w:val="3"/>
        </w:numPr>
        <w:tabs>
          <w:tab w:val="clear" w:pos="567"/>
        </w:tabs>
        <w:spacing w:before="240"/>
        <w:jc w:val="both"/>
        <w:rPr>
          <w:rFonts w:ascii="Book Antiqua" w:hAnsi="Book Antiqua" w:cs="Arial"/>
        </w:rPr>
      </w:pPr>
      <w:r>
        <w:rPr>
          <w:rFonts w:ascii="Book Antiqua" w:hAnsi="Book Antiqua" w:cs="Arial"/>
        </w:rPr>
        <w:t>Paragraph 322(5) of the Immigration Rules, provides one of the grounds on which leave should normally be refused as follows:</w:t>
      </w:r>
    </w:p>
    <w:p w14:paraId="5CD701E9" w14:textId="77777777" w:rsidR="009C1539" w:rsidRDefault="009C1539" w:rsidP="009C1539">
      <w:pPr>
        <w:spacing w:before="240"/>
        <w:ind w:left="567"/>
        <w:jc w:val="both"/>
        <w:rPr>
          <w:rFonts w:ascii="Book Antiqua" w:hAnsi="Book Antiqua" w:cs="Arial"/>
        </w:rPr>
      </w:pPr>
      <w:r>
        <w:rPr>
          <w:rFonts w:ascii="Book Antiqua" w:hAnsi="Book Antiqua" w:cs="Arial"/>
        </w:rPr>
        <w:t>‘(5) the undesirability of permitting the person concerned to remain in the United Kingdom in the light of his conduct (including convictions which do not fall within paragraph 322 (1C)</w:t>
      </w:r>
      <w:r w:rsidR="004C7779">
        <w:rPr>
          <w:rFonts w:ascii="Book Antiqua" w:hAnsi="Book Antiqua" w:cs="Arial"/>
        </w:rPr>
        <w:t>)</w:t>
      </w:r>
      <w:r>
        <w:rPr>
          <w:rFonts w:ascii="Book Antiqua" w:hAnsi="Book Antiqua" w:cs="Arial"/>
        </w:rPr>
        <w:t>, character or associations or the fact that he represents a threat to national security;’</w:t>
      </w:r>
    </w:p>
    <w:p w14:paraId="3F712036" w14:textId="77777777" w:rsidR="00880CD8" w:rsidRDefault="004C7779" w:rsidP="000239E1">
      <w:pPr>
        <w:numPr>
          <w:ilvl w:val="0"/>
          <w:numId w:val="3"/>
        </w:numPr>
        <w:tabs>
          <w:tab w:val="clear" w:pos="567"/>
        </w:tabs>
        <w:spacing w:before="240"/>
        <w:jc w:val="both"/>
        <w:rPr>
          <w:rFonts w:ascii="Book Antiqua" w:hAnsi="Book Antiqua" w:cs="Arial"/>
        </w:rPr>
      </w:pPr>
      <w:r>
        <w:rPr>
          <w:rFonts w:ascii="Book Antiqua" w:hAnsi="Book Antiqua" w:cs="Arial"/>
        </w:rPr>
        <w:t>The conduct relied on but he respondent was that the appellant ‘purported to take a TOEIC speaking test which the respondent was satisfied was ‘fraudulently obtained’.  However, t</w:t>
      </w:r>
      <w:r w:rsidR="00FB098B">
        <w:rPr>
          <w:rFonts w:ascii="Book Antiqua" w:hAnsi="Book Antiqua" w:cs="Arial"/>
        </w:rPr>
        <w:t xml:space="preserve">he Judge of the First-tier Tribunal failed to adequately engage with the appellant’s individual circumstances including that his test was designated to be questionable rather than </w:t>
      </w:r>
      <w:r w:rsidR="00E00DF4">
        <w:rPr>
          <w:rFonts w:ascii="Book Antiqua" w:hAnsi="Book Antiqua" w:cs="Arial"/>
        </w:rPr>
        <w:t>invalid</w:t>
      </w:r>
      <w:r w:rsidR="00FB098B">
        <w:rPr>
          <w:rFonts w:ascii="Book Antiqua" w:hAnsi="Book Antiqua" w:cs="Arial"/>
        </w:rPr>
        <w:t xml:space="preserve">.  </w:t>
      </w:r>
    </w:p>
    <w:p w14:paraId="71ED85EA" w14:textId="77777777" w:rsidR="00752ED0" w:rsidRDefault="0052783A" w:rsidP="000239E1">
      <w:pPr>
        <w:numPr>
          <w:ilvl w:val="0"/>
          <w:numId w:val="3"/>
        </w:numPr>
        <w:tabs>
          <w:tab w:val="clear" w:pos="567"/>
        </w:tabs>
        <w:spacing w:before="240"/>
        <w:jc w:val="both"/>
        <w:rPr>
          <w:rFonts w:ascii="Book Antiqua" w:hAnsi="Book Antiqua" w:cs="Arial"/>
        </w:rPr>
      </w:pPr>
      <w:r>
        <w:rPr>
          <w:rFonts w:ascii="Book Antiqua" w:hAnsi="Book Antiqua" w:cs="Arial"/>
        </w:rPr>
        <w:t>The respondent in</w:t>
      </w:r>
      <w:r w:rsidR="00752ED0">
        <w:rPr>
          <w:rFonts w:ascii="Book Antiqua" w:hAnsi="Book Antiqua" w:cs="Arial"/>
        </w:rPr>
        <w:t xml:space="preserve"> the Reasons for Refusal Letter, </w:t>
      </w:r>
      <w:r>
        <w:rPr>
          <w:rFonts w:ascii="Book Antiqua" w:hAnsi="Book Antiqua" w:cs="Arial"/>
        </w:rPr>
        <w:t>dated 11 August 2016</w:t>
      </w:r>
      <w:r w:rsidR="00752ED0">
        <w:rPr>
          <w:rFonts w:ascii="Book Antiqua" w:hAnsi="Book Antiqua" w:cs="Arial"/>
        </w:rPr>
        <w:t>,</w:t>
      </w:r>
      <w:r>
        <w:rPr>
          <w:rFonts w:ascii="Book Antiqua" w:hAnsi="Book Antiqua" w:cs="Arial"/>
        </w:rPr>
        <w:t xml:space="preserve"> specifically conceded that the appellant had not relied on the disputed TOEIC certificate for the purposes of the </w:t>
      </w:r>
      <w:r w:rsidR="00752ED0">
        <w:rPr>
          <w:rFonts w:ascii="Book Antiqua" w:hAnsi="Book Antiqua" w:cs="Arial"/>
        </w:rPr>
        <w:t>application for leave to remain;</w:t>
      </w:r>
      <w:r>
        <w:rPr>
          <w:rFonts w:ascii="Book Antiqua" w:hAnsi="Book Antiqua" w:cs="Arial"/>
        </w:rPr>
        <w:t xml:space="preserve"> the respondent asserted that the appellant’s “complicity in the fraud” contributed to an extremely serious attack on the maintenance of effective immigration controls and the publi</w:t>
      </w:r>
      <w:r w:rsidR="00752ED0">
        <w:rPr>
          <w:rFonts w:ascii="Book Antiqua" w:hAnsi="Book Antiqua" w:cs="Arial"/>
        </w:rPr>
        <w:t xml:space="preserve">c interest generally.  </w:t>
      </w:r>
      <w:r w:rsidR="006D0A54">
        <w:rPr>
          <w:rFonts w:ascii="Book Antiqua" w:hAnsi="Book Antiqua" w:cs="Arial"/>
        </w:rPr>
        <w:t>It was submitted on behalf of the appellant that in order to commit such fraud the appellant must have made representations with a view to deceiving the Home Office and to gaining entry into the UK by m</w:t>
      </w:r>
      <w:r w:rsidR="00752ED0">
        <w:rPr>
          <w:rFonts w:ascii="Book Antiqua" w:hAnsi="Book Antiqua" w:cs="Arial"/>
        </w:rPr>
        <w:t>aking false representations.  I</w:t>
      </w:r>
      <w:r w:rsidR="006D0A54">
        <w:rPr>
          <w:rFonts w:ascii="Book Antiqua" w:hAnsi="Book Antiqua" w:cs="Arial"/>
        </w:rPr>
        <w:t>t is not disputed that the appellant did not rely on the certificate for th</w:t>
      </w:r>
      <w:r w:rsidR="00752ED0">
        <w:rPr>
          <w:rFonts w:ascii="Book Antiqua" w:hAnsi="Book Antiqua" w:cs="Arial"/>
        </w:rPr>
        <w:t xml:space="preserve">e purposes of his application. </w:t>
      </w:r>
    </w:p>
    <w:p w14:paraId="40375B18" w14:textId="77777777" w:rsidR="0052783A" w:rsidRDefault="006D0A54"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Although the statement of Ms Chandrika </w:t>
      </w:r>
      <w:proofErr w:type="spellStart"/>
      <w:r>
        <w:rPr>
          <w:rFonts w:ascii="Book Antiqua" w:hAnsi="Book Antiqua" w:cs="Arial"/>
        </w:rPr>
        <w:t>Mindelsohn</w:t>
      </w:r>
      <w:proofErr w:type="spellEnd"/>
      <w:r>
        <w:rPr>
          <w:rFonts w:ascii="Book Antiqua" w:hAnsi="Book Antiqua" w:cs="Arial"/>
        </w:rPr>
        <w:t xml:space="preserve"> which was before the First-tier Tribunal stated that the appellant relied upon the certificate for the purpose</w:t>
      </w:r>
      <w:r w:rsidR="00752ED0">
        <w:rPr>
          <w:rFonts w:ascii="Book Antiqua" w:hAnsi="Book Antiqua" w:cs="Arial"/>
        </w:rPr>
        <w:t>s</w:t>
      </w:r>
      <w:r>
        <w:rPr>
          <w:rFonts w:ascii="Book Antiqua" w:hAnsi="Book Antiqua" w:cs="Arial"/>
        </w:rPr>
        <w:t xml:space="preserve"> of an application, Mr Bramble did not dispute</w:t>
      </w:r>
      <w:r w:rsidR="00752ED0">
        <w:rPr>
          <w:rFonts w:ascii="Book Antiqua" w:hAnsi="Book Antiqua" w:cs="Arial"/>
        </w:rPr>
        <w:t xml:space="preserve">, and </w:t>
      </w:r>
      <w:r>
        <w:rPr>
          <w:rFonts w:ascii="Book Antiqua" w:hAnsi="Book Antiqua" w:cs="Arial"/>
        </w:rPr>
        <w:t>it</w:t>
      </w:r>
      <w:r w:rsidR="00752ED0">
        <w:rPr>
          <w:rFonts w:ascii="Book Antiqua" w:hAnsi="Book Antiqua" w:cs="Arial"/>
        </w:rPr>
        <w:t xml:space="preserve"> was not disputed</w:t>
      </w:r>
      <w:r>
        <w:rPr>
          <w:rFonts w:ascii="Book Antiqua" w:hAnsi="Book Antiqua" w:cs="Arial"/>
        </w:rPr>
        <w:t xml:space="preserve"> before the First-tier Tribunal</w:t>
      </w:r>
      <w:r w:rsidR="00752ED0">
        <w:rPr>
          <w:rFonts w:ascii="Book Antiqua" w:hAnsi="Book Antiqua" w:cs="Arial"/>
        </w:rPr>
        <w:t>, that the impugned</w:t>
      </w:r>
      <w:r>
        <w:rPr>
          <w:rFonts w:ascii="Book Antiqua" w:hAnsi="Book Antiqua" w:cs="Arial"/>
        </w:rPr>
        <w:t xml:space="preserve"> TOEIC certificate had not been relied upon by the appellant in any application to the respondent.  There is no evidence therefore that the appellant has, by virtue of dishonesty, attempted to gain an advantage for the purposes of his immigration s</w:t>
      </w:r>
      <w:r w:rsidR="00752ED0">
        <w:rPr>
          <w:rFonts w:ascii="Book Antiqua" w:hAnsi="Book Antiqua" w:cs="Arial"/>
        </w:rPr>
        <w:t>tatus.</w:t>
      </w:r>
      <w:r>
        <w:rPr>
          <w:rFonts w:ascii="Book Antiqua" w:hAnsi="Book Antiqua" w:cs="Arial"/>
        </w:rPr>
        <w:t xml:space="preserve"> </w:t>
      </w:r>
    </w:p>
    <w:p w14:paraId="26AE6F94" w14:textId="77777777" w:rsidR="006D0A54" w:rsidRDefault="003F7448" w:rsidP="000239E1">
      <w:pPr>
        <w:numPr>
          <w:ilvl w:val="0"/>
          <w:numId w:val="3"/>
        </w:numPr>
        <w:tabs>
          <w:tab w:val="clear" w:pos="567"/>
        </w:tabs>
        <w:spacing w:before="240"/>
        <w:jc w:val="both"/>
        <w:rPr>
          <w:rFonts w:ascii="Book Antiqua" w:hAnsi="Book Antiqua" w:cs="Arial"/>
        </w:rPr>
      </w:pPr>
      <w:r>
        <w:rPr>
          <w:rFonts w:ascii="Book Antiqua" w:hAnsi="Book Antiqua" w:cs="Arial"/>
        </w:rPr>
        <w:t>I</w:t>
      </w:r>
      <w:r w:rsidR="006D0A54">
        <w:rPr>
          <w:rFonts w:ascii="Book Antiqua" w:hAnsi="Book Antiqua" w:cs="Arial"/>
        </w:rPr>
        <w:t xml:space="preserve">n </w:t>
      </w:r>
      <w:r w:rsidR="006D0A54">
        <w:rPr>
          <w:rFonts w:ascii="Book Antiqua" w:hAnsi="Book Antiqua" w:cs="Arial"/>
          <w:b/>
          <w:u w:val="single"/>
        </w:rPr>
        <w:t>Shehzad</w:t>
      </w:r>
      <w:r w:rsidR="006D0A54" w:rsidRPr="00880CD8">
        <w:rPr>
          <w:rFonts w:ascii="Book Antiqua" w:hAnsi="Book Antiqua" w:cs="Arial"/>
          <w:b/>
          <w:u w:val="single"/>
        </w:rPr>
        <w:t xml:space="preserve"> and Chowdhury</w:t>
      </w:r>
      <w:r w:rsidR="006D0A54" w:rsidRPr="00880CD8">
        <w:rPr>
          <w:rFonts w:ascii="Book Antiqua" w:hAnsi="Book Antiqua" w:cs="Arial"/>
          <w:b/>
        </w:rPr>
        <w:t xml:space="preserve"> [2016]  EWCA </w:t>
      </w:r>
      <w:proofErr w:type="spellStart"/>
      <w:r w:rsidR="006D0A54" w:rsidRPr="00880CD8">
        <w:rPr>
          <w:rFonts w:ascii="Book Antiqua" w:hAnsi="Book Antiqua" w:cs="Arial"/>
          <w:b/>
        </w:rPr>
        <w:t>Civ</w:t>
      </w:r>
      <w:proofErr w:type="spellEnd"/>
      <w:r w:rsidR="006D0A54" w:rsidRPr="00880CD8">
        <w:rPr>
          <w:rFonts w:ascii="Book Antiqua" w:hAnsi="Book Antiqua" w:cs="Arial"/>
          <w:b/>
        </w:rPr>
        <w:t xml:space="preserve"> 615</w:t>
      </w:r>
      <w:r w:rsidR="006D0A54">
        <w:rPr>
          <w:rFonts w:ascii="Book Antiqua" w:hAnsi="Book Antiqua" w:cs="Arial"/>
          <w:b/>
        </w:rPr>
        <w:t xml:space="preserve"> 1 All ER</w:t>
      </w:r>
      <w:r w:rsidR="006D0A54">
        <w:rPr>
          <w:rFonts w:ascii="Book Antiqua" w:hAnsi="Book Antiqua" w:cs="Arial"/>
        </w:rPr>
        <w:t xml:space="preserve"> Lord Justice Beatson </w:t>
      </w:r>
      <w:r w:rsidR="00E00DF4">
        <w:rPr>
          <w:rFonts w:ascii="Book Antiqua" w:hAnsi="Book Antiqua" w:cs="Arial"/>
        </w:rPr>
        <w:t>confirmed</w:t>
      </w:r>
      <w:r w:rsidR="006D0A54">
        <w:rPr>
          <w:rFonts w:ascii="Book Antiqua" w:hAnsi="Book Antiqua" w:cs="Arial"/>
        </w:rPr>
        <w:t xml:space="preserve"> that the Secretary of State bears the initial burden of furnishing proof of deception and that if such prima facie evidence is provided the burden then shifts to the individual to provide a plausible innocent explanation.  The burden then shifts back to the Secretary of State if such a plausible explanation is provided.  </w:t>
      </w:r>
    </w:p>
    <w:p w14:paraId="0CFB3BAA" w14:textId="77777777" w:rsidR="006D0A54" w:rsidRDefault="006D0A5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 take into consideration </w:t>
      </w:r>
      <w:r w:rsidR="003F7448">
        <w:rPr>
          <w:rFonts w:ascii="Book Antiqua" w:hAnsi="Book Antiqua" w:cs="Arial"/>
        </w:rPr>
        <w:t>what was said at paragraph 30 by Lord</w:t>
      </w:r>
      <w:r>
        <w:rPr>
          <w:rFonts w:ascii="Book Antiqua" w:hAnsi="Book Antiqua" w:cs="Arial"/>
        </w:rPr>
        <w:t xml:space="preserve"> </w:t>
      </w:r>
      <w:r w:rsidR="003F7448">
        <w:rPr>
          <w:rFonts w:ascii="Book Antiqua" w:hAnsi="Book Antiqua" w:cs="Arial"/>
        </w:rPr>
        <w:t>Justice Beatson</w:t>
      </w:r>
      <w:r>
        <w:rPr>
          <w:rFonts w:ascii="Book Antiqua" w:hAnsi="Book Antiqua" w:cs="Arial"/>
        </w:rPr>
        <w:t>:</w:t>
      </w:r>
    </w:p>
    <w:p w14:paraId="1D2C9365" w14:textId="77777777" w:rsidR="006D0A54" w:rsidRDefault="006D0A54" w:rsidP="006D0A54">
      <w:pPr>
        <w:spacing w:before="240"/>
        <w:ind w:left="1134"/>
        <w:jc w:val="both"/>
        <w:rPr>
          <w:rFonts w:ascii="Book Antiqua" w:hAnsi="Book Antiqua" w:cs="Arial"/>
        </w:rPr>
      </w:pPr>
      <w:bookmarkStart w:id="0" w:name="para30"/>
      <w:r>
        <w:rPr>
          <w:rFonts w:ascii="Book Antiqua" w:hAnsi="Book Antiqua" w:cs="Arial"/>
        </w:rPr>
        <w:t>“</w:t>
      </w:r>
      <w:r w:rsidRPr="006D0A54">
        <w:rPr>
          <w:rFonts w:ascii="Book Antiqua" w:hAnsi="Book Antiqua" w:cs="Arial"/>
        </w:rPr>
        <w:t xml:space="preserve">in circumstances where the generic evidence is not accompanied by evidence showing that the </w:t>
      </w:r>
      <w:r>
        <w:rPr>
          <w:rFonts w:ascii="Book Antiqua" w:hAnsi="Book Antiqua" w:cs="Arial"/>
        </w:rPr>
        <w:t>individual under consideration’s</w:t>
      </w:r>
      <w:r w:rsidRPr="006D0A54">
        <w:rPr>
          <w:rFonts w:ascii="Book Antiqua" w:hAnsi="Book Antiqua" w:cs="Arial"/>
        </w:rPr>
        <w:t xml:space="preserve"> test was categorised as </w:t>
      </w:r>
      <w:r>
        <w:rPr>
          <w:rFonts w:ascii="Book Antiqua" w:hAnsi="Book Antiqua" w:cs="Arial"/>
        </w:rPr>
        <w:t>‘invalid’</w:t>
      </w:r>
      <w:r w:rsidRPr="006D0A54">
        <w:rPr>
          <w:rFonts w:ascii="Book Antiqua" w:hAnsi="Book Antiqua" w:cs="Arial"/>
        </w:rPr>
        <w:t>, I consider that the Secretary of State faces a difficulty in respect of the evidential burden at the initial stage.</w:t>
      </w:r>
      <w:bookmarkEnd w:id="0"/>
      <w:r>
        <w:rPr>
          <w:rFonts w:ascii="Book Antiqua" w:hAnsi="Book Antiqua" w:cs="Arial"/>
        </w:rPr>
        <w:t>”</w:t>
      </w:r>
    </w:p>
    <w:p w14:paraId="521F4ABA" w14:textId="77777777" w:rsidR="006D0A54" w:rsidRDefault="00B930B7"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respondent had provided two generic witness statements from 2014 which </w:t>
      </w:r>
      <w:r w:rsidR="00E00DF4">
        <w:rPr>
          <w:rFonts w:ascii="Book Antiqua" w:hAnsi="Book Antiqua" w:cs="Arial"/>
        </w:rPr>
        <w:t>were</w:t>
      </w:r>
      <w:r>
        <w:rPr>
          <w:rFonts w:ascii="Book Antiqua" w:hAnsi="Book Antiqua" w:cs="Arial"/>
        </w:rPr>
        <w:t xml:space="preserve"> not specific to the appellant.  There was a further witness statement from Chandrika </w:t>
      </w:r>
      <w:proofErr w:type="spellStart"/>
      <w:r>
        <w:rPr>
          <w:rFonts w:ascii="Book Antiqua" w:hAnsi="Book Antiqua" w:cs="Arial"/>
        </w:rPr>
        <w:t>Mindelsohn</w:t>
      </w:r>
      <w:proofErr w:type="spellEnd"/>
      <w:r>
        <w:rPr>
          <w:rFonts w:ascii="Book Antiqua" w:hAnsi="Book Antiqua" w:cs="Arial"/>
        </w:rPr>
        <w:t xml:space="preserve"> dated 30 November 2017 which</w:t>
      </w:r>
      <w:r w:rsidR="009C1539">
        <w:rPr>
          <w:rFonts w:ascii="Book Antiqua" w:hAnsi="Book Antiqua" w:cs="Arial"/>
        </w:rPr>
        <w:t>,</w:t>
      </w:r>
      <w:r>
        <w:rPr>
          <w:rFonts w:ascii="Book Antiqua" w:hAnsi="Book Antiqua" w:cs="Arial"/>
        </w:rPr>
        <w:t xml:space="preserve"> although it purported to deal with th</w:t>
      </w:r>
      <w:r w:rsidR="009C1539">
        <w:rPr>
          <w:rFonts w:ascii="Book Antiqua" w:hAnsi="Book Antiqua" w:cs="Arial"/>
        </w:rPr>
        <w:t xml:space="preserve">e appellant’s circumstances, </w:t>
      </w:r>
      <w:r>
        <w:rPr>
          <w:rFonts w:ascii="Book Antiqua" w:hAnsi="Book Antiqua" w:cs="Arial"/>
        </w:rPr>
        <w:t xml:space="preserve">was largely generic and as already noted contained an </w:t>
      </w:r>
      <w:r w:rsidR="00E00DF4">
        <w:rPr>
          <w:rFonts w:ascii="Book Antiqua" w:hAnsi="Book Antiqua" w:cs="Arial"/>
        </w:rPr>
        <w:t>error</w:t>
      </w:r>
      <w:r>
        <w:rPr>
          <w:rFonts w:ascii="Book Antiqua" w:hAnsi="Book Antiqua" w:cs="Arial"/>
        </w:rPr>
        <w:t xml:space="preserve"> in </w:t>
      </w:r>
      <w:r w:rsidR="00E00DF4">
        <w:rPr>
          <w:rFonts w:ascii="Book Antiqua" w:hAnsi="Book Antiqua" w:cs="Arial"/>
        </w:rPr>
        <w:t>relation</w:t>
      </w:r>
      <w:r>
        <w:rPr>
          <w:rFonts w:ascii="Book Antiqua" w:hAnsi="Book Antiqua" w:cs="Arial"/>
        </w:rPr>
        <w:t xml:space="preserve"> to asserting that the appellant had </w:t>
      </w:r>
      <w:r w:rsidR="009C1539">
        <w:rPr>
          <w:rFonts w:ascii="Book Antiqua" w:hAnsi="Book Antiqua" w:cs="Arial"/>
        </w:rPr>
        <w:t xml:space="preserve">relied on the </w:t>
      </w:r>
      <w:r>
        <w:rPr>
          <w:rFonts w:ascii="Book Antiqua" w:hAnsi="Book Antiqua" w:cs="Arial"/>
        </w:rPr>
        <w:t>certificate</w:t>
      </w:r>
      <w:r w:rsidR="009C1539">
        <w:rPr>
          <w:rFonts w:ascii="Book Antiqua" w:hAnsi="Book Antiqua" w:cs="Arial"/>
        </w:rPr>
        <w:t xml:space="preserve"> in an application to the respondent,</w:t>
      </w:r>
      <w:r>
        <w:rPr>
          <w:rFonts w:ascii="Book Antiqua" w:hAnsi="Book Antiqua" w:cs="Arial"/>
        </w:rPr>
        <w:t xml:space="preserve"> when it is accepted by all the par</w:t>
      </w:r>
      <w:r w:rsidR="009C1539">
        <w:rPr>
          <w:rFonts w:ascii="Book Antiqua" w:hAnsi="Book Antiqua" w:cs="Arial"/>
        </w:rPr>
        <w:t>ties that he had not.  T</w:t>
      </w:r>
      <w:r>
        <w:rPr>
          <w:rFonts w:ascii="Book Antiqua" w:hAnsi="Book Antiqua" w:cs="Arial"/>
        </w:rPr>
        <w:t xml:space="preserve">he witness statement contained an Appendix </w:t>
      </w:r>
      <w:r w:rsidR="003F7448">
        <w:rPr>
          <w:rFonts w:ascii="Book Antiqua" w:hAnsi="Book Antiqua" w:cs="Arial"/>
        </w:rPr>
        <w:t>including the Look Up Tool,</w:t>
      </w:r>
      <w:r>
        <w:rPr>
          <w:rFonts w:ascii="Book Antiqua" w:hAnsi="Book Antiqua" w:cs="Arial"/>
        </w:rPr>
        <w:t xml:space="preserve"> which </w:t>
      </w:r>
      <w:r w:rsidR="00E00DF4">
        <w:rPr>
          <w:rFonts w:ascii="Book Antiqua" w:hAnsi="Book Antiqua" w:cs="Arial"/>
        </w:rPr>
        <w:t>contained</w:t>
      </w:r>
      <w:r>
        <w:rPr>
          <w:rFonts w:ascii="Book Antiqua" w:hAnsi="Book Antiqua" w:cs="Arial"/>
        </w:rPr>
        <w:t xml:space="preserve"> the appellant’s details and cited his certificate as </w:t>
      </w:r>
      <w:r w:rsidR="009C1539">
        <w:rPr>
          <w:rFonts w:ascii="Book Antiqua" w:hAnsi="Book Antiqua" w:cs="Arial"/>
        </w:rPr>
        <w:t>‘</w:t>
      </w:r>
      <w:r>
        <w:rPr>
          <w:rFonts w:ascii="Book Antiqua" w:hAnsi="Book Antiqua" w:cs="Arial"/>
        </w:rPr>
        <w:t>questionable</w:t>
      </w:r>
      <w:r w:rsidR="009C1539">
        <w:rPr>
          <w:rFonts w:ascii="Book Antiqua" w:hAnsi="Book Antiqua" w:cs="Arial"/>
        </w:rPr>
        <w:t>’</w:t>
      </w:r>
      <w:r>
        <w:rPr>
          <w:rFonts w:ascii="Book Antiqua" w:hAnsi="Book Antiqua" w:cs="Arial"/>
        </w:rPr>
        <w:t xml:space="preserve">.  </w:t>
      </w:r>
    </w:p>
    <w:p w14:paraId="1582B4E3" w14:textId="77777777" w:rsidR="00B930B7" w:rsidRDefault="009C153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In the absence of </w:t>
      </w:r>
      <w:r w:rsidR="00D64CBD">
        <w:rPr>
          <w:rFonts w:ascii="Book Antiqua" w:hAnsi="Book Antiqua" w:cs="Arial"/>
        </w:rPr>
        <w:t>specific evidence</w:t>
      </w:r>
      <w:r>
        <w:rPr>
          <w:rFonts w:ascii="Book Antiqua" w:hAnsi="Book Antiqua" w:cs="Arial"/>
        </w:rPr>
        <w:t xml:space="preserve"> from the respondent characterising the appellant’s test as invalid, or any other specific evidence which might discharge the respondent’s burden, </w:t>
      </w:r>
      <w:r w:rsidR="002C3F24">
        <w:rPr>
          <w:rFonts w:ascii="Book Antiqua" w:hAnsi="Book Antiqua" w:cs="Arial"/>
        </w:rPr>
        <w:t>I am not satisfied that t</w:t>
      </w:r>
      <w:r>
        <w:rPr>
          <w:rFonts w:ascii="Book Antiqua" w:hAnsi="Book Antiqua" w:cs="Arial"/>
        </w:rPr>
        <w:t>he respondent has discharged that</w:t>
      </w:r>
      <w:r w:rsidR="002C3F24">
        <w:rPr>
          <w:rFonts w:ascii="Book Antiqua" w:hAnsi="Book Antiqua" w:cs="Arial"/>
        </w:rPr>
        <w:t xml:space="preserve"> initial burden as highlighted in </w:t>
      </w:r>
      <w:r w:rsidR="002C3F24" w:rsidRPr="002C3F24">
        <w:rPr>
          <w:rFonts w:ascii="Book Antiqua" w:hAnsi="Book Antiqua" w:cs="Arial"/>
          <w:b/>
          <w:u w:val="single"/>
        </w:rPr>
        <w:t xml:space="preserve">SM and </w:t>
      </w:r>
      <w:proofErr w:type="spellStart"/>
      <w:r w:rsidR="002C3F24" w:rsidRPr="002C3F24">
        <w:rPr>
          <w:rFonts w:ascii="Book Antiqua" w:hAnsi="Book Antiqua" w:cs="Arial"/>
          <w:b/>
          <w:u w:val="single"/>
        </w:rPr>
        <w:t>Qadir</w:t>
      </w:r>
      <w:proofErr w:type="spellEnd"/>
      <w:r w:rsidR="002C3F24" w:rsidRPr="002C3F24">
        <w:rPr>
          <w:rFonts w:ascii="Book Antiqua" w:hAnsi="Book Antiqua" w:cs="Arial"/>
          <w:b/>
          <w:u w:val="single"/>
        </w:rPr>
        <w:t xml:space="preserve"> v Secretary of State for the Home Department</w:t>
      </w:r>
      <w:r w:rsidR="002C3F24" w:rsidRPr="002C3F24">
        <w:rPr>
          <w:rFonts w:ascii="Book Antiqua" w:hAnsi="Book Antiqua" w:cs="Arial"/>
          <w:b/>
        </w:rPr>
        <w:t xml:space="preserve"> (ETS – Evidence – Burden of Proof) [2016] UKUT 00229 (IAC</w:t>
      </w:r>
      <w:r w:rsidR="002C3F24">
        <w:rPr>
          <w:rFonts w:ascii="Book Antiqua" w:hAnsi="Book Antiqua" w:cs="Arial"/>
        </w:rPr>
        <w:t xml:space="preserve">.  Therefore the respondent has failed to demonstrate that paragraph 322(5) applies in </w:t>
      </w:r>
      <w:r>
        <w:rPr>
          <w:rFonts w:ascii="Book Antiqua" w:hAnsi="Book Antiqua" w:cs="Arial"/>
        </w:rPr>
        <w:t>this case</w:t>
      </w:r>
      <w:r w:rsidR="002C3F24">
        <w:rPr>
          <w:rFonts w:ascii="Book Antiqua" w:hAnsi="Book Antiqua" w:cs="Arial"/>
        </w:rPr>
        <w:t>.</w:t>
      </w:r>
    </w:p>
    <w:p w14:paraId="526230D8" w14:textId="77777777" w:rsidR="002C3F24" w:rsidRDefault="002C3F2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In the alternative that I am wrong and the burden of proof shifted to the appellant, as </w:t>
      </w:r>
      <w:r w:rsidR="00E00DF4">
        <w:rPr>
          <w:rFonts w:ascii="Book Antiqua" w:hAnsi="Book Antiqua" w:cs="Arial"/>
        </w:rPr>
        <w:t>effectively</w:t>
      </w:r>
      <w:r>
        <w:rPr>
          <w:rFonts w:ascii="Book Antiqua" w:hAnsi="Book Antiqua" w:cs="Arial"/>
        </w:rPr>
        <w:t xml:space="preserve"> conceded by Mr Bramble I am satisfied that the appellant has more than discharged that burden of demonstrating an innocent explanation.  I take into consideration that the </w:t>
      </w:r>
      <w:r w:rsidR="004C7779">
        <w:rPr>
          <w:rFonts w:ascii="Book Antiqua" w:hAnsi="Book Antiqua" w:cs="Arial"/>
        </w:rPr>
        <w:t>First-tier Tribunal Judge</w:t>
      </w:r>
      <w:r>
        <w:rPr>
          <w:rFonts w:ascii="Book Antiqua" w:hAnsi="Book Antiqua" w:cs="Arial"/>
        </w:rPr>
        <w:t xml:space="preserve"> accepted that the appellant’s English skills were good as was evidenced by is IELTS results and the evidence he gave at the First-tier Tribunal hearing in English.  I preserve those findings.  If the burden of proof does revert to the appellant</w:t>
      </w:r>
      <w:r w:rsidR="004C7779">
        <w:rPr>
          <w:rFonts w:ascii="Book Antiqua" w:hAnsi="Book Antiqua" w:cs="Arial"/>
        </w:rPr>
        <w:t>,</w:t>
      </w:r>
      <w:r>
        <w:rPr>
          <w:rFonts w:ascii="Book Antiqua" w:hAnsi="Book Antiqua" w:cs="Arial"/>
        </w:rPr>
        <w:t xml:space="preserve"> it is for the appellant to provide an </w:t>
      </w:r>
      <w:r w:rsidR="00E00DF4">
        <w:rPr>
          <w:rFonts w:ascii="Book Antiqua" w:hAnsi="Book Antiqua" w:cs="Arial"/>
        </w:rPr>
        <w:t>innocent</w:t>
      </w:r>
      <w:r>
        <w:rPr>
          <w:rFonts w:ascii="Book Antiqua" w:hAnsi="Book Antiqua" w:cs="Arial"/>
        </w:rPr>
        <w:t xml:space="preserve"> explanation which is plausible.  As highlighted in </w:t>
      </w:r>
      <w:r w:rsidRPr="002C3F24">
        <w:rPr>
          <w:rFonts w:ascii="Book Antiqua" w:hAnsi="Book Antiqua" w:cs="Arial"/>
          <w:b/>
          <w:u w:val="single"/>
        </w:rPr>
        <w:t xml:space="preserve">SM and </w:t>
      </w:r>
      <w:proofErr w:type="spellStart"/>
      <w:r w:rsidRPr="002C3F24">
        <w:rPr>
          <w:rFonts w:ascii="Book Antiqua" w:hAnsi="Book Antiqua" w:cs="Arial"/>
          <w:b/>
          <w:u w:val="single"/>
        </w:rPr>
        <w:t>Qadir</w:t>
      </w:r>
      <w:proofErr w:type="spellEnd"/>
      <w:r>
        <w:rPr>
          <w:rFonts w:ascii="Book Antiqua" w:hAnsi="Book Antiqua" w:cs="Arial"/>
        </w:rPr>
        <w:t xml:space="preserve"> in reliance on </w:t>
      </w:r>
      <w:proofErr w:type="spellStart"/>
      <w:r w:rsidRPr="002C3F24">
        <w:rPr>
          <w:rFonts w:ascii="Book Antiqua" w:hAnsi="Book Antiqua" w:cs="Arial"/>
          <w:b/>
          <w:u w:val="single"/>
        </w:rPr>
        <w:t>Muhandiramge</w:t>
      </w:r>
      <w:proofErr w:type="spellEnd"/>
      <w:r w:rsidRPr="002C3F24">
        <w:rPr>
          <w:rFonts w:ascii="Book Antiqua" w:hAnsi="Book Antiqua" w:cs="Arial"/>
          <w:b/>
        </w:rPr>
        <w:t xml:space="preserve"> (section S-LTR.1.7) [2015] UKUT 675 (IAC)</w:t>
      </w:r>
      <w:r w:rsidRPr="002C3F24">
        <w:rPr>
          <w:rFonts w:ascii="Book Antiqua" w:hAnsi="Book Antiqua" w:cs="Arial"/>
        </w:rPr>
        <w:t xml:space="preserve"> </w:t>
      </w:r>
      <w:r>
        <w:rPr>
          <w:rFonts w:ascii="Book Antiqua" w:hAnsi="Book Antiqua" w:cs="Arial"/>
        </w:rPr>
        <w:t>at [9] to [11]</w:t>
      </w:r>
      <w:r w:rsidR="004C7779">
        <w:rPr>
          <w:rFonts w:ascii="Book Antiqua" w:hAnsi="Book Antiqua" w:cs="Arial"/>
        </w:rPr>
        <w:t>,</w:t>
      </w:r>
      <w:r>
        <w:rPr>
          <w:rFonts w:ascii="Book Antiqua" w:hAnsi="Book Antiqua" w:cs="Arial"/>
        </w:rPr>
        <w:t xml:space="preserve"> if the burden shifts to the appellant it is for the appellant then to raise an innocent explanation “</w:t>
      </w:r>
      <w:r w:rsidRPr="002C3F24">
        <w:rPr>
          <w:rFonts w:ascii="Book Antiqua" w:hAnsi="Book Antiqua" w:cs="Arial"/>
        </w:rPr>
        <w:t xml:space="preserve">namely an </w:t>
      </w:r>
      <w:r w:rsidRPr="002C3F24">
        <w:rPr>
          <w:rFonts w:ascii="Book Antiqua" w:hAnsi="Book Antiqua" w:cs="Arial"/>
        </w:rPr>
        <w:lastRenderedPageBreak/>
        <w:t>account which satisfies the minimum level of plausibility</w:t>
      </w:r>
      <w:r>
        <w:rPr>
          <w:rFonts w:ascii="Book Antiqua" w:hAnsi="Book Antiqua" w:cs="Arial"/>
        </w:rPr>
        <w:t xml:space="preserve">” and if so the burden shifts back to the respondent.  </w:t>
      </w:r>
    </w:p>
    <w:p w14:paraId="1BF8BA25" w14:textId="77777777" w:rsidR="00B869E2" w:rsidRPr="002544FD" w:rsidRDefault="002C3F24" w:rsidP="002544FD">
      <w:pPr>
        <w:numPr>
          <w:ilvl w:val="0"/>
          <w:numId w:val="3"/>
        </w:numPr>
        <w:tabs>
          <w:tab w:val="clear" w:pos="567"/>
        </w:tabs>
        <w:spacing w:before="240"/>
        <w:jc w:val="both"/>
        <w:rPr>
          <w:rFonts w:ascii="Book Antiqua" w:hAnsi="Book Antiqua" w:cs="Arial"/>
        </w:rPr>
      </w:pPr>
      <w:r>
        <w:rPr>
          <w:rFonts w:ascii="Book Antiqua" w:hAnsi="Book Antiqua" w:cs="Arial"/>
        </w:rPr>
        <w:t>As identified by Mr Bramble himself</w:t>
      </w:r>
      <w:r w:rsidR="004C7779">
        <w:rPr>
          <w:rFonts w:ascii="Book Antiqua" w:hAnsi="Book Antiqua" w:cs="Arial"/>
        </w:rPr>
        <w:t>,</w:t>
      </w:r>
      <w:r>
        <w:rPr>
          <w:rFonts w:ascii="Book Antiqua" w:hAnsi="Book Antiqua" w:cs="Arial"/>
        </w:rPr>
        <w:t xml:space="preserve"> the appellant had </w:t>
      </w:r>
      <w:r w:rsidR="002544FD">
        <w:rPr>
          <w:rFonts w:ascii="Book Antiqua" w:hAnsi="Book Antiqua" w:cs="Arial"/>
        </w:rPr>
        <w:t>provided witness statements in addition to</w:t>
      </w:r>
      <w:r>
        <w:rPr>
          <w:rFonts w:ascii="Book Antiqua" w:hAnsi="Book Antiqua" w:cs="Arial"/>
        </w:rPr>
        <w:t xml:space="preserve"> general documentation in</w:t>
      </w:r>
      <w:r w:rsidR="002544FD">
        <w:rPr>
          <w:rFonts w:ascii="Book Antiqua" w:hAnsi="Book Antiqua" w:cs="Arial"/>
        </w:rPr>
        <w:t xml:space="preserve"> support of his</w:t>
      </w:r>
      <w:r>
        <w:rPr>
          <w:rFonts w:ascii="Book Antiqua" w:hAnsi="Book Antiqua" w:cs="Arial"/>
        </w:rPr>
        <w:t xml:space="preserve"> case</w:t>
      </w:r>
      <w:r w:rsidR="00B869E2">
        <w:rPr>
          <w:rFonts w:ascii="Book Antiqua" w:hAnsi="Book Antiqua" w:cs="Arial"/>
        </w:rPr>
        <w:t xml:space="preserve">.  </w:t>
      </w:r>
      <w:r w:rsidR="00B869E2" w:rsidRPr="002544FD">
        <w:rPr>
          <w:rFonts w:ascii="Book Antiqua" w:hAnsi="Book Antiqua" w:cs="Arial"/>
        </w:rPr>
        <w:t xml:space="preserve">The appellant explained that he arrived in the UK in March 2006 with entry clearance as a student and that this was subsequently extended ultimately until 30 January 2016 as a result of multiple internal applications as a Tier 4 (General) Student.  The appellant successfully completed his BSc Honours in Business Studies from the University of Ulster followed by other courses.  The appellant denied any allegation that he had obtained the TOEIC test results fraudulently.  The appellant </w:t>
      </w:r>
      <w:r w:rsidR="00E00DF4" w:rsidRPr="002544FD">
        <w:rPr>
          <w:rFonts w:ascii="Book Antiqua" w:hAnsi="Book Antiqua" w:cs="Arial"/>
        </w:rPr>
        <w:t>confirmed</w:t>
      </w:r>
      <w:r w:rsidR="00B869E2" w:rsidRPr="002544FD">
        <w:rPr>
          <w:rFonts w:ascii="Book Antiqua" w:hAnsi="Book Antiqua" w:cs="Arial"/>
        </w:rPr>
        <w:t xml:space="preserve"> that he had taken the </w:t>
      </w:r>
      <w:r w:rsidR="00E00DF4" w:rsidRPr="002544FD">
        <w:rPr>
          <w:rFonts w:ascii="Book Antiqua" w:hAnsi="Book Antiqua" w:cs="Arial"/>
        </w:rPr>
        <w:t>speaking</w:t>
      </w:r>
      <w:r w:rsidR="00B869E2" w:rsidRPr="002544FD">
        <w:rPr>
          <w:rFonts w:ascii="Book Antiqua" w:hAnsi="Book Antiqua" w:cs="Arial"/>
        </w:rPr>
        <w:t xml:space="preserve"> test (along with the other tests </w:t>
      </w:r>
      <w:r w:rsidR="00E00DF4" w:rsidRPr="002544FD">
        <w:rPr>
          <w:rFonts w:ascii="Book Antiqua" w:hAnsi="Book Antiqua" w:cs="Arial"/>
        </w:rPr>
        <w:t>himself</w:t>
      </w:r>
      <w:r w:rsidR="00B869E2" w:rsidRPr="002544FD">
        <w:rPr>
          <w:rFonts w:ascii="Book Antiqua" w:hAnsi="Book Antiqua" w:cs="Arial"/>
        </w:rPr>
        <w:t xml:space="preserve">) and he did not use a proxy and that in </w:t>
      </w:r>
      <w:r w:rsidR="00E00DF4" w:rsidRPr="002544FD">
        <w:rPr>
          <w:rFonts w:ascii="Book Antiqua" w:hAnsi="Book Antiqua" w:cs="Arial"/>
        </w:rPr>
        <w:t>particular</w:t>
      </w:r>
      <w:r w:rsidR="00B869E2" w:rsidRPr="002544FD">
        <w:rPr>
          <w:rFonts w:ascii="Book Antiqua" w:hAnsi="Book Antiqua" w:cs="Arial"/>
        </w:rPr>
        <w:t xml:space="preserve"> he had no reason to use a proxy taker as he was very competent, at the time of the test as he is now, in English language skills.  </w:t>
      </w:r>
    </w:p>
    <w:p w14:paraId="3009D198" w14:textId="77777777" w:rsidR="00B869E2" w:rsidRDefault="00B869E2"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explained why he had taken the TOEIC test and why he did </w:t>
      </w:r>
      <w:r w:rsidR="00E00DF4">
        <w:rPr>
          <w:rFonts w:ascii="Book Antiqua" w:hAnsi="Book Antiqua" w:cs="Arial"/>
        </w:rPr>
        <w:t>not</w:t>
      </w:r>
      <w:r w:rsidR="004C7779">
        <w:rPr>
          <w:rFonts w:ascii="Book Antiqua" w:hAnsi="Book Antiqua" w:cs="Arial"/>
        </w:rPr>
        <w:t xml:space="preserve"> use this test: </w:t>
      </w:r>
      <w:r>
        <w:rPr>
          <w:rFonts w:ascii="Book Antiqua" w:hAnsi="Book Antiqua" w:cs="Arial"/>
        </w:rPr>
        <w:t>with his</w:t>
      </w:r>
      <w:r w:rsidR="004C7779">
        <w:rPr>
          <w:rFonts w:ascii="Book Antiqua" w:hAnsi="Book Antiqua" w:cs="Arial"/>
        </w:rPr>
        <w:t xml:space="preserve"> original</w:t>
      </w:r>
      <w:r>
        <w:rPr>
          <w:rFonts w:ascii="Book Antiqua" w:hAnsi="Book Antiqua" w:cs="Arial"/>
        </w:rPr>
        <w:t xml:space="preserve"> entry clearance application he submitted his IELTS report dated 18 February 2006 in </w:t>
      </w:r>
      <w:r w:rsidR="00E00DF4">
        <w:rPr>
          <w:rFonts w:ascii="Book Antiqua" w:hAnsi="Book Antiqua" w:cs="Arial"/>
        </w:rPr>
        <w:t>which</w:t>
      </w:r>
      <w:r>
        <w:rPr>
          <w:rFonts w:ascii="Book Antiqua" w:hAnsi="Book Antiqua" w:cs="Arial"/>
        </w:rPr>
        <w:t xml:space="preserve"> he scored 6.0 in speaking with an overall band score of 6.0 and that this was his level of competency in English before he even entered the UK.  The IELTS guidance confirms that band 6 </w:t>
      </w:r>
      <w:r w:rsidR="004C7779">
        <w:rPr>
          <w:rFonts w:ascii="Book Antiqua" w:hAnsi="Book Antiqua" w:cs="Arial"/>
        </w:rPr>
        <w:t>denotes</w:t>
      </w:r>
      <w:r>
        <w:rPr>
          <w:rFonts w:ascii="Book Antiqua" w:hAnsi="Book Antiqua" w:cs="Arial"/>
        </w:rPr>
        <w:t xml:space="preserve"> a competent user of the English language.  The appellant explained that as of 29 December 2011 he submitted another IELTS certificate dated 15 December 2011 with a score of 6.5 in speaking with an overall band score of 6.0.  The appellant was also assessed in 2015 with an equivalent IELTS score of 7.  </w:t>
      </w:r>
    </w:p>
    <w:p w14:paraId="03BA77E2" w14:textId="77777777" w:rsidR="0080342F" w:rsidRDefault="00D86BEA"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w:t>
      </w:r>
      <w:r w:rsidR="004C7779">
        <w:rPr>
          <w:rFonts w:ascii="Book Antiqua" w:hAnsi="Book Antiqua" w:cs="Arial"/>
        </w:rPr>
        <w:t>’s evidence indicates</w:t>
      </w:r>
      <w:r>
        <w:rPr>
          <w:rFonts w:ascii="Book Antiqua" w:hAnsi="Book Antiqua" w:cs="Arial"/>
        </w:rPr>
        <w:t xml:space="preserve"> that he was due to complete his IELTS including a speaking test on 3 December 2011.  However, the relevant authority transferred the speaking test from 3 December until 10 December without </w:t>
      </w:r>
      <w:r w:rsidR="00E00DF4">
        <w:rPr>
          <w:rFonts w:ascii="Book Antiqua" w:hAnsi="Book Antiqua" w:cs="Arial"/>
        </w:rPr>
        <w:t>prior</w:t>
      </w:r>
      <w:r>
        <w:rPr>
          <w:rFonts w:ascii="Book Antiqua" w:hAnsi="Book Antiqua" w:cs="Arial"/>
        </w:rPr>
        <w:t xml:space="preserve"> notice.  The appellant explained in his witness statement</w:t>
      </w:r>
      <w:r w:rsidR="004C7779">
        <w:rPr>
          <w:rFonts w:ascii="Book Antiqua" w:hAnsi="Book Antiqua" w:cs="Arial"/>
        </w:rPr>
        <w:t>,</w:t>
      </w:r>
      <w:r>
        <w:rPr>
          <w:rFonts w:ascii="Book Antiqua" w:hAnsi="Book Antiqua" w:cs="Arial"/>
        </w:rPr>
        <w:t xml:space="preserve"> and such is not contested by Mr Bramble</w:t>
      </w:r>
      <w:r w:rsidR="004C7779">
        <w:rPr>
          <w:rFonts w:ascii="Book Antiqua" w:hAnsi="Book Antiqua" w:cs="Arial"/>
        </w:rPr>
        <w:t>,</w:t>
      </w:r>
      <w:r>
        <w:rPr>
          <w:rFonts w:ascii="Book Antiqua" w:hAnsi="Book Antiqua" w:cs="Arial"/>
        </w:rPr>
        <w:t xml:space="preserve"> that the unexpected delay frightened the appellant</w:t>
      </w:r>
      <w:r w:rsidR="004C7779">
        <w:rPr>
          <w:rFonts w:ascii="Book Antiqua" w:hAnsi="Book Antiqua" w:cs="Arial"/>
        </w:rPr>
        <w:t xml:space="preserve"> and he was concerned that </w:t>
      </w:r>
      <w:r>
        <w:rPr>
          <w:rFonts w:ascii="Book Antiqua" w:hAnsi="Book Antiqua" w:cs="Arial"/>
        </w:rPr>
        <w:t>he</w:t>
      </w:r>
      <w:r w:rsidR="004C7779">
        <w:rPr>
          <w:rFonts w:ascii="Book Antiqua" w:hAnsi="Book Antiqua" w:cs="Arial"/>
        </w:rPr>
        <w:t xml:space="preserve"> might not</w:t>
      </w:r>
      <w:r>
        <w:rPr>
          <w:rFonts w:ascii="Book Antiqua" w:hAnsi="Book Antiqua" w:cs="Arial"/>
        </w:rPr>
        <w:t xml:space="preserve"> receive his IELTS certificate in time for him to make his application to the Home Office </w:t>
      </w:r>
      <w:r w:rsidR="0080342F">
        <w:rPr>
          <w:rFonts w:ascii="Book Antiqua" w:hAnsi="Book Antiqua" w:cs="Arial"/>
        </w:rPr>
        <w:t>(</w:t>
      </w:r>
      <w:r>
        <w:rPr>
          <w:rFonts w:ascii="Book Antiqua" w:hAnsi="Book Antiqua" w:cs="Arial"/>
        </w:rPr>
        <w:t>as his leave was due to expire on 31 December 2011</w:t>
      </w:r>
      <w:r w:rsidR="0080342F">
        <w:rPr>
          <w:rFonts w:ascii="Book Antiqua" w:hAnsi="Book Antiqua" w:cs="Arial"/>
        </w:rPr>
        <w:t>)</w:t>
      </w:r>
      <w:r>
        <w:rPr>
          <w:rFonts w:ascii="Book Antiqua" w:hAnsi="Book Antiqua" w:cs="Arial"/>
        </w:rPr>
        <w:t xml:space="preserve">.  The appellant therefore took the TOEIC test on 14 December 2011 (which was then an approved provider and the appellant at that stage could not anticipate any problem with that provider) as a back-up plan to safeguard him in case his IELTS result was delayed.  He had researched and found that ETS could provide much quicker test dates and results in comparison to other providers such as IELTS. </w:t>
      </w:r>
    </w:p>
    <w:p w14:paraId="2395CD67" w14:textId="77777777" w:rsidR="00B869E2" w:rsidRDefault="00D86BEA" w:rsidP="000239E1">
      <w:pPr>
        <w:numPr>
          <w:ilvl w:val="0"/>
          <w:numId w:val="3"/>
        </w:numPr>
        <w:tabs>
          <w:tab w:val="clear" w:pos="567"/>
        </w:tabs>
        <w:spacing w:before="240"/>
        <w:jc w:val="both"/>
        <w:rPr>
          <w:rFonts w:ascii="Book Antiqua" w:hAnsi="Book Antiqua" w:cs="Arial"/>
        </w:rPr>
      </w:pPr>
      <w:r>
        <w:rPr>
          <w:rFonts w:ascii="Book Antiqua" w:hAnsi="Book Antiqua" w:cs="Arial"/>
        </w:rPr>
        <w:t>However, having taken the test it was the appellant’s consistent evidence</w:t>
      </w:r>
      <w:r w:rsidR="0080342F">
        <w:rPr>
          <w:rFonts w:ascii="Book Antiqua" w:hAnsi="Book Antiqua" w:cs="Arial"/>
        </w:rPr>
        <w:t>, which was uncontested before me and which I accept,</w:t>
      </w:r>
      <w:r>
        <w:rPr>
          <w:rFonts w:ascii="Book Antiqua" w:hAnsi="Book Antiqua" w:cs="Arial"/>
        </w:rPr>
        <w:t xml:space="preserve"> that he then eventually received his IELTS certificate in time to make his application and did not therefore have to use his TOEIC certificate </w:t>
      </w:r>
      <w:r w:rsidR="00F60AB0">
        <w:rPr>
          <w:rFonts w:ascii="Book Antiqua" w:hAnsi="Book Antiqua" w:cs="Arial"/>
        </w:rPr>
        <w:t xml:space="preserve">for any </w:t>
      </w:r>
      <w:r>
        <w:rPr>
          <w:rFonts w:ascii="Book Antiqua" w:hAnsi="Book Antiqua" w:cs="Arial"/>
        </w:rPr>
        <w:t xml:space="preserve">purpose.  The appellant went on to deny any involvement </w:t>
      </w:r>
      <w:r w:rsidR="00F60AB0">
        <w:rPr>
          <w:rFonts w:ascii="Book Antiqua" w:hAnsi="Book Antiqua" w:cs="Arial"/>
        </w:rPr>
        <w:t xml:space="preserve">directly or indirectly in deception and in </w:t>
      </w:r>
      <w:r w:rsidR="00E00DF4">
        <w:rPr>
          <w:rFonts w:ascii="Book Antiqua" w:hAnsi="Book Antiqua" w:cs="Arial"/>
        </w:rPr>
        <w:t>particular</w:t>
      </w:r>
      <w:r w:rsidR="00F60AB0">
        <w:rPr>
          <w:rFonts w:ascii="Book Antiqua" w:hAnsi="Book Antiqua" w:cs="Arial"/>
        </w:rPr>
        <w:t xml:space="preserve"> found it humiliating that he would be attacked in this way a</w:t>
      </w:r>
      <w:r w:rsidR="0080342F">
        <w:rPr>
          <w:rFonts w:ascii="Book Antiqua" w:hAnsi="Book Antiqua" w:cs="Arial"/>
        </w:rPr>
        <w:t xml:space="preserve">nd his integrity questioned; </w:t>
      </w:r>
      <w:r w:rsidR="00F60AB0">
        <w:rPr>
          <w:rFonts w:ascii="Book Antiqua" w:hAnsi="Book Antiqua" w:cs="Arial"/>
        </w:rPr>
        <w:t xml:space="preserve">in his view he was an innocent victim.  The appellant highlighted that he had obtained a Bachelor degree in the </w:t>
      </w:r>
      <w:smartTag w:uri="urn:schemas-microsoft-com:office:smarttags" w:element="country-region">
        <w:r w:rsidR="00F60AB0">
          <w:rPr>
            <w:rFonts w:ascii="Book Antiqua" w:hAnsi="Book Antiqua" w:cs="Arial"/>
          </w:rPr>
          <w:t>UK</w:t>
        </w:r>
      </w:smartTag>
      <w:r w:rsidR="00F60AB0">
        <w:rPr>
          <w:rFonts w:ascii="Book Antiqua" w:hAnsi="Book Antiqua" w:cs="Arial"/>
        </w:rPr>
        <w:t xml:space="preserve"> and highlighted his private life in the </w:t>
      </w:r>
      <w:smartTag w:uri="urn:schemas-microsoft-com:office:smarttags" w:element="country-region">
        <w:smartTag w:uri="urn:schemas-microsoft-com:office:smarttags" w:element="place">
          <w:r w:rsidR="00F60AB0">
            <w:rPr>
              <w:rFonts w:ascii="Book Antiqua" w:hAnsi="Book Antiqua" w:cs="Arial"/>
            </w:rPr>
            <w:t>UK</w:t>
          </w:r>
        </w:smartTag>
      </w:smartTag>
      <w:r w:rsidR="00F60AB0">
        <w:rPr>
          <w:rFonts w:ascii="Book Antiqua" w:hAnsi="Book Antiqua" w:cs="Arial"/>
        </w:rPr>
        <w:t xml:space="preserve">.  All of the appellant’s evidence was </w:t>
      </w:r>
      <w:r w:rsidR="00E00DF4">
        <w:rPr>
          <w:rFonts w:ascii="Book Antiqua" w:hAnsi="Book Antiqua" w:cs="Arial"/>
        </w:rPr>
        <w:t>supported</w:t>
      </w:r>
      <w:r w:rsidR="00F60AB0">
        <w:rPr>
          <w:rFonts w:ascii="Book Antiqua" w:hAnsi="Book Antiqua" w:cs="Arial"/>
        </w:rPr>
        <w:t xml:space="preserve"> by the relevant test scores including from IELTS and evidence of his completion of his BSc from the </w:t>
      </w:r>
      <w:smartTag w:uri="urn:schemas-microsoft-com:office:smarttags" w:element="place">
        <w:smartTag w:uri="urn:schemas-microsoft-com:office:smarttags" w:element="PlaceType">
          <w:r w:rsidR="00F60AB0">
            <w:rPr>
              <w:rFonts w:ascii="Book Antiqua" w:hAnsi="Book Antiqua" w:cs="Arial"/>
            </w:rPr>
            <w:t>University</w:t>
          </w:r>
        </w:smartTag>
        <w:r w:rsidR="00F60AB0">
          <w:rPr>
            <w:rFonts w:ascii="Book Antiqua" w:hAnsi="Book Antiqua" w:cs="Arial"/>
          </w:rPr>
          <w:t xml:space="preserve"> of </w:t>
        </w:r>
        <w:smartTag w:uri="urn:schemas-microsoft-com:office:smarttags" w:element="PlaceName">
          <w:r w:rsidR="00F60AB0">
            <w:rPr>
              <w:rFonts w:ascii="Book Antiqua" w:hAnsi="Book Antiqua" w:cs="Arial"/>
            </w:rPr>
            <w:t>Ulster</w:t>
          </w:r>
        </w:smartTag>
      </w:smartTag>
      <w:r w:rsidR="00F60AB0">
        <w:rPr>
          <w:rFonts w:ascii="Book Antiqua" w:hAnsi="Book Antiqua" w:cs="Arial"/>
        </w:rPr>
        <w:t xml:space="preserve">.  </w:t>
      </w:r>
    </w:p>
    <w:p w14:paraId="44F5BA04" w14:textId="77777777" w:rsidR="00F60AB0" w:rsidRDefault="00F60AB0"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I am satisfied therefore </w:t>
      </w:r>
      <w:r w:rsidR="002544FD">
        <w:rPr>
          <w:rFonts w:ascii="Book Antiqua" w:hAnsi="Book Antiqua" w:cs="Arial"/>
        </w:rPr>
        <w:t>that the appellant has</w:t>
      </w:r>
      <w:r>
        <w:rPr>
          <w:rFonts w:ascii="Book Antiqua" w:hAnsi="Book Antiqua" w:cs="Arial"/>
        </w:rPr>
        <w:t xml:space="preserve"> discharged the burden to provide an innocent explanation, even if I were satisfied that the respondent had shifted the init</w:t>
      </w:r>
      <w:r w:rsidR="0080342F">
        <w:rPr>
          <w:rFonts w:ascii="Book Antiqua" w:hAnsi="Book Antiqua" w:cs="Arial"/>
        </w:rPr>
        <w:t xml:space="preserve">ial burden of proof.  </w:t>
      </w:r>
      <w:r>
        <w:rPr>
          <w:rFonts w:ascii="Book Antiqua" w:hAnsi="Book Antiqua" w:cs="Arial"/>
        </w:rPr>
        <w:t xml:space="preserve">I am further satisfied that the respondent has failed to discharge the ultimate </w:t>
      </w:r>
      <w:r w:rsidR="00E00DF4">
        <w:rPr>
          <w:rFonts w:ascii="Book Antiqua" w:hAnsi="Book Antiqua" w:cs="Arial"/>
        </w:rPr>
        <w:t>burden to</w:t>
      </w:r>
      <w:r>
        <w:rPr>
          <w:rFonts w:ascii="Book Antiqua" w:hAnsi="Book Antiqua" w:cs="Arial"/>
        </w:rPr>
        <w:t xml:space="preserve"> show that the appellant’s prima facie innocent explanation is to be rejected and no </w:t>
      </w:r>
      <w:r w:rsidR="00E00DF4">
        <w:rPr>
          <w:rFonts w:ascii="Book Antiqua" w:hAnsi="Book Antiqua" w:cs="Arial"/>
        </w:rPr>
        <w:t>such</w:t>
      </w:r>
      <w:r>
        <w:rPr>
          <w:rFonts w:ascii="Book Antiqua" w:hAnsi="Book Antiqua" w:cs="Arial"/>
        </w:rPr>
        <w:t xml:space="preserve"> arguments were forthcoming from Mr Bramble.  </w:t>
      </w:r>
    </w:p>
    <w:p w14:paraId="21EDFDE0" w14:textId="77777777" w:rsidR="00D05803" w:rsidRDefault="002544FD" w:rsidP="000239E1">
      <w:pPr>
        <w:numPr>
          <w:ilvl w:val="0"/>
          <w:numId w:val="3"/>
        </w:numPr>
        <w:tabs>
          <w:tab w:val="clear" w:pos="567"/>
        </w:tabs>
        <w:spacing w:before="240"/>
        <w:jc w:val="both"/>
        <w:rPr>
          <w:rFonts w:ascii="Book Antiqua" w:hAnsi="Book Antiqua" w:cs="Arial"/>
        </w:rPr>
      </w:pPr>
      <w:r>
        <w:rPr>
          <w:rFonts w:ascii="Book Antiqua" w:hAnsi="Book Antiqua" w:cs="Arial"/>
        </w:rPr>
        <w:t>The respondent’s contention</w:t>
      </w:r>
      <w:r w:rsidR="0080342F">
        <w:rPr>
          <w:rFonts w:ascii="Book Antiqua" w:hAnsi="Book Antiqua" w:cs="Arial"/>
        </w:rPr>
        <w:t xml:space="preserve"> in the refusal letter</w:t>
      </w:r>
      <w:r>
        <w:rPr>
          <w:rFonts w:ascii="Book Antiqua" w:hAnsi="Book Antiqua" w:cs="Arial"/>
        </w:rPr>
        <w:t xml:space="preserve"> was that the appellant was of poor character.  Given that I am not satisfied that it has been demonstrated that the appellant used a proxy test taker or that he used deception in any way, I am not satisfied that it has been demonstrated that the appellant was of poor character.  </w:t>
      </w:r>
      <w:r w:rsidR="00D05803">
        <w:rPr>
          <w:rFonts w:ascii="Book Antiqua" w:hAnsi="Book Antiqua" w:cs="Arial"/>
        </w:rPr>
        <w:t xml:space="preserve">The appellant’s </w:t>
      </w:r>
      <w:r>
        <w:rPr>
          <w:rFonts w:ascii="Book Antiqua" w:hAnsi="Book Antiqua" w:cs="Arial"/>
        </w:rPr>
        <w:t xml:space="preserve">argument that </w:t>
      </w:r>
      <w:r w:rsidR="00D05803">
        <w:rPr>
          <w:rFonts w:ascii="Book Antiqua" w:hAnsi="Book Antiqua" w:cs="Arial"/>
        </w:rPr>
        <w:t>paragraph 322</w:t>
      </w:r>
      <w:r>
        <w:rPr>
          <w:rFonts w:ascii="Book Antiqua" w:hAnsi="Book Antiqua" w:cs="Arial"/>
        </w:rPr>
        <w:t xml:space="preserve"> is not made out,</w:t>
      </w:r>
      <w:r w:rsidR="00D05803">
        <w:rPr>
          <w:rFonts w:ascii="Book Antiqua" w:hAnsi="Book Antiqua" w:cs="Arial"/>
        </w:rPr>
        <w:t xml:space="preserve"> </w:t>
      </w:r>
      <w:r>
        <w:rPr>
          <w:rFonts w:ascii="Book Antiqua" w:hAnsi="Book Antiqua" w:cs="Arial"/>
        </w:rPr>
        <w:t>must succeed</w:t>
      </w:r>
      <w:r w:rsidR="00D05803">
        <w:rPr>
          <w:rFonts w:ascii="Book Antiqua" w:hAnsi="Book Antiqua" w:cs="Arial"/>
        </w:rPr>
        <w:t>.</w:t>
      </w:r>
    </w:p>
    <w:p w14:paraId="42314CB9" w14:textId="77777777" w:rsidR="00D05803" w:rsidRDefault="00D05803" w:rsidP="00BD5918">
      <w:pPr>
        <w:numPr>
          <w:ilvl w:val="0"/>
          <w:numId w:val="3"/>
        </w:numPr>
        <w:tabs>
          <w:tab w:val="clear" w:pos="567"/>
        </w:tabs>
        <w:spacing w:before="240"/>
        <w:jc w:val="both"/>
        <w:rPr>
          <w:rFonts w:ascii="Book Antiqua" w:hAnsi="Book Antiqua" w:cs="Arial"/>
        </w:rPr>
      </w:pPr>
      <w:r>
        <w:rPr>
          <w:rFonts w:ascii="Book Antiqua" w:hAnsi="Book Antiqua" w:cs="Arial"/>
        </w:rPr>
        <w:t xml:space="preserve">I therefore go on to consider the appellant’s appeal against the decision of the respondent to refuse his application under paragraph 276B of </w:t>
      </w:r>
      <w:r w:rsidR="0080342F">
        <w:rPr>
          <w:rFonts w:ascii="Book Antiqua" w:hAnsi="Book Antiqua" w:cs="Arial"/>
        </w:rPr>
        <w:t>the Immigration Rules.</w:t>
      </w:r>
      <w:r>
        <w:rPr>
          <w:rFonts w:ascii="Book Antiqua" w:hAnsi="Book Antiqua" w:cs="Arial"/>
        </w:rPr>
        <w:t xml:space="preserve">  It was not disputed by the respondent at any stage that the appellant has resided in the UK for ten years’ lawfully.  </w:t>
      </w:r>
      <w:r w:rsidR="0080342F">
        <w:rPr>
          <w:rFonts w:ascii="Book Antiqua" w:hAnsi="Book Antiqua" w:cs="Arial"/>
        </w:rPr>
        <w:t xml:space="preserve">The respondent did not raise any additional grounds for refusal under paragraph </w:t>
      </w:r>
      <w:r w:rsidR="00272938">
        <w:rPr>
          <w:rFonts w:ascii="Book Antiqua" w:hAnsi="Book Antiqua" w:cs="Arial"/>
        </w:rPr>
        <w:t>276B and I am satisfied that the appellant meets all the relevant requirements.</w:t>
      </w:r>
    </w:p>
    <w:p w14:paraId="78592095" w14:textId="77777777" w:rsidR="00507B9D" w:rsidRDefault="00272938"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It is no longer possible for the Tribunal to allow an appeal on the grounds that a decision is not in accordance with the law and the appeal can only be determined thought the provisions of the ECHR (see </w:t>
      </w:r>
      <w:r w:rsidRPr="00272938">
        <w:rPr>
          <w:rFonts w:ascii="Book Antiqua" w:hAnsi="Book Antiqua" w:cs="Arial"/>
          <w:b/>
          <w:u w:val="single"/>
        </w:rPr>
        <w:t>Charles (human rights appeal: scope)</w:t>
      </w:r>
      <w:r w:rsidRPr="00272938">
        <w:rPr>
          <w:rFonts w:ascii="Book Antiqua" w:hAnsi="Book Antiqua" w:cs="Arial"/>
          <w:b/>
        </w:rPr>
        <w:t xml:space="preserve"> [2018] UKUT 00089 (IAC))</w:t>
      </w:r>
      <w:r>
        <w:rPr>
          <w:rFonts w:ascii="Book Antiqua" w:hAnsi="Book Antiqua" w:cs="Arial"/>
        </w:rPr>
        <w:t xml:space="preserve">. </w:t>
      </w:r>
      <w:r w:rsidR="00507B9D">
        <w:rPr>
          <w:rFonts w:ascii="Book Antiqua" w:hAnsi="Book Antiqua" w:cs="Arial"/>
        </w:rPr>
        <w:t>I have</w:t>
      </w:r>
      <w:r>
        <w:rPr>
          <w:rFonts w:ascii="Book Antiqua" w:hAnsi="Book Antiqua" w:cs="Arial"/>
        </w:rPr>
        <w:t xml:space="preserve"> therefore</w:t>
      </w:r>
      <w:r w:rsidR="00507B9D">
        <w:rPr>
          <w:rFonts w:ascii="Book Antiqua" w:hAnsi="Book Antiqua" w:cs="Arial"/>
        </w:rPr>
        <w:t xml:space="preserve"> considered the five stage test in </w:t>
      </w:r>
      <w:proofErr w:type="spellStart"/>
      <w:r w:rsidR="00507B9D" w:rsidRPr="00507B9D">
        <w:rPr>
          <w:rFonts w:ascii="Book Antiqua" w:hAnsi="Book Antiqua" w:cs="Arial"/>
          <w:b/>
          <w:u w:val="single"/>
        </w:rPr>
        <w:t>Razgar</w:t>
      </w:r>
      <w:proofErr w:type="spellEnd"/>
      <w:r w:rsidR="00507B9D" w:rsidRPr="00507B9D">
        <w:rPr>
          <w:rFonts w:ascii="Book Antiqua" w:hAnsi="Book Antiqua" w:cs="Arial"/>
          <w:b/>
        </w:rPr>
        <w:t xml:space="preserve"> [2004] UKHL 27</w:t>
      </w:r>
      <w:r w:rsidR="00507B9D">
        <w:rPr>
          <w:rFonts w:ascii="Book Antiqua" w:hAnsi="Book Antiqua" w:cs="Arial"/>
        </w:rPr>
        <w:t xml:space="preserve">.  </w:t>
      </w:r>
      <w:r w:rsidR="00BD5918">
        <w:rPr>
          <w:rFonts w:ascii="Book Antiqua" w:hAnsi="Book Antiqua" w:cs="Arial"/>
        </w:rPr>
        <w:t xml:space="preserve">The first four questions are uncontroversial in this case and can be answered in the affirmative.  </w:t>
      </w:r>
      <w:r w:rsidR="00507B9D">
        <w:rPr>
          <w:rFonts w:ascii="Book Antiqua" w:hAnsi="Book Antiqua" w:cs="Arial"/>
        </w:rPr>
        <w:t xml:space="preserve">The ultimate question to be resolved is the proportionality question.  As already indicated the appellant has </w:t>
      </w:r>
      <w:r w:rsidR="00BD5918">
        <w:rPr>
          <w:rFonts w:ascii="Book Antiqua" w:hAnsi="Book Antiqua" w:cs="Arial"/>
        </w:rPr>
        <w:t>demonstrated</w:t>
      </w:r>
      <w:r w:rsidR="00507B9D">
        <w:rPr>
          <w:rFonts w:ascii="Book Antiqua" w:hAnsi="Book Antiqua" w:cs="Arial"/>
        </w:rPr>
        <w:t xml:space="preserve"> that he meets the requirements of the relevant Immigration Rules (paragraph 276B)</w:t>
      </w:r>
      <w:r w:rsidR="00BD5918">
        <w:rPr>
          <w:rFonts w:ascii="Book Antiqua" w:hAnsi="Book Antiqua" w:cs="Arial"/>
        </w:rPr>
        <w:t>;</w:t>
      </w:r>
      <w:r w:rsidR="00A001E5">
        <w:rPr>
          <w:rFonts w:ascii="Book Antiqua" w:hAnsi="Book Antiqua" w:cs="Arial"/>
        </w:rPr>
        <w:t xml:space="preserve"> that is a significant</w:t>
      </w:r>
      <w:r w:rsidR="00BD5918">
        <w:rPr>
          <w:rFonts w:ascii="Book Antiqua" w:hAnsi="Book Antiqua" w:cs="Arial"/>
        </w:rPr>
        <w:t xml:space="preserve"> and</w:t>
      </w:r>
      <w:r w:rsidR="00A001E5">
        <w:rPr>
          <w:rFonts w:ascii="Book Antiqua" w:hAnsi="Book Antiqua" w:cs="Arial"/>
        </w:rPr>
        <w:t xml:space="preserve"> weighty factor in the appellant’s favour.  </w:t>
      </w:r>
      <w:r w:rsidR="00BD5918">
        <w:rPr>
          <w:rFonts w:ascii="Book Antiqua" w:hAnsi="Book Antiqua" w:cs="Arial"/>
        </w:rPr>
        <w:t>I accept that the appellant has built up a longstanding and lawful private life in the UK</w:t>
      </w:r>
    </w:p>
    <w:p w14:paraId="0E43E9FF" w14:textId="77777777" w:rsidR="00A001E5" w:rsidRDefault="00A001E5" w:rsidP="00E00DF4">
      <w:pPr>
        <w:numPr>
          <w:ilvl w:val="0"/>
          <w:numId w:val="3"/>
        </w:numPr>
        <w:tabs>
          <w:tab w:val="clear" w:pos="567"/>
        </w:tabs>
        <w:spacing w:before="240"/>
        <w:jc w:val="both"/>
        <w:rPr>
          <w:rFonts w:ascii="Book Antiqua" w:hAnsi="Book Antiqua"/>
        </w:rPr>
      </w:pPr>
      <w:r w:rsidRPr="00E00DF4">
        <w:rPr>
          <w:rFonts w:ascii="Book Antiqua" w:hAnsi="Book Antiqua"/>
        </w:rPr>
        <w:t xml:space="preserve">I have considered as I must </w:t>
      </w:r>
      <w:r w:rsidR="00BD5918">
        <w:rPr>
          <w:rFonts w:ascii="Book Antiqua" w:hAnsi="Book Antiqua"/>
        </w:rPr>
        <w:t xml:space="preserve">‘public interest’ test within the meaning of </w:t>
      </w:r>
      <w:r w:rsidRPr="00E00DF4">
        <w:rPr>
          <w:rFonts w:ascii="Book Antiqua" w:hAnsi="Book Antiqua"/>
        </w:rPr>
        <w:t xml:space="preserve">Section 117 of the 2002 Act.  </w:t>
      </w:r>
      <w:r w:rsidR="00BD5918">
        <w:rPr>
          <w:rFonts w:ascii="Book Antiqua" w:hAnsi="Book Antiqua"/>
        </w:rPr>
        <w:t xml:space="preserve">I have considered the factors set out at section 117B.  The public interest in the maintenance of immigration control is not met as in the absence of any dishonesty on the appellant’s part, he meets the requirements of paragraph 276B.  </w:t>
      </w:r>
      <w:r w:rsidRPr="00E00DF4">
        <w:rPr>
          <w:rFonts w:ascii="Book Antiqua" w:hAnsi="Book Antiqua"/>
        </w:rPr>
        <w:t xml:space="preserve">The appellant does not </w:t>
      </w:r>
      <w:r w:rsidR="00BD5918">
        <w:rPr>
          <w:rFonts w:ascii="Book Antiqua" w:hAnsi="Book Antiqua"/>
        </w:rPr>
        <w:t>infringe</w:t>
      </w:r>
      <w:r w:rsidRPr="00E00DF4">
        <w:rPr>
          <w:rFonts w:ascii="Book Antiqua" w:hAnsi="Book Antiqua"/>
        </w:rPr>
        <w:t xml:space="preserve"> the English language requirement for the reasons already g</w:t>
      </w:r>
      <w:r w:rsidR="002544FD">
        <w:rPr>
          <w:rFonts w:ascii="Book Antiqua" w:hAnsi="Book Antiqua"/>
        </w:rPr>
        <w:t xml:space="preserve">iven and it was not argued </w:t>
      </w:r>
      <w:r w:rsidRPr="00E00DF4">
        <w:rPr>
          <w:rFonts w:ascii="Book Antiqua" w:hAnsi="Book Antiqua"/>
        </w:rPr>
        <w:t xml:space="preserve">that he was not financially independent.  </w:t>
      </w:r>
      <w:r w:rsidR="00BD5918">
        <w:rPr>
          <w:rFonts w:ascii="Book Antiqua" w:hAnsi="Book Antiqua"/>
        </w:rPr>
        <w:t>I must attach limited weight to the appellant’s private life as it was established at a time when his immigration status was precarious.  However, little weight does not mean</w:t>
      </w:r>
      <w:r w:rsidR="00272938">
        <w:rPr>
          <w:rFonts w:ascii="Book Antiqua" w:hAnsi="Book Antiqua"/>
        </w:rPr>
        <w:t xml:space="preserve"> no weight.  </w:t>
      </w:r>
      <w:r w:rsidRPr="00E00DF4">
        <w:rPr>
          <w:rFonts w:ascii="Book Antiqua" w:hAnsi="Book Antiqua"/>
        </w:rPr>
        <w:t>Applying th</w:t>
      </w:r>
      <w:r w:rsidR="002544FD">
        <w:rPr>
          <w:rFonts w:ascii="Book Antiqua" w:hAnsi="Book Antiqua"/>
        </w:rPr>
        <w:t>e balance sheet approach</w:t>
      </w:r>
      <w:r w:rsidRPr="00E00DF4">
        <w:rPr>
          <w:rFonts w:ascii="Book Antiqua" w:hAnsi="Book Antiqua"/>
        </w:rPr>
        <w:t xml:space="preserve"> approved in </w:t>
      </w:r>
      <w:r w:rsidRPr="00E00DF4">
        <w:rPr>
          <w:rFonts w:ascii="Book Antiqua" w:hAnsi="Book Antiqua"/>
          <w:b/>
          <w:u w:val="single"/>
        </w:rPr>
        <w:t>Hesham Ali</w:t>
      </w:r>
      <w:r w:rsidRPr="00E00DF4">
        <w:rPr>
          <w:rFonts w:ascii="Book Antiqua" w:hAnsi="Book Antiqua"/>
          <w:b/>
        </w:rPr>
        <w:t xml:space="preserve"> </w:t>
      </w:r>
      <w:r w:rsidR="00E00DF4" w:rsidRPr="00E00DF4">
        <w:rPr>
          <w:rFonts w:ascii="Book Antiqua" w:hAnsi="Book Antiqua"/>
          <w:b/>
        </w:rPr>
        <w:t>[2016] UKSC 60</w:t>
      </w:r>
      <w:r w:rsidR="00E00DF4" w:rsidRPr="00E00DF4">
        <w:rPr>
          <w:rFonts w:ascii="Book Antiqua" w:hAnsi="Book Antiqua"/>
        </w:rPr>
        <w:t xml:space="preserve"> </w:t>
      </w:r>
      <w:r w:rsidR="00272938">
        <w:rPr>
          <w:rFonts w:ascii="Book Antiqua" w:hAnsi="Book Antiqua"/>
        </w:rPr>
        <w:t>I am</w:t>
      </w:r>
      <w:r w:rsidR="00E00DF4">
        <w:rPr>
          <w:rFonts w:ascii="Book Antiqua" w:hAnsi="Book Antiqua"/>
        </w:rPr>
        <w:t xml:space="preserve"> satisfied that the interference with the appellant’s private life is </w:t>
      </w:r>
      <w:r w:rsidR="00272938">
        <w:rPr>
          <w:rFonts w:ascii="Book Antiqua" w:hAnsi="Book Antiqua"/>
        </w:rPr>
        <w:t>disproportionate</w:t>
      </w:r>
      <w:r w:rsidR="00E00DF4">
        <w:rPr>
          <w:rFonts w:ascii="Book Antiqua" w:hAnsi="Book Antiqua"/>
        </w:rPr>
        <w:t xml:space="preserve">.  </w:t>
      </w:r>
    </w:p>
    <w:p w14:paraId="2F0CE0E6" w14:textId="77777777" w:rsidR="00C070A0" w:rsidRDefault="00C070A0" w:rsidP="00E00DF4">
      <w:pPr>
        <w:spacing w:before="240"/>
        <w:jc w:val="both"/>
        <w:rPr>
          <w:rFonts w:ascii="Book Antiqua" w:hAnsi="Book Antiqua"/>
          <w:b/>
          <w:u w:val="single"/>
        </w:rPr>
      </w:pPr>
    </w:p>
    <w:p w14:paraId="370AEF92" w14:textId="20BA8855" w:rsidR="00E00DF4" w:rsidRPr="00E00DF4" w:rsidRDefault="00E00DF4" w:rsidP="00E00DF4">
      <w:pPr>
        <w:spacing w:before="240"/>
        <w:jc w:val="both"/>
        <w:rPr>
          <w:rFonts w:ascii="Book Antiqua" w:hAnsi="Book Antiqua"/>
          <w:b/>
          <w:u w:val="single"/>
        </w:rPr>
      </w:pPr>
      <w:r w:rsidRPr="00E00DF4">
        <w:rPr>
          <w:rFonts w:ascii="Book Antiqua" w:hAnsi="Book Antiqua"/>
          <w:b/>
          <w:u w:val="single"/>
        </w:rPr>
        <w:t xml:space="preserve">Notice of Decision </w:t>
      </w:r>
    </w:p>
    <w:p w14:paraId="3995972B" w14:textId="77777777" w:rsidR="00E00DF4" w:rsidRDefault="00E00DF4" w:rsidP="00E00DF4">
      <w:pPr>
        <w:numPr>
          <w:ilvl w:val="0"/>
          <w:numId w:val="3"/>
        </w:numPr>
        <w:tabs>
          <w:tab w:val="clear" w:pos="567"/>
        </w:tabs>
        <w:spacing w:before="240"/>
        <w:jc w:val="both"/>
        <w:rPr>
          <w:rFonts w:ascii="Book Antiqua" w:hAnsi="Book Antiqua"/>
        </w:rPr>
      </w:pPr>
      <w:r>
        <w:rPr>
          <w:rFonts w:ascii="Book Antiqua" w:hAnsi="Book Antiqua"/>
        </w:rPr>
        <w:t>The</w:t>
      </w:r>
      <w:r w:rsidR="00272938">
        <w:rPr>
          <w:rFonts w:ascii="Book Antiqua" w:hAnsi="Book Antiqua"/>
        </w:rPr>
        <w:t xml:space="preserve"> decision of the First tier Tribunal contains an error of law and is set aside.  I remake the decision allowing the appellant’s appeal </w:t>
      </w:r>
      <w:r>
        <w:rPr>
          <w:rFonts w:ascii="Book Antiqua" w:hAnsi="Book Antiqua"/>
        </w:rPr>
        <w:t>on human rights grounds.</w:t>
      </w:r>
    </w:p>
    <w:p w14:paraId="6B84FBA2" w14:textId="77777777" w:rsidR="00C070A0" w:rsidRDefault="00C070A0" w:rsidP="00272938">
      <w:pPr>
        <w:spacing w:before="240"/>
        <w:jc w:val="both"/>
        <w:rPr>
          <w:rFonts w:ascii="Book Antiqua" w:hAnsi="Book Antiqua"/>
        </w:rPr>
      </w:pPr>
    </w:p>
    <w:p w14:paraId="3AD53260" w14:textId="59AA0B6B" w:rsidR="000239E1" w:rsidRDefault="00E00DF4" w:rsidP="00272938">
      <w:pPr>
        <w:spacing w:before="240"/>
        <w:jc w:val="both"/>
        <w:rPr>
          <w:rFonts w:ascii="Book Antiqua" w:hAnsi="Book Antiqua" w:cs="Arial"/>
        </w:rPr>
      </w:pPr>
      <w:bookmarkStart w:id="1" w:name="_GoBack"/>
      <w:bookmarkEnd w:id="1"/>
      <w:r>
        <w:rPr>
          <w:rFonts w:ascii="Book Antiqua" w:hAnsi="Book Antiqua"/>
        </w:rPr>
        <w:lastRenderedPageBreak/>
        <w:t>No</w:t>
      </w:r>
      <w:r w:rsidR="000239E1">
        <w:rPr>
          <w:rFonts w:ascii="Book Antiqua" w:hAnsi="Book Antiqua" w:cs="Arial"/>
        </w:rPr>
        <w:t xml:space="preserve"> anonymity direction</w:t>
      </w:r>
      <w:r w:rsidR="00272938">
        <w:rPr>
          <w:rFonts w:ascii="Book Antiqua" w:hAnsi="Book Antiqua" w:cs="Arial"/>
        </w:rPr>
        <w:t xml:space="preserve"> was sought or</w:t>
      </w:r>
      <w:r w:rsidR="000239E1">
        <w:rPr>
          <w:rFonts w:ascii="Book Antiqua" w:hAnsi="Book Antiqua" w:cs="Arial"/>
        </w:rPr>
        <w:t xml:space="preserve"> is made.</w:t>
      </w:r>
    </w:p>
    <w:p w14:paraId="1FFA59FA" w14:textId="77777777" w:rsidR="000239E1" w:rsidRDefault="000239E1" w:rsidP="000239E1">
      <w:pPr>
        <w:jc w:val="both"/>
        <w:rPr>
          <w:rFonts w:ascii="Book Antiqua" w:hAnsi="Book Antiqua" w:cs="Arial"/>
        </w:rPr>
      </w:pPr>
    </w:p>
    <w:p w14:paraId="625AA223" w14:textId="77777777" w:rsidR="00D949B7" w:rsidRPr="009B7433" w:rsidRDefault="00D949B7" w:rsidP="000A0743">
      <w:pPr>
        <w:jc w:val="both"/>
        <w:rPr>
          <w:rFonts w:ascii="Book Antiqua" w:hAnsi="Book Antiqua" w:cs="Arial"/>
        </w:rPr>
      </w:pPr>
    </w:p>
    <w:p w14:paraId="4A0AFC25"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72938">
        <w:rPr>
          <w:rFonts w:ascii="Book Antiqua" w:hAnsi="Book Antiqua" w:cs="Arial"/>
        </w:rPr>
        <w:t>:  13 June 2018</w:t>
      </w:r>
    </w:p>
    <w:p w14:paraId="2277F2B5" w14:textId="77777777" w:rsidR="001F2716" w:rsidRPr="009B7433" w:rsidRDefault="001F2716" w:rsidP="000A0743">
      <w:pPr>
        <w:jc w:val="both"/>
        <w:rPr>
          <w:rFonts w:ascii="Book Antiqua" w:hAnsi="Book Antiqua" w:cs="Arial"/>
        </w:rPr>
      </w:pPr>
    </w:p>
    <w:p w14:paraId="6EA6C65E" w14:textId="77777777" w:rsidR="001F2716" w:rsidRPr="009B7433" w:rsidRDefault="001F2716" w:rsidP="000A0743">
      <w:pPr>
        <w:jc w:val="both"/>
        <w:rPr>
          <w:rFonts w:ascii="Book Antiqua" w:hAnsi="Book Antiqua" w:cs="Arial"/>
        </w:rPr>
      </w:pPr>
    </w:p>
    <w:p w14:paraId="0F150255"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340725DC" w14:textId="77777777" w:rsidR="004B29B7" w:rsidRDefault="004B29B7" w:rsidP="00D05375">
      <w:pPr>
        <w:jc w:val="both"/>
        <w:rPr>
          <w:rFonts w:ascii="Book Antiqua" w:hAnsi="Book Antiqua" w:cs="Arial"/>
          <w:b/>
          <w:u w:val="single"/>
        </w:rPr>
      </w:pPr>
    </w:p>
    <w:p w14:paraId="11443E7E" w14:textId="77777777" w:rsidR="004B29B7" w:rsidRDefault="004B29B7" w:rsidP="00D05375">
      <w:pPr>
        <w:jc w:val="both"/>
        <w:rPr>
          <w:rFonts w:ascii="Book Antiqua" w:hAnsi="Book Antiqua" w:cs="Arial"/>
          <w:b/>
          <w:u w:val="single"/>
        </w:rPr>
      </w:pPr>
    </w:p>
    <w:p w14:paraId="021E2BE3"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5A865B36"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6F6605DA" w14:textId="77777777" w:rsidR="00D05375" w:rsidRPr="00887EB4" w:rsidRDefault="00D05375" w:rsidP="00D05375">
      <w:pPr>
        <w:ind w:left="567" w:hanging="567"/>
        <w:jc w:val="both"/>
        <w:rPr>
          <w:rFonts w:ascii="Book Antiqua" w:hAnsi="Book Antiqua" w:cs="Arial"/>
        </w:rPr>
      </w:pPr>
    </w:p>
    <w:p w14:paraId="37FB67DE" w14:textId="77777777" w:rsidR="00E00DF4" w:rsidRDefault="00E00DF4" w:rsidP="00E00DF4">
      <w:pPr>
        <w:jc w:val="both"/>
        <w:rPr>
          <w:rFonts w:ascii="Book Antiqua" w:hAnsi="Book Antiqua" w:cs="Arial"/>
        </w:rPr>
      </w:pPr>
      <w:r>
        <w:rPr>
          <w:rFonts w:ascii="Book Antiqua" w:hAnsi="Book Antiqua" w:cs="Arial"/>
        </w:rPr>
        <w:t>As I have allowed the appeal and because a fee has been paid or is payable, I have considered making a fee a</w:t>
      </w:r>
      <w:r w:rsidR="00272938">
        <w:rPr>
          <w:rFonts w:ascii="Book Antiqua" w:hAnsi="Book Antiqua" w:cs="Arial"/>
        </w:rPr>
        <w:t>ward and have decided to make a full</w:t>
      </w:r>
      <w:r>
        <w:rPr>
          <w:rFonts w:ascii="Book Antiqua" w:hAnsi="Book Antiqua" w:cs="Arial"/>
        </w:rPr>
        <w:t xml:space="preserve"> fee award </w:t>
      </w:r>
    </w:p>
    <w:p w14:paraId="42CC8A3D" w14:textId="77777777" w:rsidR="00D949B7" w:rsidRDefault="00D949B7" w:rsidP="00D949B7">
      <w:pPr>
        <w:jc w:val="both"/>
        <w:rPr>
          <w:rFonts w:ascii="Book Antiqua" w:hAnsi="Book Antiqua" w:cs="Arial"/>
        </w:rPr>
      </w:pPr>
    </w:p>
    <w:p w14:paraId="3BE010CA" w14:textId="77777777" w:rsidR="00D949B7" w:rsidRDefault="00D949B7" w:rsidP="00D949B7">
      <w:pPr>
        <w:jc w:val="both"/>
        <w:rPr>
          <w:rFonts w:ascii="Book Antiqua" w:hAnsi="Book Antiqua" w:cs="Arial"/>
        </w:rPr>
      </w:pPr>
    </w:p>
    <w:p w14:paraId="1DF0EBED" w14:textId="77777777" w:rsidR="00D949B7" w:rsidRDefault="00D949B7" w:rsidP="00D949B7">
      <w:pPr>
        <w:jc w:val="both"/>
        <w:rPr>
          <w:rFonts w:ascii="Book Antiqua" w:hAnsi="Book Antiqua" w:cs="Arial"/>
        </w:rPr>
      </w:pPr>
    </w:p>
    <w:p w14:paraId="3E97B512" w14:textId="77777777" w:rsidR="00E00DF4" w:rsidRDefault="00E00DF4" w:rsidP="00D949B7">
      <w:pPr>
        <w:jc w:val="both"/>
        <w:rPr>
          <w:rFonts w:ascii="Book Antiqua" w:hAnsi="Book Antiqua" w:cs="Arial"/>
        </w:rPr>
      </w:pPr>
    </w:p>
    <w:p w14:paraId="5D0A4270" w14:textId="77777777" w:rsidR="00D949B7" w:rsidRDefault="00D949B7" w:rsidP="00D949B7">
      <w:pPr>
        <w:jc w:val="both"/>
        <w:rPr>
          <w:rFonts w:ascii="Book Antiqua" w:hAnsi="Book Antiqua" w:cs="Arial"/>
        </w:rPr>
      </w:pPr>
    </w:p>
    <w:p w14:paraId="6DA3A6CA"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bookmarkStart w:id="2" w:name="_Hlk516738034"/>
      <w:r w:rsidRPr="009B7433">
        <w:rPr>
          <w:rFonts w:ascii="Book Antiqua" w:hAnsi="Book Antiqua" w:cs="Arial"/>
        </w:rPr>
        <w:t>Date</w:t>
      </w:r>
      <w:r w:rsidR="00272938">
        <w:rPr>
          <w:rFonts w:ascii="Book Antiqua" w:hAnsi="Book Antiqua" w:cs="Arial"/>
        </w:rPr>
        <w:t>:  13 June 2018</w:t>
      </w:r>
      <w:bookmarkEnd w:id="2"/>
    </w:p>
    <w:p w14:paraId="3A4286FF" w14:textId="77777777" w:rsidR="00D949B7" w:rsidRPr="009B7433" w:rsidRDefault="00D949B7" w:rsidP="000A0743">
      <w:pPr>
        <w:jc w:val="both"/>
        <w:rPr>
          <w:rFonts w:ascii="Book Antiqua" w:hAnsi="Book Antiqua" w:cs="Arial"/>
        </w:rPr>
      </w:pPr>
    </w:p>
    <w:p w14:paraId="2541C8F8" w14:textId="77777777" w:rsidR="00D949B7" w:rsidRPr="009B7433" w:rsidRDefault="00D949B7" w:rsidP="000A0743">
      <w:pPr>
        <w:jc w:val="both"/>
        <w:rPr>
          <w:rFonts w:ascii="Book Antiqua" w:hAnsi="Book Antiqua" w:cs="Arial"/>
        </w:rPr>
      </w:pPr>
    </w:p>
    <w:p w14:paraId="67C78DE2" w14:textId="77777777" w:rsidR="0031063C" w:rsidRDefault="00C23DFC" w:rsidP="0031063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6D9B155A" w14:textId="77777777" w:rsidR="0031063C" w:rsidRPr="0031063C" w:rsidRDefault="0031063C" w:rsidP="0031063C">
      <w:pPr>
        <w:jc w:val="both"/>
        <w:rPr>
          <w:rFonts w:ascii="Book Antiqua" w:hAnsi="Book Antiqua" w:cs="Arial"/>
          <w:color w:val="000000"/>
        </w:rPr>
        <w:sectPr w:rsidR="0031063C" w:rsidRPr="0031063C" w:rsidSect="00A17597">
          <w:headerReference w:type="default" r:id="rId8"/>
          <w:footerReference w:type="default" r:id="rId9"/>
          <w:headerReference w:type="first" r:id="rId10"/>
          <w:footerReference w:type="first" r:id="rId11"/>
          <w:type w:val="continuous"/>
          <w:pgSz w:w="11906" w:h="16838"/>
          <w:pgMar w:top="709" w:right="1134" w:bottom="1440" w:left="1134" w:header="709" w:footer="709" w:gutter="0"/>
          <w:cols w:space="708"/>
          <w:titlePg/>
          <w:docGrid w:linePitch="360"/>
        </w:sectPr>
      </w:pPr>
    </w:p>
    <w:p w14:paraId="718F205E" w14:textId="77777777" w:rsidR="00B95326" w:rsidRPr="009B7433" w:rsidRDefault="00B95326" w:rsidP="0031063C">
      <w:pPr>
        <w:tabs>
          <w:tab w:val="left" w:pos="2520"/>
        </w:tabs>
        <w:jc w:val="both"/>
        <w:rPr>
          <w:rFonts w:ascii="Book Antiqua" w:hAnsi="Book Antiqua" w:cs="Arial"/>
        </w:rPr>
      </w:pPr>
    </w:p>
    <w:sectPr w:rsidR="00B95326" w:rsidRPr="009B7433" w:rsidSect="0031063C">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AECB4" w14:textId="77777777" w:rsidR="00686CCF" w:rsidRDefault="00686CCF">
      <w:r>
        <w:separator/>
      </w:r>
    </w:p>
  </w:endnote>
  <w:endnote w:type="continuationSeparator" w:id="0">
    <w:p w14:paraId="71AF0801" w14:textId="77777777" w:rsidR="00686CCF" w:rsidRDefault="0068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0DBBA" w14:textId="530AE99D" w:rsidR="00A001E5" w:rsidRPr="00A17597" w:rsidRDefault="00A001E5" w:rsidP="00593795">
    <w:pPr>
      <w:pStyle w:val="Footer"/>
      <w:jc w:val="center"/>
      <w:rPr>
        <w:rFonts w:ascii="Book Antiqua" w:hAnsi="Book Antiqua" w:cs="Arial"/>
      </w:rPr>
    </w:pPr>
    <w:r w:rsidRPr="00A17597">
      <w:rPr>
        <w:rStyle w:val="PageNumber"/>
        <w:rFonts w:ascii="Book Antiqua" w:hAnsi="Book Antiqua" w:cs="Arial"/>
      </w:rPr>
      <w:fldChar w:fldCharType="begin"/>
    </w:r>
    <w:r w:rsidRPr="00A17597">
      <w:rPr>
        <w:rStyle w:val="PageNumber"/>
        <w:rFonts w:ascii="Book Antiqua" w:hAnsi="Book Antiqua" w:cs="Arial"/>
      </w:rPr>
      <w:instrText xml:space="preserve"> PAGE </w:instrText>
    </w:r>
    <w:r w:rsidRPr="00A17597">
      <w:rPr>
        <w:rStyle w:val="PageNumber"/>
        <w:rFonts w:ascii="Book Antiqua" w:hAnsi="Book Antiqua" w:cs="Arial"/>
      </w:rPr>
      <w:fldChar w:fldCharType="separate"/>
    </w:r>
    <w:r w:rsidR="00171002">
      <w:rPr>
        <w:rStyle w:val="PageNumber"/>
        <w:rFonts w:ascii="Book Antiqua" w:hAnsi="Book Antiqua" w:cs="Arial"/>
        <w:noProof/>
      </w:rPr>
      <w:t>3</w:t>
    </w:r>
    <w:r w:rsidRPr="00A1759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079D1" w14:textId="77777777" w:rsidR="00A001E5" w:rsidRPr="009B7433" w:rsidRDefault="00A001E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244C5" w14:textId="77777777" w:rsidR="00686CCF" w:rsidRDefault="00686CCF">
      <w:r>
        <w:separator/>
      </w:r>
    </w:p>
  </w:footnote>
  <w:footnote w:type="continuationSeparator" w:id="0">
    <w:p w14:paraId="19C395D8" w14:textId="77777777" w:rsidR="00686CCF" w:rsidRDefault="0068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532E" w14:textId="77777777" w:rsidR="00A001E5" w:rsidRPr="00110E53" w:rsidRDefault="00A001E5"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10E53">
      <w:rPr>
        <w:rFonts w:ascii="Book Antiqua" w:hAnsi="Book Antiqua" w:cs="Arial"/>
        <w:sz w:val="16"/>
        <w:szCs w:val="16"/>
      </w:rPr>
      <w:t>HU/20293/2016</w:t>
    </w:r>
  </w:p>
  <w:p w14:paraId="279AF06B" w14:textId="77777777" w:rsidR="00A001E5" w:rsidRPr="000239E1" w:rsidRDefault="00A001E5"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2E0F" w14:textId="77777777" w:rsidR="00A001E5" w:rsidRPr="009B7433" w:rsidRDefault="00A001E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4AC6E560"/>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ECB11C7"/>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08"/>
    <w:rsid w:val="00000621"/>
    <w:rsid w:val="000036C2"/>
    <w:rsid w:val="00016C1A"/>
    <w:rsid w:val="000239E1"/>
    <w:rsid w:val="00033588"/>
    <w:rsid w:val="00033D3D"/>
    <w:rsid w:val="000363C4"/>
    <w:rsid w:val="0004776F"/>
    <w:rsid w:val="00052895"/>
    <w:rsid w:val="00062F02"/>
    <w:rsid w:val="00071A7E"/>
    <w:rsid w:val="000746C0"/>
    <w:rsid w:val="00074D1D"/>
    <w:rsid w:val="00092580"/>
    <w:rsid w:val="00093D4D"/>
    <w:rsid w:val="000A0743"/>
    <w:rsid w:val="000D5D94"/>
    <w:rsid w:val="000F1A0E"/>
    <w:rsid w:val="00110E53"/>
    <w:rsid w:val="001165A7"/>
    <w:rsid w:val="0016508E"/>
    <w:rsid w:val="00167D3A"/>
    <w:rsid w:val="00171002"/>
    <w:rsid w:val="00173F50"/>
    <w:rsid w:val="00185986"/>
    <w:rsid w:val="001A3082"/>
    <w:rsid w:val="001A53AD"/>
    <w:rsid w:val="001B186A"/>
    <w:rsid w:val="001B2F75"/>
    <w:rsid w:val="001C6F5F"/>
    <w:rsid w:val="001D35D7"/>
    <w:rsid w:val="001D6167"/>
    <w:rsid w:val="001F2716"/>
    <w:rsid w:val="001F3AC0"/>
    <w:rsid w:val="00207617"/>
    <w:rsid w:val="00222274"/>
    <w:rsid w:val="00227208"/>
    <w:rsid w:val="0023134B"/>
    <w:rsid w:val="002544FD"/>
    <w:rsid w:val="00272938"/>
    <w:rsid w:val="00283659"/>
    <w:rsid w:val="002A1DA8"/>
    <w:rsid w:val="002C3F24"/>
    <w:rsid w:val="002C6BD4"/>
    <w:rsid w:val="002D68BF"/>
    <w:rsid w:val="002E4541"/>
    <w:rsid w:val="002F6B98"/>
    <w:rsid w:val="0031063C"/>
    <w:rsid w:val="00336CBF"/>
    <w:rsid w:val="00343FE3"/>
    <w:rsid w:val="003546C8"/>
    <w:rsid w:val="003825D4"/>
    <w:rsid w:val="003905A8"/>
    <w:rsid w:val="003A7CF2"/>
    <w:rsid w:val="003C5CE5"/>
    <w:rsid w:val="003D6FAD"/>
    <w:rsid w:val="003E267B"/>
    <w:rsid w:val="003E7CD1"/>
    <w:rsid w:val="003F7448"/>
    <w:rsid w:val="00402B9E"/>
    <w:rsid w:val="00420968"/>
    <w:rsid w:val="004249CB"/>
    <w:rsid w:val="0044127D"/>
    <w:rsid w:val="004448DB"/>
    <w:rsid w:val="00446C9A"/>
    <w:rsid w:val="00452F2B"/>
    <w:rsid w:val="00477193"/>
    <w:rsid w:val="004925A4"/>
    <w:rsid w:val="00492E0F"/>
    <w:rsid w:val="004A1848"/>
    <w:rsid w:val="004A2D15"/>
    <w:rsid w:val="004A534C"/>
    <w:rsid w:val="004A6F4A"/>
    <w:rsid w:val="004B29B7"/>
    <w:rsid w:val="004B70D7"/>
    <w:rsid w:val="004C7779"/>
    <w:rsid w:val="004D6B45"/>
    <w:rsid w:val="004E4717"/>
    <w:rsid w:val="00507B9D"/>
    <w:rsid w:val="00507FEC"/>
    <w:rsid w:val="00510F0E"/>
    <w:rsid w:val="0052605C"/>
    <w:rsid w:val="0052783A"/>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33647"/>
    <w:rsid w:val="006434B6"/>
    <w:rsid w:val="00653E97"/>
    <w:rsid w:val="006667DB"/>
    <w:rsid w:val="00672285"/>
    <w:rsid w:val="00684A74"/>
    <w:rsid w:val="0068620A"/>
    <w:rsid w:val="00686CCF"/>
    <w:rsid w:val="00690B8A"/>
    <w:rsid w:val="006C5945"/>
    <w:rsid w:val="006D0A54"/>
    <w:rsid w:val="006D68CF"/>
    <w:rsid w:val="006F2CF1"/>
    <w:rsid w:val="007038ED"/>
    <w:rsid w:val="00703BC3"/>
    <w:rsid w:val="00704B61"/>
    <w:rsid w:val="00715A64"/>
    <w:rsid w:val="0072693A"/>
    <w:rsid w:val="00740C1F"/>
    <w:rsid w:val="00752ED0"/>
    <w:rsid w:val="007552A9"/>
    <w:rsid w:val="0075658A"/>
    <w:rsid w:val="00761858"/>
    <w:rsid w:val="00767D59"/>
    <w:rsid w:val="00776E97"/>
    <w:rsid w:val="00780F86"/>
    <w:rsid w:val="007912AD"/>
    <w:rsid w:val="007B0824"/>
    <w:rsid w:val="007B5D3C"/>
    <w:rsid w:val="0080342F"/>
    <w:rsid w:val="00815011"/>
    <w:rsid w:val="00821B72"/>
    <w:rsid w:val="00823EF2"/>
    <w:rsid w:val="008303B8"/>
    <w:rsid w:val="00833DCE"/>
    <w:rsid w:val="00833E86"/>
    <w:rsid w:val="00847B2A"/>
    <w:rsid w:val="0086255F"/>
    <w:rsid w:val="00871D34"/>
    <w:rsid w:val="00880CD8"/>
    <w:rsid w:val="008A25EC"/>
    <w:rsid w:val="008A5BA3"/>
    <w:rsid w:val="008A6059"/>
    <w:rsid w:val="008B270C"/>
    <w:rsid w:val="008B4D7B"/>
    <w:rsid w:val="008B5078"/>
    <w:rsid w:val="008C3D3D"/>
    <w:rsid w:val="008D4131"/>
    <w:rsid w:val="008E734D"/>
    <w:rsid w:val="008F1932"/>
    <w:rsid w:val="0090151B"/>
    <w:rsid w:val="009042A9"/>
    <w:rsid w:val="00921062"/>
    <w:rsid w:val="009510BB"/>
    <w:rsid w:val="00967800"/>
    <w:rsid w:val="009722BC"/>
    <w:rsid w:val="009727A3"/>
    <w:rsid w:val="00987774"/>
    <w:rsid w:val="009A11E8"/>
    <w:rsid w:val="009B7433"/>
    <w:rsid w:val="009C1539"/>
    <w:rsid w:val="009C57C8"/>
    <w:rsid w:val="009F5220"/>
    <w:rsid w:val="00A001E5"/>
    <w:rsid w:val="00A07919"/>
    <w:rsid w:val="00A15234"/>
    <w:rsid w:val="00A172F5"/>
    <w:rsid w:val="00A17597"/>
    <w:rsid w:val="00A201AB"/>
    <w:rsid w:val="00A31C8B"/>
    <w:rsid w:val="00A509FA"/>
    <w:rsid w:val="00A845DC"/>
    <w:rsid w:val="00B26AA2"/>
    <w:rsid w:val="00B3524D"/>
    <w:rsid w:val="00B40F69"/>
    <w:rsid w:val="00B46616"/>
    <w:rsid w:val="00B47B0C"/>
    <w:rsid w:val="00B528BB"/>
    <w:rsid w:val="00B7040A"/>
    <w:rsid w:val="00B81F43"/>
    <w:rsid w:val="00B83391"/>
    <w:rsid w:val="00B869E2"/>
    <w:rsid w:val="00B930B7"/>
    <w:rsid w:val="00B95326"/>
    <w:rsid w:val="00BD1748"/>
    <w:rsid w:val="00BD4196"/>
    <w:rsid w:val="00BD5918"/>
    <w:rsid w:val="00BF22CA"/>
    <w:rsid w:val="00BF23BB"/>
    <w:rsid w:val="00C070A0"/>
    <w:rsid w:val="00C22AA9"/>
    <w:rsid w:val="00C23DFC"/>
    <w:rsid w:val="00C26032"/>
    <w:rsid w:val="00C33A3E"/>
    <w:rsid w:val="00C345E1"/>
    <w:rsid w:val="00C40D6C"/>
    <w:rsid w:val="00C43BFD"/>
    <w:rsid w:val="00C50137"/>
    <w:rsid w:val="00C54B19"/>
    <w:rsid w:val="00C6048A"/>
    <w:rsid w:val="00CA3482"/>
    <w:rsid w:val="00CB6E35"/>
    <w:rsid w:val="00CE09B1"/>
    <w:rsid w:val="00CE1A46"/>
    <w:rsid w:val="00D05375"/>
    <w:rsid w:val="00D05803"/>
    <w:rsid w:val="00D05EA6"/>
    <w:rsid w:val="00D20757"/>
    <w:rsid w:val="00D22636"/>
    <w:rsid w:val="00D40FD9"/>
    <w:rsid w:val="00D53769"/>
    <w:rsid w:val="00D54C6C"/>
    <w:rsid w:val="00D606FA"/>
    <w:rsid w:val="00D64CBD"/>
    <w:rsid w:val="00D65BD7"/>
    <w:rsid w:val="00D6602D"/>
    <w:rsid w:val="00D85C13"/>
    <w:rsid w:val="00D86BEA"/>
    <w:rsid w:val="00D9111A"/>
    <w:rsid w:val="00D91BE3"/>
    <w:rsid w:val="00D949B7"/>
    <w:rsid w:val="00D94AFC"/>
    <w:rsid w:val="00DB70AE"/>
    <w:rsid w:val="00DD5071"/>
    <w:rsid w:val="00DD5C39"/>
    <w:rsid w:val="00DE5CD4"/>
    <w:rsid w:val="00DE7DB7"/>
    <w:rsid w:val="00E00A0A"/>
    <w:rsid w:val="00E00DF4"/>
    <w:rsid w:val="00E066DE"/>
    <w:rsid w:val="00E07F57"/>
    <w:rsid w:val="00E30683"/>
    <w:rsid w:val="00E31D92"/>
    <w:rsid w:val="00E403E4"/>
    <w:rsid w:val="00E410D1"/>
    <w:rsid w:val="00E42107"/>
    <w:rsid w:val="00E453D8"/>
    <w:rsid w:val="00E4627B"/>
    <w:rsid w:val="00E50BCE"/>
    <w:rsid w:val="00E574BF"/>
    <w:rsid w:val="00E61292"/>
    <w:rsid w:val="00E77C4D"/>
    <w:rsid w:val="00E81D01"/>
    <w:rsid w:val="00EA79AF"/>
    <w:rsid w:val="00EB485A"/>
    <w:rsid w:val="00EE45D8"/>
    <w:rsid w:val="00F22EDA"/>
    <w:rsid w:val="00F23A19"/>
    <w:rsid w:val="00F470D6"/>
    <w:rsid w:val="00F5589A"/>
    <w:rsid w:val="00F60AB0"/>
    <w:rsid w:val="00FB098B"/>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75393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Default">
    <w:name w:val="Default"/>
    <w:rsid w:val="00A001E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2343</Words>
  <Characters>11891</Characters>
  <Application>Microsoft Office Word</Application>
  <DocSecurity>0</DocSecurity>
  <Lines>99</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2018-07-10T10:51:00Z</dcterms:created>
  <dcterms:modified xsi:type="dcterms:W3CDTF">2018-07-10T10:51:00Z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