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A93305" w:rsidP="00C321B5">
      <w:pPr>
        <w:jc w:val="center"/>
        <w:rPr>
          <w:rFonts w:ascii="Book Antiqua" w:hAnsi="Book Antiqua" w:cs="Arial"/>
          <w:sz w:val="16"/>
          <w:szCs w:val="16"/>
        </w:rPr>
      </w:pPr>
      <w:r w:rsidRPr="0076738D">
        <w:rPr>
          <w:noProof/>
          <w:lang w:val="en-US" w:eastAsia="en-US"/>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3169B6"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3169B6">
        <w:rPr>
          <w:rFonts w:ascii="Book Antiqua" w:hAnsi="Book Antiqua" w:cs="Arial"/>
          <w:b/>
        </w:rPr>
        <w:t xml:space="preserve">   </w:t>
      </w:r>
      <w:proofErr w:type="gramEnd"/>
      <w:r w:rsidR="003169B6">
        <w:rPr>
          <w:rFonts w:ascii="Book Antiqua" w:hAnsi="Book Antiqua" w:cs="Arial"/>
          <w:b/>
        </w:rPr>
        <w:t xml:space="preserve">                   </w:t>
      </w:r>
      <w:r w:rsidR="00B3524D" w:rsidRPr="003169B6">
        <w:rPr>
          <w:rFonts w:ascii="Book Antiqua" w:hAnsi="Book Antiqua" w:cs="Arial"/>
          <w:b/>
        </w:rPr>
        <w:t>Appeal Number</w:t>
      </w:r>
      <w:r w:rsidR="00D53769" w:rsidRPr="003169B6">
        <w:rPr>
          <w:rFonts w:ascii="Book Antiqua" w:hAnsi="Book Antiqua" w:cs="Arial"/>
          <w:b/>
        </w:rPr>
        <w:t>:</w:t>
      </w:r>
      <w:r w:rsidR="00B3524D" w:rsidRPr="003169B6">
        <w:rPr>
          <w:rFonts w:ascii="Book Antiqua" w:hAnsi="Book Antiqua" w:cs="Arial"/>
          <w:b/>
        </w:rPr>
        <w:t xml:space="preserve"> </w:t>
      </w:r>
      <w:r w:rsidR="00500CE5" w:rsidRPr="003169B6">
        <w:rPr>
          <w:rFonts w:ascii="Book Antiqua" w:hAnsi="Book Antiqua" w:cs="Arial"/>
          <w:b/>
          <w:caps/>
        </w:rPr>
        <w:t>HU/20711/2016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3574" w:rsidTr="00F53574">
        <w:tc>
          <w:tcPr>
            <w:tcW w:w="6048"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EB1627">
              <w:rPr>
                <w:rFonts w:ascii="Book Antiqua" w:hAnsi="Book Antiqua" w:cs="Arial"/>
                <w:b/>
              </w:rPr>
              <w:t>HMCTS Employment Tribunals, Liverpool</w:t>
            </w:r>
          </w:p>
        </w:tc>
        <w:tc>
          <w:tcPr>
            <w:tcW w:w="3960" w:type="dxa"/>
            <w:shd w:val="clear" w:color="auto" w:fill="auto"/>
          </w:tcPr>
          <w:p w:rsidR="00D22636" w:rsidRPr="00F53574" w:rsidRDefault="009F518E" w:rsidP="00F53574">
            <w:pPr>
              <w:jc w:val="both"/>
              <w:rPr>
                <w:rFonts w:ascii="Book Antiqua" w:hAnsi="Book Antiqua" w:cs="Arial"/>
                <w:b/>
              </w:rPr>
            </w:pPr>
            <w:r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F53574">
        <w:tc>
          <w:tcPr>
            <w:tcW w:w="6048"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EB1627">
              <w:rPr>
                <w:rFonts w:ascii="Book Antiqua" w:hAnsi="Book Antiqua" w:cs="Arial"/>
                <w:b/>
              </w:rPr>
              <w:t>13</w:t>
            </w:r>
            <w:r w:rsidR="00EB1627" w:rsidRPr="00EB1627">
              <w:rPr>
                <w:rFonts w:ascii="Book Antiqua" w:hAnsi="Book Antiqua" w:cs="Arial"/>
                <w:b/>
                <w:vertAlign w:val="superscript"/>
              </w:rPr>
              <w:t>th</w:t>
            </w:r>
            <w:r w:rsidR="00EB1627">
              <w:rPr>
                <w:rFonts w:ascii="Book Antiqua" w:hAnsi="Book Antiqua" w:cs="Arial"/>
                <w:b/>
              </w:rPr>
              <w:t xml:space="preserve"> August 2018</w:t>
            </w:r>
          </w:p>
        </w:tc>
        <w:tc>
          <w:tcPr>
            <w:tcW w:w="3960" w:type="dxa"/>
            <w:shd w:val="clear" w:color="auto" w:fill="auto"/>
          </w:tcPr>
          <w:p w:rsidR="00D22636" w:rsidRPr="00F53574" w:rsidRDefault="00A93305" w:rsidP="00F53574">
            <w:pPr>
              <w:jc w:val="both"/>
              <w:rPr>
                <w:rFonts w:ascii="Book Antiqua" w:hAnsi="Book Antiqua" w:cs="Arial"/>
                <w:b/>
              </w:rPr>
            </w:pPr>
            <w:r>
              <w:rPr>
                <w:rFonts w:ascii="Book Antiqua" w:hAnsi="Book Antiqua" w:cs="Arial"/>
                <w:b/>
              </w:rPr>
              <w:t>On 12</w:t>
            </w:r>
            <w:r w:rsidRPr="00A93305">
              <w:rPr>
                <w:rFonts w:ascii="Book Antiqua" w:hAnsi="Book Antiqua" w:cs="Arial"/>
                <w:b/>
                <w:vertAlign w:val="superscript"/>
              </w:rPr>
              <w:t>th</w:t>
            </w:r>
            <w:r>
              <w:rPr>
                <w:rFonts w:ascii="Book Antiqua" w:hAnsi="Book Antiqua" w:cs="Arial"/>
                <w:b/>
              </w:rPr>
              <w:t xml:space="preserve"> September 2018</w:t>
            </w:r>
          </w:p>
        </w:tc>
      </w:tr>
      <w:tr w:rsidR="00D22636" w:rsidRPr="00F53574" w:rsidTr="00F53574">
        <w:tc>
          <w:tcPr>
            <w:tcW w:w="6048" w:type="dxa"/>
            <w:shd w:val="clear" w:color="auto" w:fill="auto"/>
          </w:tcPr>
          <w:p w:rsidR="00D22636" w:rsidRPr="00F53574" w:rsidRDefault="00D22636" w:rsidP="00F53574">
            <w:pPr>
              <w:jc w:val="both"/>
              <w:rPr>
                <w:rFonts w:ascii="Book Antiqua" w:hAnsi="Book Antiqua" w:cs="Arial"/>
                <w:b/>
              </w:rPr>
            </w:pPr>
          </w:p>
        </w:tc>
        <w:tc>
          <w:tcPr>
            <w:tcW w:w="3960" w:type="dxa"/>
            <w:shd w:val="clear" w:color="auto" w:fill="auto"/>
          </w:tcPr>
          <w:p w:rsidR="00D22636" w:rsidRPr="00F53574" w:rsidRDefault="00D22636" w:rsidP="00F5357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EB1627">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EB1627" w:rsidP="00742A8D">
      <w:pPr>
        <w:jc w:val="center"/>
        <w:rPr>
          <w:rFonts w:ascii="Book Antiqua" w:hAnsi="Book Antiqua" w:cs="Arial"/>
          <w:b/>
          <w:caps/>
        </w:rPr>
      </w:pPr>
      <w:r>
        <w:rPr>
          <w:rFonts w:ascii="Book Antiqua" w:hAnsi="Book Antiqua" w:cs="Arial"/>
          <w:b/>
          <w:caps/>
        </w:rPr>
        <w:t>mrs lakshmi rani coomer</w:t>
      </w:r>
    </w:p>
    <w:p w:rsidR="009F518E" w:rsidRPr="003169B6" w:rsidRDefault="009F518E" w:rsidP="009F518E">
      <w:pPr>
        <w:jc w:val="center"/>
        <w:rPr>
          <w:rFonts w:ascii="Book Antiqua" w:hAnsi="Book Antiqua" w:cs="Arial"/>
          <w:caps/>
        </w:rPr>
      </w:pPr>
      <w:r w:rsidRPr="003169B6">
        <w:rPr>
          <w:rFonts w:ascii="Book Antiqua" w:hAnsi="Book Antiqua" w:cs="Arial"/>
          <w:caps/>
        </w:rPr>
        <w:t xml:space="preserve">(ANONYMITY </w:t>
      </w:r>
      <w:r w:rsidR="00016A4C" w:rsidRPr="003169B6">
        <w:rPr>
          <w:rFonts w:ascii="Book Antiqua" w:hAnsi="Book Antiqua" w:cs="Arial"/>
          <w:caps/>
        </w:rPr>
        <w:t>direction</w:t>
      </w:r>
      <w:r w:rsidRPr="003169B6">
        <w:rPr>
          <w:rFonts w:ascii="Book Antiqua" w:hAnsi="Book Antiqua" w:cs="Arial"/>
          <w:caps/>
        </w:rPr>
        <w:t xml:space="preserve"> </w:t>
      </w:r>
      <w:r w:rsidR="00EB1627" w:rsidRPr="003169B6">
        <w:rPr>
          <w:rFonts w:ascii="Book Antiqua" w:hAnsi="Book Antiqua" w:cs="Arial"/>
          <w:caps/>
        </w:rPr>
        <w:t>not made</w:t>
      </w:r>
      <w:r w:rsidRPr="003169B6">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3169B6" w:rsidRPr="00F5664C" w:rsidRDefault="003169B6"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B1627">
        <w:rPr>
          <w:rFonts w:ascii="Book Antiqua" w:hAnsi="Book Antiqua" w:cs="Arial"/>
        </w:rPr>
        <w:t xml:space="preserve">Mr M </w:t>
      </w:r>
      <w:proofErr w:type="spellStart"/>
      <w:r w:rsidR="00EB1627">
        <w:rPr>
          <w:rFonts w:ascii="Book Antiqua" w:hAnsi="Book Antiqua" w:cs="Arial"/>
        </w:rPr>
        <w:t>Schwenk</w:t>
      </w:r>
      <w:proofErr w:type="spellEnd"/>
      <w:r w:rsidR="00EB1627">
        <w:rPr>
          <w:rFonts w:ascii="Book Antiqua" w:hAnsi="Book Antiqua" w:cs="Arial"/>
        </w:rPr>
        <w:t xml:space="preserve">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B1627">
        <w:rPr>
          <w:rFonts w:ascii="Book Antiqua" w:hAnsi="Book Antiqua" w:cs="Arial"/>
        </w:rPr>
        <w:t xml:space="preserve">Mr M </w:t>
      </w:r>
      <w:proofErr w:type="spellStart"/>
      <w:r w:rsidR="00EB1627">
        <w:rPr>
          <w:rFonts w:ascii="Book Antiqua" w:hAnsi="Book Antiqua" w:cs="Arial"/>
        </w:rPr>
        <w:t>Diwncyz</w:t>
      </w:r>
      <w:proofErr w:type="spellEnd"/>
      <w:r w:rsidR="00EB1627">
        <w:rPr>
          <w:rFonts w:ascii="Book Antiqua" w:hAnsi="Book Antiqua" w:cs="Arial"/>
        </w:rPr>
        <w:t xml:space="preserve">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B52A42" w:rsidRDefault="00EB1627" w:rsidP="00B52A42">
      <w:pPr>
        <w:numPr>
          <w:ilvl w:val="0"/>
          <w:numId w:val="3"/>
        </w:numPr>
        <w:spacing w:before="240"/>
        <w:jc w:val="both"/>
        <w:rPr>
          <w:rFonts w:ascii="Book Antiqua" w:hAnsi="Book Antiqua" w:cs="Arial"/>
        </w:rPr>
      </w:pPr>
      <w:r>
        <w:rPr>
          <w:rFonts w:ascii="Book Antiqua" w:hAnsi="Book Antiqua" w:cs="Arial"/>
        </w:rPr>
        <w:t>This is an appeal against a determination of First-tier Tribunal Judge Morris, promulgated on 24</w:t>
      </w:r>
      <w:r w:rsidRPr="00EB1627">
        <w:rPr>
          <w:rFonts w:ascii="Book Antiqua" w:hAnsi="Book Antiqua" w:cs="Arial"/>
          <w:vertAlign w:val="superscript"/>
        </w:rPr>
        <w:t>th</w:t>
      </w:r>
      <w:r>
        <w:rPr>
          <w:rFonts w:ascii="Book Antiqua" w:hAnsi="Book Antiqua" w:cs="Arial"/>
        </w:rPr>
        <w:t xml:space="preserve"> April 2017, following a hearing at Manchester on 19</w:t>
      </w:r>
      <w:r w:rsidRPr="00EB1627">
        <w:rPr>
          <w:rFonts w:ascii="Book Antiqua" w:hAnsi="Book Antiqua" w:cs="Arial"/>
          <w:vertAlign w:val="superscript"/>
        </w:rPr>
        <w:t>th</w:t>
      </w:r>
      <w:r>
        <w:rPr>
          <w:rFonts w:ascii="Book Antiqua" w:hAnsi="Book Antiqua" w:cs="Arial"/>
        </w:rPr>
        <w:t xml:space="preserve"> April 2017.  In the determination, the judge dismissed the appeal of the Appellant, whereupon the Appellant subsequently applied for, and was granted, permission to appeal to the Upper Tribunal, and thus the matter comes before me.</w:t>
      </w:r>
    </w:p>
    <w:p w:rsidR="0091677D" w:rsidRPr="0091677D" w:rsidRDefault="0091677D" w:rsidP="0091677D">
      <w:pPr>
        <w:spacing w:before="240"/>
        <w:jc w:val="both"/>
        <w:rPr>
          <w:rFonts w:ascii="Book Antiqua" w:hAnsi="Book Antiqua" w:cs="Arial"/>
          <w:b/>
          <w:u w:val="single"/>
        </w:rPr>
      </w:pPr>
      <w:r>
        <w:rPr>
          <w:rFonts w:ascii="Book Antiqua" w:hAnsi="Book Antiqua" w:cs="Arial"/>
          <w:b/>
          <w:u w:val="single"/>
        </w:rPr>
        <w:t xml:space="preserve">The Appellant </w:t>
      </w:r>
    </w:p>
    <w:p w:rsidR="0091677D" w:rsidRDefault="0091677D" w:rsidP="00B52A42">
      <w:pPr>
        <w:numPr>
          <w:ilvl w:val="0"/>
          <w:numId w:val="3"/>
        </w:numPr>
        <w:spacing w:before="240"/>
        <w:jc w:val="both"/>
        <w:rPr>
          <w:rFonts w:ascii="Book Antiqua" w:hAnsi="Book Antiqua" w:cs="Arial"/>
        </w:rPr>
      </w:pPr>
      <w:r>
        <w:rPr>
          <w:rFonts w:ascii="Book Antiqua" w:hAnsi="Book Antiqua" w:cs="Arial"/>
        </w:rPr>
        <w:t>The Appellant is a female, a citizen of India, and was born on 2</w:t>
      </w:r>
      <w:r w:rsidRPr="0091677D">
        <w:rPr>
          <w:rFonts w:ascii="Book Antiqua" w:hAnsi="Book Antiqua" w:cs="Arial"/>
          <w:vertAlign w:val="superscript"/>
        </w:rPr>
        <w:t>nd</w:t>
      </w:r>
      <w:r>
        <w:rPr>
          <w:rFonts w:ascii="Book Antiqua" w:hAnsi="Book Antiqua" w:cs="Arial"/>
        </w:rPr>
        <w:t xml:space="preserve"> January 1941.  She appealed against the decision of the Respondent Secretary of State dated 10</w:t>
      </w:r>
      <w:r w:rsidRPr="0091677D">
        <w:rPr>
          <w:rFonts w:ascii="Book Antiqua" w:hAnsi="Book Antiqua" w:cs="Arial"/>
          <w:vertAlign w:val="superscript"/>
        </w:rPr>
        <w:t>th</w:t>
      </w:r>
      <w:r>
        <w:rPr>
          <w:rFonts w:ascii="Book Antiqua" w:hAnsi="Book Antiqua" w:cs="Arial"/>
        </w:rPr>
        <w:t xml:space="preserve"> August </w:t>
      </w:r>
      <w:r>
        <w:rPr>
          <w:rFonts w:ascii="Book Antiqua" w:hAnsi="Book Antiqua" w:cs="Arial"/>
        </w:rPr>
        <w:lastRenderedPageBreak/>
        <w:t xml:space="preserve">2016, refusing her application for indefinite leave to remain </w:t>
      </w:r>
      <w:r w:rsidR="003E4121">
        <w:rPr>
          <w:rFonts w:ascii="Book Antiqua" w:hAnsi="Book Antiqua" w:cs="Arial"/>
        </w:rPr>
        <w:t xml:space="preserve">in the UK </w:t>
      </w:r>
      <w:proofErr w:type="gramStart"/>
      <w:r w:rsidR="003E4121">
        <w:rPr>
          <w:rFonts w:ascii="Book Antiqua" w:hAnsi="Book Antiqua" w:cs="Arial"/>
        </w:rPr>
        <w:t>on the basis of</w:t>
      </w:r>
      <w:proofErr w:type="gramEnd"/>
      <w:r w:rsidR="003E4121">
        <w:rPr>
          <w:rFonts w:ascii="Book Antiqua" w:hAnsi="Book Antiqua" w:cs="Arial"/>
        </w:rPr>
        <w:t xml:space="preserve"> a</w:t>
      </w:r>
      <w:r>
        <w:rPr>
          <w:rFonts w:ascii="Book Antiqua" w:hAnsi="Book Antiqua" w:cs="Arial"/>
        </w:rPr>
        <w:t xml:space="preserve"> private and family life with her son, Dr Somnath Kumar, who is a consultant cardiologist in the UK, and his family, consisting of his spouse and two children.  </w:t>
      </w:r>
    </w:p>
    <w:p w:rsidR="0091677D" w:rsidRPr="0091677D" w:rsidRDefault="0091677D" w:rsidP="0091677D">
      <w:pPr>
        <w:spacing w:before="240"/>
        <w:jc w:val="both"/>
        <w:rPr>
          <w:rFonts w:ascii="Book Antiqua" w:hAnsi="Book Antiqua" w:cs="Arial"/>
          <w:b/>
          <w:u w:val="single"/>
        </w:rPr>
      </w:pPr>
      <w:r>
        <w:rPr>
          <w:rFonts w:ascii="Book Antiqua" w:hAnsi="Book Antiqua" w:cs="Arial"/>
          <w:b/>
          <w:u w:val="single"/>
        </w:rPr>
        <w:t>The Appellant’s Claim</w:t>
      </w:r>
    </w:p>
    <w:p w:rsidR="0091677D" w:rsidRDefault="0091677D" w:rsidP="00B52A42">
      <w:pPr>
        <w:numPr>
          <w:ilvl w:val="0"/>
          <w:numId w:val="3"/>
        </w:numPr>
        <w:spacing w:before="240"/>
        <w:jc w:val="both"/>
        <w:rPr>
          <w:rFonts w:ascii="Book Antiqua" w:hAnsi="Book Antiqua" w:cs="Arial"/>
        </w:rPr>
      </w:pPr>
      <w:r>
        <w:rPr>
          <w:rFonts w:ascii="Book Antiqua" w:hAnsi="Book Antiqua" w:cs="Arial"/>
        </w:rPr>
        <w:t xml:space="preserve">The background to this appeal is not contentious.  The Appellant, who had a </w:t>
      </w:r>
      <w:proofErr w:type="gramStart"/>
      <w:r>
        <w:rPr>
          <w:rFonts w:ascii="Book Antiqua" w:hAnsi="Book Antiqua" w:cs="Arial"/>
        </w:rPr>
        <w:t>five year</w:t>
      </w:r>
      <w:proofErr w:type="gramEnd"/>
      <w:r>
        <w:rPr>
          <w:rFonts w:ascii="Book Antiqua" w:hAnsi="Book Antiqua" w:cs="Arial"/>
        </w:rPr>
        <w:t xml:space="preserve"> visit visa, during the course of which </w:t>
      </w:r>
      <w:r w:rsidR="0033458D">
        <w:rPr>
          <w:rFonts w:ascii="Book Antiqua" w:hAnsi="Book Antiqua" w:cs="Arial"/>
        </w:rPr>
        <w:t>s</w:t>
      </w:r>
      <w:r>
        <w:rPr>
          <w:rFonts w:ascii="Book Antiqua" w:hAnsi="Book Antiqua" w:cs="Arial"/>
        </w:rPr>
        <w:t>he had made regular visits to the UK, last arrived in this country on 12</w:t>
      </w:r>
      <w:r w:rsidRPr="0091677D">
        <w:rPr>
          <w:rFonts w:ascii="Book Antiqua" w:hAnsi="Book Antiqua" w:cs="Arial"/>
          <w:vertAlign w:val="superscript"/>
        </w:rPr>
        <w:t>th</w:t>
      </w:r>
      <w:r>
        <w:rPr>
          <w:rFonts w:ascii="Book Antiqua" w:hAnsi="Book Antiqua" w:cs="Arial"/>
        </w:rPr>
        <w:t xml:space="preserve"> October 2015 with a family visit visa, which was valid from 29</w:t>
      </w:r>
      <w:r w:rsidRPr="0091677D">
        <w:rPr>
          <w:rFonts w:ascii="Book Antiqua" w:hAnsi="Book Antiqua" w:cs="Arial"/>
          <w:vertAlign w:val="superscript"/>
        </w:rPr>
        <w:t>th</w:t>
      </w:r>
      <w:r>
        <w:rPr>
          <w:rFonts w:ascii="Book Antiqua" w:hAnsi="Book Antiqua" w:cs="Arial"/>
        </w:rPr>
        <w:t xml:space="preserve"> September 2015 to 29</w:t>
      </w:r>
      <w:r w:rsidRPr="0091677D">
        <w:rPr>
          <w:rFonts w:ascii="Book Antiqua" w:hAnsi="Book Antiqua" w:cs="Arial"/>
          <w:vertAlign w:val="superscript"/>
        </w:rPr>
        <w:t>th</w:t>
      </w:r>
      <w:r>
        <w:rPr>
          <w:rFonts w:ascii="Book Antiqua" w:hAnsi="Book Antiqua" w:cs="Arial"/>
        </w:rPr>
        <w:t xml:space="preserve"> March 2016.  She claims that since her arrival on 12</w:t>
      </w:r>
      <w:r w:rsidRPr="0091677D">
        <w:rPr>
          <w:rFonts w:ascii="Book Antiqua" w:hAnsi="Book Antiqua" w:cs="Arial"/>
          <w:vertAlign w:val="superscript"/>
        </w:rPr>
        <w:t>th</w:t>
      </w:r>
      <w:r>
        <w:rPr>
          <w:rFonts w:ascii="Book Antiqua" w:hAnsi="Book Antiqua" w:cs="Arial"/>
        </w:rPr>
        <w:t xml:space="preserve"> October 2015 her health has significantly deteriorated and she now requires the care and support of her son and his wife in the UK.  In support of her evidence, there w</w:t>
      </w:r>
      <w:r w:rsidR="0033458D">
        <w:rPr>
          <w:rFonts w:ascii="Book Antiqua" w:hAnsi="Book Antiqua" w:cs="Arial"/>
        </w:rPr>
        <w:t>ere reports from</w:t>
      </w:r>
      <w:r>
        <w:rPr>
          <w:rFonts w:ascii="Book Antiqua" w:hAnsi="Book Antiqua" w:cs="Arial"/>
        </w:rPr>
        <w:t xml:space="preserve"> the care and occupational therapy consultant, the consultant ophthalmologist, the consultant psychiatrist, to mention some of the leading pieces of evidence in her favour.  The Appellant’s application fell to be determined outside the Immigration Rules.  She claimed that she requires the assistance of her son and his wife</w:t>
      </w:r>
      <w:r w:rsidR="00C50F60">
        <w:rPr>
          <w:rFonts w:ascii="Book Antiqua" w:hAnsi="Book Antiqua" w:cs="Arial"/>
        </w:rPr>
        <w:t xml:space="preserve"> </w:t>
      </w:r>
      <w:proofErr w:type="gramStart"/>
      <w:r w:rsidR="00C50F60">
        <w:rPr>
          <w:rFonts w:ascii="Book Antiqua" w:hAnsi="Book Antiqua" w:cs="Arial"/>
        </w:rPr>
        <w:t>on a daily basis</w:t>
      </w:r>
      <w:proofErr w:type="gramEnd"/>
      <w:r w:rsidR="00C50F60">
        <w:rPr>
          <w:rFonts w:ascii="Book Antiqua" w:hAnsi="Book Antiqua" w:cs="Arial"/>
        </w:rPr>
        <w:t xml:space="preserve">.  She states that she will not be properly able to care for herself in India as she lives alone.  She has been an insulin dependent diabetic for 40 years and her diabetes is well controlled at present, but she has significant visual symptoms mainly in the form of difficulty recognising faces and difficulty judging distances.  Her mobility is poor and she has loss of memory, and she suffers from dementia.  She has two daughters in India but they cannot care for </w:t>
      </w:r>
      <w:r w:rsidR="00130D7C">
        <w:rPr>
          <w:rFonts w:ascii="Book Antiqua" w:hAnsi="Book Antiqua" w:cs="Arial"/>
        </w:rPr>
        <w:t xml:space="preserve">her </w:t>
      </w:r>
      <w:r w:rsidR="00C50F60">
        <w:rPr>
          <w:rFonts w:ascii="Book Antiqua" w:hAnsi="Book Antiqua" w:cs="Arial"/>
        </w:rPr>
        <w:t>as they have their own famili</w:t>
      </w:r>
      <w:r w:rsidR="00012F63">
        <w:rPr>
          <w:rFonts w:ascii="Book Antiqua" w:hAnsi="Book Antiqua" w:cs="Arial"/>
        </w:rPr>
        <w:t>es to look af</w:t>
      </w:r>
      <w:r w:rsidR="00C50F60">
        <w:rPr>
          <w:rFonts w:ascii="Book Antiqua" w:hAnsi="Book Antiqua" w:cs="Arial"/>
        </w:rPr>
        <w:t xml:space="preserve">ter.  </w:t>
      </w:r>
      <w:r w:rsidR="00012F63">
        <w:rPr>
          <w:rFonts w:ascii="Book Antiqua" w:hAnsi="Book Antiqua" w:cs="Arial"/>
        </w:rPr>
        <w:t xml:space="preserve">The refusal letter, however, concluded that Appellant could not succeed outside the Rules because the national portal of India now makes it clear that over the years, the government of India has launched various schemes and policies for older persons, which are designed to promote their health, wellbeing and independence of senior citizens around the country, and the </w:t>
      </w:r>
      <w:r w:rsidR="00EF72F7">
        <w:rPr>
          <w:rFonts w:ascii="Book Antiqua" w:hAnsi="Book Antiqua" w:cs="Arial"/>
        </w:rPr>
        <w:t xml:space="preserve">Appellant </w:t>
      </w:r>
      <w:r w:rsidR="00012F63">
        <w:rPr>
          <w:rFonts w:ascii="Book Antiqua" w:hAnsi="Book Antiqua" w:cs="Arial"/>
        </w:rPr>
        <w:t>can avail herself of these facilities.</w:t>
      </w:r>
    </w:p>
    <w:p w:rsidR="008A39A0" w:rsidRPr="008A39A0" w:rsidRDefault="008A39A0" w:rsidP="008A39A0">
      <w:pPr>
        <w:spacing w:before="240"/>
        <w:jc w:val="both"/>
        <w:rPr>
          <w:rFonts w:ascii="Book Antiqua" w:hAnsi="Book Antiqua" w:cs="Arial"/>
          <w:b/>
          <w:u w:val="single"/>
        </w:rPr>
      </w:pPr>
      <w:r>
        <w:rPr>
          <w:rFonts w:ascii="Book Antiqua" w:hAnsi="Book Antiqua" w:cs="Arial"/>
          <w:b/>
          <w:u w:val="single"/>
        </w:rPr>
        <w:t>The Judge’s Findings</w:t>
      </w:r>
    </w:p>
    <w:p w:rsidR="008A39A0" w:rsidRDefault="008A39A0" w:rsidP="00B52A42">
      <w:pPr>
        <w:numPr>
          <w:ilvl w:val="0"/>
          <w:numId w:val="3"/>
        </w:numPr>
        <w:spacing w:before="240"/>
        <w:jc w:val="both"/>
        <w:rPr>
          <w:rFonts w:ascii="Book Antiqua" w:hAnsi="Book Antiqua" w:cs="Arial"/>
        </w:rPr>
      </w:pPr>
      <w:r>
        <w:rPr>
          <w:rFonts w:ascii="Book Antiqua" w:hAnsi="Book Antiqua" w:cs="Arial"/>
        </w:rPr>
        <w:t xml:space="preserve">The judge had regard to the key aspects of the evidence of the </w:t>
      </w:r>
      <w:r w:rsidR="00EF72F7">
        <w:rPr>
          <w:rFonts w:ascii="Book Antiqua" w:hAnsi="Book Antiqua" w:cs="Arial"/>
        </w:rPr>
        <w:t xml:space="preserve">Appellant’s </w:t>
      </w:r>
      <w:r>
        <w:rPr>
          <w:rFonts w:ascii="Book Antiqua" w:hAnsi="Book Antiqua" w:cs="Arial"/>
        </w:rPr>
        <w:t xml:space="preserve">son, Dr Somnath Kumar (at paragraph 24) and the key aspects of his wife, Mrs </w:t>
      </w:r>
      <w:proofErr w:type="spellStart"/>
      <w:r>
        <w:rPr>
          <w:rFonts w:ascii="Book Antiqua" w:hAnsi="Book Antiqua" w:cs="Arial"/>
        </w:rPr>
        <w:t>Ushashi</w:t>
      </w:r>
      <w:proofErr w:type="spellEnd"/>
      <w:r>
        <w:rPr>
          <w:rFonts w:ascii="Book Antiqua" w:hAnsi="Book Antiqua" w:cs="Arial"/>
        </w:rPr>
        <w:t xml:space="preserve"> </w:t>
      </w:r>
      <w:proofErr w:type="spellStart"/>
      <w:r>
        <w:rPr>
          <w:rFonts w:ascii="Book Antiqua" w:hAnsi="Book Antiqua" w:cs="Arial"/>
        </w:rPr>
        <w:t>Coomer’s</w:t>
      </w:r>
      <w:proofErr w:type="spellEnd"/>
      <w:r>
        <w:rPr>
          <w:rFonts w:ascii="Book Antiqua" w:hAnsi="Book Antiqua" w:cs="Arial"/>
        </w:rPr>
        <w:t xml:space="preserve"> evidence (at paragraph 25).  In a </w:t>
      </w:r>
      <w:proofErr w:type="gramStart"/>
      <w:r>
        <w:rPr>
          <w:rFonts w:ascii="Book Antiqua" w:hAnsi="Book Antiqua" w:cs="Arial"/>
        </w:rPr>
        <w:t>well structured</w:t>
      </w:r>
      <w:proofErr w:type="gramEnd"/>
      <w:r>
        <w:rPr>
          <w:rFonts w:ascii="Book Antiqua" w:hAnsi="Book Antiqua" w:cs="Arial"/>
        </w:rPr>
        <w:t xml:space="preserve"> determination, the judge also set down the leading cases in this jurisdiction in relation to private and family life.  The judge then concluded that he was not satisfied that the </w:t>
      </w:r>
      <w:r w:rsidR="00EF72F7">
        <w:rPr>
          <w:rFonts w:ascii="Book Antiqua" w:hAnsi="Book Antiqua" w:cs="Arial"/>
        </w:rPr>
        <w:t xml:space="preserve">Appellant </w:t>
      </w:r>
      <w:r>
        <w:rPr>
          <w:rFonts w:ascii="Book Antiqua" w:hAnsi="Book Antiqua" w:cs="Arial"/>
        </w:rPr>
        <w:t xml:space="preserve">could succeed for two reasons.  First, that the Appellant’s daughters were not refused to care directly for their mother or to ensure that care was provided for her.  Second, the recruitment of a carer to live in with the mother in a way </w:t>
      </w:r>
      <w:proofErr w:type="gramStart"/>
      <w:r>
        <w:rPr>
          <w:rFonts w:ascii="Book Antiqua" w:hAnsi="Book Antiqua" w:cs="Arial"/>
        </w:rPr>
        <w:t>similar to</w:t>
      </w:r>
      <w:proofErr w:type="gramEnd"/>
      <w:r>
        <w:rPr>
          <w:rFonts w:ascii="Book Antiqua" w:hAnsi="Book Antiqua" w:cs="Arial"/>
        </w:rPr>
        <w:t xml:space="preserve"> the Appellant’s previous arrangements was something that could be arranged for (see paragraph 39(vi)).  In terms of </w:t>
      </w:r>
      <w:r w:rsidR="00130D7C">
        <w:rPr>
          <w:rFonts w:ascii="Book Antiqua" w:hAnsi="Book Antiqua" w:cs="Arial"/>
        </w:rPr>
        <w:t>the viability and probability of</w:t>
      </w:r>
      <w:r>
        <w:rPr>
          <w:rFonts w:ascii="Book Antiqua" w:hAnsi="Book Antiqua" w:cs="Arial"/>
        </w:rPr>
        <w:t xml:space="preserve"> such a course of action, the judge noted how “the </w:t>
      </w:r>
      <w:r w:rsidR="00EF72F7">
        <w:rPr>
          <w:rFonts w:ascii="Book Antiqua" w:hAnsi="Book Antiqua" w:cs="Arial"/>
        </w:rPr>
        <w:t xml:space="preserve">Appellant </w:t>
      </w:r>
      <w:r>
        <w:rPr>
          <w:rFonts w:ascii="Book Antiqua" w:hAnsi="Book Antiqua" w:cs="Arial"/>
        </w:rPr>
        <w:t>previously lived in a supportive relationship with a woman who she referred to as her servant and who looked after daily needs” (paragraph 39(iv)).  Given tha</w:t>
      </w:r>
      <w:r w:rsidR="00465EE6">
        <w:rPr>
          <w:rFonts w:ascii="Book Antiqua" w:hAnsi="Book Antiqua" w:cs="Arial"/>
        </w:rPr>
        <w:t>t</w:t>
      </w:r>
      <w:r>
        <w:rPr>
          <w:rFonts w:ascii="Book Antiqua" w:hAnsi="Book Antiqua" w:cs="Arial"/>
        </w:rPr>
        <w:t xml:space="preserve"> this was the case, the possibility existed that the </w:t>
      </w:r>
      <w:r w:rsidR="00EF72F7">
        <w:rPr>
          <w:rFonts w:ascii="Book Antiqua" w:hAnsi="Book Antiqua" w:cs="Arial"/>
        </w:rPr>
        <w:t xml:space="preserve">Appellant </w:t>
      </w:r>
      <w:r>
        <w:rPr>
          <w:rFonts w:ascii="Book Antiqua" w:hAnsi="Book Antiqua" w:cs="Arial"/>
        </w:rPr>
        <w:t xml:space="preserve">would be able to recruit another suitable person to undertake these functions.  Finally, the judge had </w:t>
      </w:r>
      <w:r w:rsidR="00465EE6">
        <w:rPr>
          <w:rFonts w:ascii="Book Antiqua" w:hAnsi="Book Antiqua" w:cs="Arial"/>
        </w:rPr>
        <w:t>regard to the “</w:t>
      </w:r>
      <w:proofErr w:type="spellStart"/>
      <w:r w:rsidR="00465EE6" w:rsidRPr="00465EE6">
        <w:rPr>
          <w:rFonts w:ascii="Book Antiqua" w:hAnsi="Book Antiqua" w:cs="Arial"/>
          <w:b/>
          <w:u w:val="single"/>
        </w:rPr>
        <w:t>Razgar</w:t>
      </w:r>
      <w:proofErr w:type="spellEnd"/>
      <w:r w:rsidR="00465EE6">
        <w:rPr>
          <w:rFonts w:ascii="Book Antiqua" w:hAnsi="Book Antiqua" w:cs="Arial"/>
        </w:rPr>
        <w:t xml:space="preserve"> principles” (paragraphs 54 to 64), and concluded that as a “key question in this appeal” (paragraph 64) the </w:t>
      </w:r>
      <w:r w:rsidR="00EF72F7">
        <w:rPr>
          <w:rFonts w:ascii="Book Antiqua" w:hAnsi="Book Antiqua" w:cs="Arial"/>
        </w:rPr>
        <w:t xml:space="preserve">Appellant </w:t>
      </w:r>
      <w:r w:rsidR="00465EE6">
        <w:rPr>
          <w:rFonts w:ascii="Book Antiqua" w:hAnsi="Book Antiqua" w:cs="Arial"/>
        </w:rPr>
        <w:t xml:space="preserve">had not been able to demonstrate that she could not </w:t>
      </w:r>
      <w:proofErr w:type="gramStart"/>
      <w:r w:rsidR="00465EE6">
        <w:rPr>
          <w:rFonts w:ascii="Book Antiqua" w:hAnsi="Book Antiqua" w:cs="Arial"/>
        </w:rPr>
        <w:t>return back</w:t>
      </w:r>
      <w:proofErr w:type="gramEnd"/>
      <w:r w:rsidR="00465EE6">
        <w:rPr>
          <w:rFonts w:ascii="Book Antiqua" w:hAnsi="Book Antiqua" w:cs="Arial"/>
        </w:rPr>
        <w:t xml:space="preserve"> to India without a violation of her Article 8 rights.  It was noted </w:t>
      </w:r>
      <w:r w:rsidR="00465EE6">
        <w:rPr>
          <w:rFonts w:ascii="Book Antiqua" w:hAnsi="Book Antiqua" w:cs="Arial"/>
        </w:rPr>
        <w:lastRenderedPageBreak/>
        <w:t xml:space="preserve">that there was “considerable sympathy for the </w:t>
      </w:r>
      <w:r w:rsidR="00EF72F7">
        <w:rPr>
          <w:rFonts w:ascii="Book Antiqua" w:hAnsi="Book Antiqua" w:cs="Arial"/>
        </w:rPr>
        <w:t>Appellant</w:t>
      </w:r>
      <w:r w:rsidR="00465EE6">
        <w:rPr>
          <w:rFonts w:ascii="Book Antiqua" w:hAnsi="Book Antiqua" w:cs="Arial"/>
        </w:rPr>
        <w:t xml:space="preserve">” (paragraph 65) but the case precedence in this area of law were clear (paragraph 65).  The recent decision in </w:t>
      </w:r>
      <w:r w:rsidR="00465EE6" w:rsidRPr="00465EE6">
        <w:rPr>
          <w:rFonts w:ascii="Book Antiqua" w:hAnsi="Book Antiqua" w:cs="Arial"/>
          <w:b/>
          <w:u w:val="single"/>
        </w:rPr>
        <w:t>R</w:t>
      </w:r>
      <w:r w:rsidR="00465EE6">
        <w:rPr>
          <w:rFonts w:ascii="Book Antiqua" w:hAnsi="Book Antiqua" w:cs="Arial"/>
        </w:rPr>
        <w:t xml:space="preserve"> </w:t>
      </w:r>
      <w:r w:rsidR="00465EE6" w:rsidRPr="00465EE6">
        <w:rPr>
          <w:rFonts w:ascii="Book Antiqua" w:hAnsi="Book Antiqua" w:cs="Arial"/>
          <w:b/>
          <w:u w:val="single"/>
        </w:rPr>
        <w:t>(</w:t>
      </w:r>
      <w:proofErr w:type="spellStart"/>
      <w:r w:rsidR="00465EE6" w:rsidRPr="00465EE6">
        <w:rPr>
          <w:rFonts w:ascii="Book Antiqua" w:hAnsi="Book Antiqua" w:cs="Arial"/>
          <w:b/>
          <w:u w:val="single"/>
        </w:rPr>
        <w:t>Agyarko</w:t>
      </w:r>
      <w:proofErr w:type="spellEnd"/>
      <w:r w:rsidR="00465EE6" w:rsidRPr="00465EE6">
        <w:rPr>
          <w:rFonts w:ascii="Book Antiqua" w:hAnsi="Book Antiqua" w:cs="Arial"/>
          <w:b/>
          <w:u w:val="single"/>
        </w:rPr>
        <w:t>)</w:t>
      </w:r>
      <w:r w:rsidR="00465EE6">
        <w:rPr>
          <w:rFonts w:ascii="Book Antiqua" w:hAnsi="Book Antiqua" w:cs="Arial"/>
        </w:rPr>
        <w:t xml:space="preserve"> meant that there was no evidence of there being “exceptional circumstances” in that it could not be shown that there will be “unjustifiably harsh consequences” for the Appellant were her application to be refused (paragraph 69).</w:t>
      </w:r>
    </w:p>
    <w:p w:rsidR="00EB1E09" w:rsidRDefault="00EB1E09" w:rsidP="00B52A42">
      <w:pPr>
        <w:numPr>
          <w:ilvl w:val="0"/>
          <w:numId w:val="3"/>
        </w:numPr>
        <w:spacing w:before="240"/>
        <w:jc w:val="both"/>
        <w:rPr>
          <w:rFonts w:ascii="Book Antiqua" w:hAnsi="Book Antiqua" w:cs="Arial"/>
        </w:rPr>
      </w:pPr>
      <w:r>
        <w:rPr>
          <w:rFonts w:ascii="Book Antiqua" w:hAnsi="Book Antiqua" w:cs="Arial"/>
        </w:rPr>
        <w:t>The appeal was dismissed.</w:t>
      </w:r>
    </w:p>
    <w:p w:rsidR="00EB1E09" w:rsidRPr="00EB1E09" w:rsidRDefault="00EB1E09" w:rsidP="00EB1E09">
      <w:pPr>
        <w:spacing w:before="240"/>
        <w:jc w:val="both"/>
        <w:rPr>
          <w:rFonts w:ascii="Book Antiqua" w:hAnsi="Book Antiqua" w:cs="Arial"/>
          <w:b/>
          <w:u w:val="single"/>
        </w:rPr>
      </w:pPr>
      <w:r>
        <w:rPr>
          <w:rFonts w:ascii="Book Antiqua" w:hAnsi="Book Antiqua" w:cs="Arial"/>
          <w:b/>
          <w:u w:val="single"/>
        </w:rPr>
        <w:t>Grounds of Application</w:t>
      </w:r>
    </w:p>
    <w:p w:rsidR="00EB1E09" w:rsidRDefault="00EB1E09" w:rsidP="00B52A42">
      <w:pPr>
        <w:numPr>
          <w:ilvl w:val="0"/>
          <w:numId w:val="3"/>
        </w:numPr>
        <w:spacing w:before="240"/>
        <w:jc w:val="both"/>
        <w:rPr>
          <w:rFonts w:ascii="Book Antiqua" w:hAnsi="Book Antiqua" w:cs="Arial"/>
        </w:rPr>
      </w:pPr>
      <w:r>
        <w:rPr>
          <w:rFonts w:ascii="Book Antiqua" w:hAnsi="Book Antiqua" w:cs="Arial"/>
        </w:rPr>
        <w:t xml:space="preserve">The grounds of application state that the judge material erred in law in unfairly assessing the evidence and in failing to address the medical evidence, as well as failing to </w:t>
      </w:r>
      <w:proofErr w:type="gramStart"/>
      <w:r>
        <w:rPr>
          <w:rFonts w:ascii="Book Antiqua" w:hAnsi="Book Antiqua" w:cs="Arial"/>
        </w:rPr>
        <w:t>take into account</w:t>
      </w:r>
      <w:proofErr w:type="gramEnd"/>
      <w:r>
        <w:rPr>
          <w:rFonts w:ascii="Book Antiqua" w:hAnsi="Book Antiqua" w:cs="Arial"/>
        </w:rPr>
        <w:t xml:space="preserve"> the evidence of the Appellant’s son, Dr Kumar.  </w:t>
      </w:r>
    </w:p>
    <w:p w:rsidR="00130D7C" w:rsidRDefault="00EB1E09" w:rsidP="00B52A42">
      <w:pPr>
        <w:numPr>
          <w:ilvl w:val="0"/>
          <w:numId w:val="3"/>
        </w:numPr>
        <w:spacing w:before="240"/>
        <w:jc w:val="both"/>
        <w:rPr>
          <w:rFonts w:ascii="Book Antiqua" w:hAnsi="Book Antiqua" w:cs="Arial"/>
        </w:rPr>
      </w:pPr>
      <w:r>
        <w:rPr>
          <w:rFonts w:ascii="Book Antiqua" w:hAnsi="Book Antiqua" w:cs="Arial"/>
        </w:rPr>
        <w:t>Permission to appeal was granted on 4</w:t>
      </w:r>
      <w:r w:rsidRPr="00EB1E09">
        <w:rPr>
          <w:rFonts w:ascii="Book Antiqua" w:hAnsi="Book Antiqua" w:cs="Arial"/>
          <w:vertAlign w:val="superscript"/>
        </w:rPr>
        <w:t>th</w:t>
      </w:r>
      <w:r>
        <w:rPr>
          <w:rFonts w:ascii="Book Antiqua" w:hAnsi="Book Antiqua" w:cs="Arial"/>
        </w:rPr>
        <w:t xml:space="preserve"> March 2018, by the Upper Tribunal, after an initial refusal by the First-tier Tribunal on 18</w:t>
      </w:r>
      <w:r w:rsidRPr="00EB1E09">
        <w:rPr>
          <w:rFonts w:ascii="Book Antiqua" w:hAnsi="Book Antiqua" w:cs="Arial"/>
          <w:vertAlign w:val="superscript"/>
        </w:rPr>
        <w:t>th</w:t>
      </w:r>
      <w:r>
        <w:rPr>
          <w:rFonts w:ascii="Book Antiqua" w:hAnsi="Book Antiqua" w:cs="Arial"/>
        </w:rPr>
        <w:t xml:space="preserve"> December 2017, and this was on the basis that the judge had erred (at paragraph 51) in stating that, </w:t>
      </w:r>
    </w:p>
    <w:p w:rsidR="00130D7C" w:rsidRDefault="00EB1E09" w:rsidP="00130D7C">
      <w:pPr>
        <w:spacing w:before="240"/>
        <w:ind w:left="1134"/>
        <w:jc w:val="both"/>
        <w:rPr>
          <w:rFonts w:ascii="Book Antiqua" w:hAnsi="Book Antiqua" w:cs="Arial"/>
        </w:rPr>
      </w:pPr>
      <w:r>
        <w:rPr>
          <w:rFonts w:ascii="Book Antiqua" w:hAnsi="Book Antiqua" w:cs="Arial"/>
        </w:rPr>
        <w:t>“given my decision that there are no compelling circumstances requiring me to consider this appeal outwith the Rules … I need not go further.  That notwithstanding, lest it be considered that my decis</w:t>
      </w:r>
      <w:r w:rsidR="00130D7C">
        <w:rPr>
          <w:rFonts w:ascii="Book Antiqua" w:hAnsi="Book Antiqua" w:cs="Arial"/>
        </w:rPr>
        <w:t>ion in that regard is wrong (and</w:t>
      </w:r>
      <w:r>
        <w:rPr>
          <w:rFonts w:ascii="Book Antiqua" w:hAnsi="Book Antiqua" w:cs="Arial"/>
        </w:rPr>
        <w:t xml:space="preserve"> acknowledging the focus of the Appellant’s appeal) I consider that, exception, in this appeal it is appropriate that I should do so” (paragraph 51).  </w:t>
      </w:r>
    </w:p>
    <w:p w:rsidR="00EB1E09" w:rsidRDefault="00EB1E09" w:rsidP="00130D7C">
      <w:pPr>
        <w:spacing w:before="240"/>
        <w:ind w:left="567"/>
        <w:jc w:val="both"/>
        <w:rPr>
          <w:rFonts w:ascii="Book Antiqua" w:hAnsi="Book Antiqua" w:cs="Arial"/>
        </w:rPr>
      </w:pPr>
      <w:r>
        <w:rPr>
          <w:rFonts w:ascii="Book Antiqua" w:hAnsi="Book Antiqua" w:cs="Arial"/>
        </w:rPr>
        <w:t xml:space="preserve">The Upper Tribunal reasoned that it is well-known that the Rules are not a complete code and there are no provisions within the Rules for consideration of an in-country application by an elderly dependant relative.  Second, insofar as the judge did then go on to consider Article 8 outside the Rules in the alternative, it was arguable that in finding that there were no disproportionate consequences, the judge failed to </w:t>
      </w:r>
      <w:proofErr w:type="gramStart"/>
      <w:r>
        <w:rPr>
          <w:rFonts w:ascii="Book Antiqua" w:hAnsi="Book Antiqua" w:cs="Arial"/>
        </w:rPr>
        <w:t>take into account</w:t>
      </w:r>
      <w:proofErr w:type="gramEnd"/>
      <w:r>
        <w:rPr>
          <w:rFonts w:ascii="Book Antiqua" w:hAnsi="Book Antiqua" w:cs="Arial"/>
        </w:rPr>
        <w:t xml:space="preserve"> the evidence of Dr Somnath Kumar which would be material to a consideration of the appeal pursuant to paragraph 276ADE(vi)</w:t>
      </w:r>
      <w:r w:rsidR="0049402F">
        <w:rPr>
          <w:rFonts w:ascii="Book Antiqua" w:hAnsi="Book Antiqua" w:cs="Arial"/>
        </w:rPr>
        <w:t>.</w:t>
      </w:r>
    </w:p>
    <w:p w:rsidR="009C614B" w:rsidRDefault="009C614B" w:rsidP="00B52A42">
      <w:pPr>
        <w:numPr>
          <w:ilvl w:val="0"/>
          <w:numId w:val="3"/>
        </w:numPr>
        <w:spacing w:before="240"/>
        <w:jc w:val="both"/>
        <w:rPr>
          <w:rFonts w:ascii="Book Antiqua" w:hAnsi="Book Antiqua" w:cs="Arial"/>
        </w:rPr>
      </w:pPr>
      <w:r>
        <w:rPr>
          <w:rFonts w:ascii="Book Antiqua" w:hAnsi="Book Antiqua" w:cs="Arial"/>
        </w:rPr>
        <w:t>There was no Rule 24 response.</w:t>
      </w:r>
    </w:p>
    <w:p w:rsidR="009C614B" w:rsidRPr="009C614B" w:rsidRDefault="009C614B" w:rsidP="009C614B">
      <w:pPr>
        <w:spacing w:before="240"/>
        <w:jc w:val="both"/>
        <w:rPr>
          <w:rFonts w:ascii="Book Antiqua" w:hAnsi="Book Antiqua" w:cs="Arial"/>
          <w:b/>
          <w:u w:val="single"/>
        </w:rPr>
      </w:pPr>
      <w:r>
        <w:rPr>
          <w:rFonts w:ascii="Book Antiqua" w:hAnsi="Book Antiqua" w:cs="Arial"/>
          <w:b/>
          <w:u w:val="single"/>
        </w:rPr>
        <w:t>Submissions</w:t>
      </w:r>
    </w:p>
    <w:p w:rsidR="008E4A8E" w:rsidRDefault="009C614B" w:rsidP="00B52A42">
      <w:pPr>
        <w:numPr>
          <w:ilvl w:val="0"/>
          <w:numId w:val="3"/>
        </w:numPr>
        <w:spacing w:before="240"/>
        <w:jc w:val="both"/>
        <w:rPr>
          <w:rFonts w:ascii="Book Antiqua" w:hAnsi="Book Antiqua" w:cs="Arial"/>
        </w:rPr>
      </w:pPr>
      <w:r>
        <w:rPr>
          <w:rFonts w:ascii="Book Antiqua" w:hAnsi="Book Antiqua" w:cs="Arial"/>
        </w:rPr>
        <w:t>At the hearing before me on 13</w:t>
      </w:r>
      <w:r w:rsidRPr="009C614B">
        <w:rPr>
          <w:rFonts w:ascii="Book Antiqua" w:hAnsi="Book Antiqua" w:cs="Arial"/>
          <w:vertAlign w:val="superscript"/>
        </w:rPr>
        <w:t>th</w:t>
      </w:r>
      <w:r>
        <w:rPr>
          <w:rFonts w:ascii="Book Antiqua" w:hAnsi="Book Antiqua" w:cs="Arial"/>
        </w:rPr>
        <w:t xml:space="preserve"> August 2018, Mr </w:t>
      </w:r>
      <w:proofErr w:type="spellStart"/>
      <w:r>
        <w:rPr>
          <w:rFonts w:ascii="Book Antiqua" w:hAnsi="Book Antiqua" w:cs="Arial"/>
        </w:rPr>
        <w:t>Schwenk</w:t>
      </w:r>
      <w:proofErr w:type="spellEnd"/>
      <w:r>
        <w:rPr>
          <w:rFonts w:ascii="Book Antiqua" w:hAnsi="Book Antiqua" w:cs="Arial"/>
        </w:rPr>
        <w:t xml:space="preserve">, appealing on behalf of the </w:t>
      </w:r>
      <w:r w:rsidR="00EF72F7">
        <w:rPr>
          <w:rFonts w:ascii="Book Antiqua" w:hAnsi="Book Antiqua" w:cs="Arial"/>
        </w:rPr>
        <w:t xml:space="preserve">Appellant </w:t>
      </w:r>
      <w:r>
        <w:rPr>
          <w:rFonts w:ascii="Book Antiqua" w:hAnsi="Book Antiqua" w:cs="Arial"/>
        </w:rPr>
        <w:t xml:space="preserve">relied upon the grounds of application. He submitted that the judge had failed to heed the evidence and wrongly concluded that there </w:t>
      </w:r>
      <w:proofErr w:type="gramStart"/>
      <w:r>
        <w:rPr>
          <w:rFonts w:ascii="Book Antiqua" w:hAnsi="Book Antiqua" w:cs="Arial"/>
        </w:rPr>
        <w:t>was</w:t>
      </w:r>
      <w:proofErr w:type="gramEnd"/>
      <w:r>
        <w:rPr>
          <w:rFonts w:ascii="Book Antiqua" w:hAnsi="Book Antiqua" w:cs="Arial"/>
        </w:rPr>
        <w:t xml:space="preserve"> no compelling </w:t>
      </w:r>
      <w:r w:rsidR="00383192">
        <w:rPr>
          <w:rFonts w:ascii="Book Antiqua" w:hAnsi="Book Antiqua" w:cs="Arial"/>
        </w:rPr>
        <w:t>circumstances</w:t>
      </w:r>
      <w:r>
        <w:rPr>
          <w:rFonts w:ascii="Book Antiqua" w:hAnsi="Book Antiqua" w:cs="Arial"/>
        </w:rPr>
        <w:t xml:space="preserve"> outside the Immigration Rules in favour of the Appellant.</w:t>
      </w:r>
      <w:r w:rsidR="00611FD5">
        <w:rPr>
          <w:rFonts w:ascii="Book Antiqua" w:hAnsi="Book Antiqua" w:cs="Arial"/>
        </w:rPr>
        <w:t xml:space="preserve">  The judge concluded that, “given the Appellant’s several medical conditions, she certainly has my sympathy …” (paragraph 65), but there was no reference here to how the import of those medical reports in relation to the Appellant being incontinent, disabled, blind, suffering from dementia, and being insulin dependent, was to be evaluated.  Although the judge does give consideration, as a matter of form to the “Appellant’s several medical conditions”, these are not set out (paragraph 65) and there is no valuation or assessment undertaken in relation to them.</w:t>
      </w:r>
    </w:p>
    <w:p w:rsidR="008E4A8E" w:rsidRDefault="008E4A8E" w:rsidP="00B52A42">
      <w:pPr>
        <w:numPr>
          <w:ilvl w:val="0"/>
          <w:numId w:val="3"/>
        </w:numPr>
        <w:spacing w:before="240"/>
        <w:jc w:val="both"/>
        <w:rPr>
          <w:rFonts w:ascii="Book Antiqua" w:hAnsi="Book Antiqua" w:cs="Arial"/>
        </w:rPr>
      </w:pPr>
      <w:r>
        <w:rPr>
          <w:rFonts w:ascii="Book Antiqua" w:hAnsi="Book Antiqua" w:cs="Arial"/>
        </w:rPr>
        <w:lastRenderedPageBreak/>
        <w:t xml:space="preserve">Third, the sponsoring son, Dr Somnath Kumar had made it clear in his witness statement (at page 5) that his sisters in India were incapable of looking after their mother, and the judge rejected this contention (at paragraph 39(vi)) without explaining why, the </w:t>
      </w:r>
      <w:r w:rsidR="00EF72F7">
        <w:rPr>
          <w:rFonts w:ascii="Book Antiqua" w:hAnsi="Book Antiqua" w:cs="Arial"/>
        </w:rPr>
        <w:t xml:space="preserve">Appellant’s </w:t>
      </w:r>
      <w:r>
        <w:rPr>
          <w:rFonts w:ascii="Book Antiqua" w:hAnsi="Book Antiqua" w:cs="Arial"/>
        </w:rPr>
        <w:t xml:space="preserve">daughters who were married into their own families and had their own commitments including that of work, would be able to look after the Appellant on a 24 hour basis as was happening in the UK with the support from Mrs </w:t>
      </w:r>
      <w:proofErr w:type="spellStart"/>
      <w:r>
        <w:rPr>
          <w:rFonts w:ascii="Book Antiqua" w:hAnsi="Book Antiqua" w:cs="Arial"/>
        </w:rPr>
        <w:t>Ushashi</w:t>
      </w:r>
      <w:proofErr w:type="spellEnd"/>
      <w:r>
        <w:rPr>
          <w:rFonts w:ascii="Book Antiqua" w:hAnsi="Book Antiqua" w:cs="Arial"/>
        </w:rPr>
        <w:t xml:space="preserve"> </w:t>
      </w:r>
      <w:proofErr w:type="spellStart"/>
      <w:r>
        <w:rPr>
          <w:rFonts w:ascii="Book Antiqua" w:hAnsi="Book Antiqua" w:cs="Arial"/>
        </w:rPr>
        <w:t>Coomer</w:t>
      </w:r>
      <w:proofErr w:type="spellEnd"/>
      <w:r>
        <w:rPr>
          <w:rFonts w:ascii="Book Antiqua" w:hAnsi="Book Antiqua" w:cs="Arial"/>
        </w:rPr>
        <w:t>.</w:t>
      </w:r>
    </w:p>
    <w:p w:rsidR="009C614B" w:rsidRDefault="008E4A8E" w:rsidP="00B52A42">
      <w:pPr>
        <w:numPr>
          <w:ilvl w:val="0"/>
          <w:numId w:val="3"/>
        </w:numPr>
        <w:spacing w:before="240"/>
        <w:jc w:val="both"/>
        <w:rPr>
          <w:rFonts w:ascii="Book Antiqua" w:hAnsi="Book Antiqua" w:cs="Arial"/>
        </w:rPr>
      </w:pPr>
      <w:r>
        <w:rPr>
          <w:rFonts w:ascii="Book Antiqua" w:hAnsi="Book Antiqua" w:cs="Arial"/>
        </w:rPr>
        <w:t>Fourth, in circumstances where the sponsor, Dr Somnath Kumar, had not been</w:t>
      </w:r>
      <w:r w:rsidR="00611FD5">
        <w:rPr>
          <w:rFonts w:ascii="Book Antiqua" w:hAnsi="Book Antiqua" w:cs="Arial"/>
        </w:rPr>
        <w:t xml:space="preserve"> </w:t>
      </w:r>
      <w:r>
        <w:rPr>
          <w:rFonts w:ascii="Book Antiqua" w:hAnsi="Book Antiqua" w:cs="Arial"/>
        </w:rPr>
        <w:t xml:space="preserve">found to be lacking in credibility in any respect whatsoever, it was not clear why his witness statement (at paragraph 10) that, notwithstanding the social provision for the care of the elderly in India, those who do not have the support of their own family members, are vulnerable and difficult to look after.  The </w:t>
      </w:r>
      <w:r w:rsidR="00EF72F7">
        <w:rPr>
          <w:rFonts w:ascii="Book Antiqua" w:hAnsi="Book Antiqua" w:cs="Arial"/>
        </w:rPr>
        <w:t xml:space="preserve">Appellant </w:t>
      </w:r>
      <w:r>
        <w:rPr>
          <w:rFonts w:ascii="Book Antiqua" w:hAnsi="Book Antiqua" w:cs="Arial"/>
        </w:rPr>
        <w:t xml:space="preserve">had already given a statement to the effect that she had been in a supportive relationship with a woman who she referred to as a servant who looked after her, but this lady left in 2015, and the </w:t>
      </w:r>
      <w:r w:rsidR="005818BC">
        <w:rPr>
          <w:rFonts w:ascii="Book Antiqua" w:hAnsi="Book Antiqua" w:cs="Arial"/>
        </w:rPr>
        <w:t xml:space="preserve">Appellant </w:t>
      </w:r>
      <w:r w:rsidR="00DA15C6">
        <w:rPr>
          <w:rFonts w:ascii="Book Antiqua" w:hAnsi="Book Antiqua" w:cs="Arial"/>
        </w:rPr>
        <w:t>had not been able to e</w:t>
      </w:r>
      <w:r>
        <w:rPr>
          <w:rFonts w:ascii="Book Antiqua" w:hAnsi="Book Antiqua" w:cs="Arial"/>
        </w:rPr>
        <w:t>licit any further reliable help again.</w:t>
      </w:r>
    </w:p>
    <w:p w:rsidR="005818BC" w:rsidRDefault="005818BC" w:rsidP="00B52A42">
      <w:pPr>
        <w:numPr>
          <w:ilvl w:val="0"/>
          <w:numId w:val="3"/>
        </w:numPr>
        <w:spacing w:before="240"/>
        <w:jc w:val="both"/>
        <w:rPr>
          <w:rFonts w:ascii="Book Antiqua" w:hAnsi="Book Antiqua" w:cs="Arial"/>
        </w:rPr>
      </w:pPr>
      <w:r>
        <w:rPr>
          <w:rFonts w:ascii="Book Antiqua" w:hAnsi="Book Antiqua" w:cs="Arial"/>
        </w:rPr>
        <w:t xml:space="preserve">For his part, Mr </w:t>
      </w:r>
      <w:proofErr w:type="spellStart"/>
      <w:r>
        <w:rPr>
          <w:rFonts w:ascii="Book Antiqua" w:hAnsi="Book Antiqua" w:cs="Arial"/>
        </w:rPr>
        <w:t>Diwncyz</w:t>
      </w:r>
      <w:proofErr w:type="spellEnd"/>
      <w:r w:rsidR="00DA15C6">
        <w:rPr>
          <w:rFonts w:ascii="Book Antiqua" w:hAnsi="Book Antiqua" w:cs="Arial"/>
        </w:rPr>
        <w:t xml:space="preserve"> stated that, in the absence of a Rule 24 response, he would rely upon the reasons for refusal by the First-tier Tribunal.  Judge Morris did properly </w:t>
      </w:r>
      <w:proofErr w:type="gramStart"/>
      <w:r w:rsidR="00DA15C6">
        <w:rPr>
          <w:rFonts w:ascii="Book Antiqua" w:hAnsi="Book Antiqua" w:cs="Arial"/>
        </w:rPr>
        <w:t>take into account</w:t>
      </w:r>
      <w:proofErr w:type="gramEnd"/>
      <w:r w:rsidR="00DA15C6">
        <w:rPr>
          <w:rFonts w:ascii="Book Antiqua" w:hAnsi="Book Antiqua" w:cs="Arial"/>
        </w:rPr>
        <w:t xml:space="preserve"> the evidence of the sponsoring son and the medical practitioners.  He did not fail to deal adequately with the rights and obligations conferred by Article 8.  He did accept that family life existed between the Appellant and her son (at paragraph 56), but that was not enough.  The findings of the judge as to care and support, which would be available to the Appellant in India, were open to him </w:t>
      </w:r>
      <w:proofErr w:type="gramStart"/>
      <w:r w:rsidR="00DA15C6">
        <w:rPr>
          <w:rFonts w:ascii="Book Antiqua" w:hAnsi="Book Antiqua" w:cs="Arial"/>
        </w:rPr>
        <w:t>on the basis of</w:t>
      </w:r>
      <w:proofErr w:type="gramEnd"/>
      <w:r w:rsidR="00DA15C6">
        <w:rPr>
          <w:rFonts w:ascii="Book Antiqua" w:hAnsi="Book Antiqua" w:cs="Arial"/>
        </w:rPr>
        <w:t xml:space="preserve"> the totality of the evidence (see paragraph 39).  He gave reasons for his findings and he accepted that family life existed when carrying out the proportionality assessment, and although he did not set out </w:t>
      </w:r>
      <w:proofErr w:type="gramStart"/>
      <w:r w:rsidR="00DA15C6">
        <w:rPr>
          <w:rFonts w:ascii="Book Antiqua" w:hAnsi="Book Antiqua" w:cs="Arial"/>
        </w:rPr>
        <w:t>each and every</w:t>
      </w:r>
      <w:proofErr w:type="gramEnd"/>
      <w:r w:rsidR="00DA15C6">
        <w:rPr>
          <w:rFonts w:ascii="Book Antiqua" w:hAnsi="Book Antiqua" w:cs="Arial"/>
        </w:rPr>
        <w:t xml:space="preserve"> piece of medical evidence, he did state (at paragraph 65) that he had read and re-read the medical reports.</w:t>
      </w:r>
    </w:p>
    <w:p w:rsidR="007B0101" w:rsidRDefault="007B0101" w:rsidP="00B52A42">
      <w:pPr>
        <w:numPr>
          <w:ilvl w:val="0"/>
          <w:numId w:val="3"/>
        </w:numPr>
        <w:spacing w:before="240"/>
        <w:jc w:val="both"/>
        <w:rPr>
          <w:rFonts w:ascii="Book Antiqua" w:hAnsi="Book Antiqua" w:cs="Arial"/>
        </w:rPr>
      </w:pPr>
      <w:r>
        <w:rPr>
          <w:rFonts w:ascii="Book Antiqua" w:hAnsi="Book Antiqua" w:cs="Arial"/>
        </w:rPr>
        <w:t xml:space="preserve">In reply, Mr </w:t>
      </w:r>
      <w:proofErr w:type="spellStart"/>
      <w:r>
        <w:rPr>
          <w:rFonts w:ascii="Book Antiqua" w:hAnsi="Book Antiqua" w:cs="Arial"/>
        </w:rPr>
        <w:t>Schwenk</w:t>
      </w:r>
      <w:proofErr w:type="spellEnd"/>
      <w:r>
        <w:rPr>
          <w:rFonts w:ascii="Book Antiqua" w:hAnsi="Book Antiqua" w:cs="Arial"/>
        </w:rPr>
        <w:t xml:space="preserve"> submitted that this appeal was as much about the Appellant’s care as about her medical condition, and care also included emotional care.  He referred to page 20 of the bundle and to Dr Ahmad’s letter at page 21.  He submitted that a chance of deterioration in the Appellant’s health could lead to </w:t>
      </w:r>
      <w:r w:rsidR="00DD0E27">
        <w:rPr>
          <w:rFonts w:ascii="Book Antiqua" w:hAnsi="Book Antiqua" w:cs="Arial"/>
        </w:rPr>
        <w:t xml:space="preserve">a </w:t>
      </w:r>
      <w:r>
        <w:rPr>
          <w:rFonts w:ascii="Book Antiqua" w:hAnsi="Book Antiqua" w:cs="Arial"/>
        </w:rPr>
        <w:t xml:space="preserve">heart attack, and her kidney problems were such that she was unable to comprehend her situation fully.  Her dementia was such that she was physically incapable of looking after herself on a day-to-day basis.  Ultimately, it could not be said that there were no “unjustifiably harsh consequences” to her </w:t>
      </w:r>
      <w:proofErr w:type="gramStart"/>
      <w:r>
        <w:rPr>
          <w:rFonts w:ascii="Book Antiqua" w:hAnsi="Book Antiqua" w:cs="Arial"/>
        </w:rPr>
        <w:t>return back</w:t>
      </w:r>
      <w:proofErr w:type="gramEnd"/>
      <w:r>
        <w:rPr>
          <w:rFonts w:ascii="Book Antiqua" w:hAnsi="Book Antiqua" w:cs="Arial"/>
        </w:rPr>
        <w:t xml:space="preserve"> to India.  </w:t>
      </w:r>
    </w:p>
    <w:p w:rsidR="007B0101" w:rsidRPr="007B0101" w:rsidRDefault="007B0101" w:rsidP="0052795E">
      <w:pPr>
        <w:keepNext/>
        <w:spacing w:before="240"/>
        <w:jc w:val="both"/>
        <w:rPr>
          <w:rFonts w:ascii="Book Antiqua" w:hAnsi="Book Antiqua" w:cs="Arial"/>
          <w:b/>
          <w:u w:val="single"/>
        </w:rPr>
      </w:pPr>
      <w:r>
        <w:rPr>
          <w:rFonts w:ascii="Book Antiqua" w:hAnsi="Book Antiqua" w:cs="Arial"/>
          <w:b/>
          <w:u w:val="single"/>
        </w:rPr>
        <w:t>Error of Law</w:t>
      </w:r>
    </w:p>
    <w:p w:rsidR="0076738D" w:rsidRDefault="008E4262" w:rsidP="00B52A42">
      <w:pPr>
        <w:numPr>
          <w:ilvl w:val="0"/>
          <w:numId w:val="3"/>
        </w:numPr>
        <w:spacing w:before="240"/>
        <w:jc w:val="both"/>
        <w:rPr>
          <w:rFonts w:ascii="Book Antiqua" w:hAnsi="Book Antiqua" w:cs="Arial"/>
        </w:rPr>
      </w:pPr>
      <w:r>
        <w:rPr>
          <w:rFonts w:ascii="Book Antiqua" w:hAnsi="Book Antiqua" w:cs="Arial"/>
        </w:rPr>
        <w:t>I am satisfied that the making of the decision by the judge involved the making of</w:t>
      </w:r>
      <w:r w:rsidR="0052795E">
        <w:rPr>
          <w:rFonts w:ascii="Book Antiqua" w:hAnsi="Book Antiqua" w:cs="Arial"/>
        </w:rPr>
        <w:t xml:space="preserve"> an error on a point of law (</w:t>
      </w:r>
      <w:r>
        <w:rPr>
          <w:rFonts w:ascii="Book Antiqua" w:hAnsi="Book Antiqua" w:cs="Arial"/>
        </w:rPr>
        <w:t xml:space="preserve">paragraph 12(1) of TCEA 2007) such that I should set aside the decision and remake the decision.  I come to this conclusion notwithstanding the otherwise generally well compiled, and thoughtfully constructed determination of Judge Morris.  There are three reasons for this.  </w:t>
      </w:r>
    </w:p>
    <w:p w:rsidR="007B0101" w:rsidRDefault="008E4262" w:rsidP="00B52A42">
      <w:pPr>
        <w:numPr>
          <w:ilvl w:val="0"/>
          <w:numId w:val="3"/>
        </w:numPr>
        <w:spacing w:before="240"/>
        <w:jc w:val="both"/>
        <w:rPr>
          <w:rFonts w:ascii="Book Antiqua" w:hAnsi="Book Antiqua" w:cs="Arial"/>
        </w:rPr>
      </w:pPr>
      <w:r>
        <w:rPr>
          <w:rFonts w:ascii="Book Antiqua" w:hAnsi="Book Antiqua" w:cs="Arial"/>
        </w:rPr>
        <w:t xml:space="preserve">First, although the judge in this case sets out in ten numbered subparagraphs the evidence given at the hearing of Dr Somnath Kumar, the Appellant’s son (at paragraph 24), </w:t>
      </w:r>
      <w:proofErr w:type="gramStart"/>
      <w:r>
        <w:rPr>
          <w:rFonts w:ascii="Book Antiqua" w:hAnsi="Book Antiqua" w:cs="Arial"/>
        </w:rPr>
        <w:t>and also</w:t>
      </w:r>
      <w:proofErr w:type="gramEnd"/>
      <w:r>
        <w:rPr>
          <w:rFonts w:ascii="Book Antiqua" w:hAnsi="Book Antiqua" w:cs="Arial"/>
        </w:rPr>
        <w:t xml:space="preserve"> then refers to the evidence given at the hearing by Mrs </w:t>
      </w:r>
      <w:proofErr w:type="spellStart"/>
      <w:r>
        <w:rPr>
          <w:rFonts w:ascii="Book Antiqua" w:hAnsi="Book Antiqua" w:cs="Arial"/>
        </w:rPr>
        <w:t>Ushashi</w:t>
      </w:r>
      <w:proofErr w:type="spellEnd"/>
      <w:r>
        <w:rPr>
          <w:rFonts w:ascii="Book Antiqua" w:hAnsi="Book Antiqua" w:cs="Arial"/>
        </w:rPr>
        <w:t xml:space="preserve"> </w:t>
      </w:r>
      <w:proofErr w:type="spellStart"/>
      <w:r>
        <w:rPr>
          <w:rFonts w:ascii="Book Antiqua" w:hAnsi="Book Antiqua" w:cs="Arial"/>
        </w:rPr>
        <w:t>Coomer</w:t>
      </w:r>
      <w:proofErr w:type="spellEnd"/>
      <w:r>
        <w:rPr>
          <w:rFonts w:ascii="Book Antiqua" w:hAnsi="Book Antiqua" w:cs="Arial"/>
        </w:rPr>
        <w:t xml:space="preserve"> </w:t>
      </w:r>
      <w:r>
        <w:rPr>
          <w:rFonts w:ascii="Book Antiqua" w:hAnsi="Book Antiqua" w:cs="Arial"/>
        </w:rPr>
        <w:lastRenderedPageBreak/>
        <w:t xml:space="preserve">(at paragraph 25), he does not set out the import of the medical reports.  It is not enough to say (at paragraph 64) that these have been read and re-read with considerable sympathy, particularly given that there is recognition by the judge of “the Appellant’s several medical conditions” (paragraph 65).  This evidence was necessary to set out, so that it could be shown that specific attention was given to it, given that Dr Somnath Kumar had himself in his evidence stated that he was “very concerned about her day-to-day diabetes management”, in referring to his mother, the Appellant, and stating that “she has had life-threatening episodes of hypoglycaemia, which required prompt attention from his wife” and that “his mother is not able to measure her blood sugar nor interpret the values” and that “she needs twice daily supervision of the insulin dosage” (paragraph 24(iii)).  It is significant that Dr Somnath Kumar’s evidence in this regard was not questioned, and nor was his credibility entuned at any stage.  </w:t>
      </w:r>
    </w:p>
    <w:p w:rsidR="00B41BED" w:rsidRPr="0052795E" w:rsidRDefault="00B41BED" w:rsidP="0052795E">
      <w:pPr>
        <w:numPr>
          <w:ilvl w:val="0"/>
          <w:numId w:val="3"/>
        </w:numPr>
        <w:spacing w:before="240"/>
        <w:jc w:val="both"/>
        <w:rPr>
          <w:rFonts w:ascii="Book Antiqua" w:hAnsi="Book Antiqua" w:cs="Arial"/>
        </w:rPr>
      </w:pPr>
      <w:r>
        <w:rPr>
          <w:rFonts w:ascii="Book Antiqua" w:hAnsi="Book Antiqua" w:cs="Arial"/>
        </w:rPr>
        <w:t>Second, the judge stated, having considered the position under the Immigration Rules, that there were no compelling reasons requiring him to consider the position outside the Immigration Rules (paragraph 51), but this overlooks the position that the Rules are not a complete code and there are no provisions within the Rules for consideration of an in-country application by an elderly dependent relative such as the Appellant in this case.  To express oneself in the manner that, for this reason, “I need not go further” is to prejudice the consideration of the position outside the Immigratio</w:t>
      </w:r>
      <w:r w:rsidR="00AE530A">
        <w:rPr>
          <w:rFonts w:ascii="Book Antiqua" w:hAnsi="Book Antiqua" w:cs="Arial"/>
        </w:rPr>
        <w:t xml:space="preserve">n Rules, even if the judge does then go on to say that, </w:t>
      </w:r>
      <w:r w:rsidR="00AE530A" w:rsidRPr="0052795E">
        <w:rPr>
          <w:rFonts w:ascii="Book Antiqua" w:hAnsi="Book Antiqua" w:cs="Arial"/>
        </w:rPr>
        <w:t>“that notwithstanding, lest it might be considered that my decision in that regard is wrong (and acknowledging the focus of the Appellant’</w:t>
      </w:r>
      <w:r w:rsidR="0052795E">
        <w:rPr>
          <w:rFonts w:ascii="Book Antiqua" w:hAnsi="Book Antiqua" w:cs="Arial"/>
        </w:rPr>
        <w:t>s appeal)</w:t>
      </w:r>
      <w:r w:rsidR="00AE530A" w:rsidRPr="0052795E">
        <w:rPr>
          <w:rFonts w:ascii="Book Antiqua" w:hAnsi="Book Antiqua" w:cs="Arial"/>
        </w:rPr>
        <w:t xml:space="preserve"> I consider that, exception, in this appeal it is appropriate that I should do so” (paragraph 51).  It cannot be emphasised enough that given that an in-country application by an elderly dependant relative inevitably falls to be considered outside the Immigration Rules, it was unfortunate for the judge to have expressed himself in this way even though he does then go on to look at the position in precisely the manner that is suggested he need not.</w:t>
      </w:r>
    </w:p>
    <w:p w:rsidR="002615D7" w:rsidRDefault="002615D7" w:rsidP="00B52A42">
      <w:pPr>
        <w:numPr>
          <w:ilvl w:val="0"/>
          <w:numId w:val="3"/>
        </w:numPr>
        <w:spacing w:before="240"/>
        <w:jc w:val="both"/>
        <w:rPr>
          <w:rFonts w:ascii="Book Antiqua" w:hAnsi="Book Antiqua" w:cs="Arial"/>
        </w:rPr>
      </w:pPr>
      <w:r>
        <w:rPr>
          <w:rFonts w:ascii="Book Antiqua" w:hAnsi="Book Antiqua" w:cs="Arial"/>
        </w:rPr>
        <w:t xml:space="preserve">Third, and perhaps most importantly, the real issue in this appeal was, whether the decision to require the </w:t>
      </w:r>
      <w:r w:rsidR="00EF72F7">
        <w:rPr>
          <w:rFonts w:ascii="Book Antiqua" w:hAnsi="Book Antiqua" w:cs="Arial"/>
        </w:rPr>
        <w:t xml:space="preserve">Appellant </w:t>
      </w:r>
      <w:r>
        <w:rPr>
          <w:rFonts w:ascii="Book Antiqua" w:hAnsi="Book Antiqua" w:cs="Arial"/>
        </w:rPr>
        <w:t xml:space="preserve">to </w:t>
      </w:r>
      <w:proofErr w:type="gramStart"/>
      <w:r>
        <w:rPr>
          <w:rFonts w:ascii="Book Antiqua" w:hAnsi="Book Antiqua" w:cs="Arial"/>
        </w:rPr>
        <w:t>return back</w:t>
      </w:r>
      <w:proofErr w:type="gramEnd"/>
      <w:r>
        <w:rPr>
          <w:rFonts w:ascii="Book Antiqua" w:hAnsi="Book Antiqua" w:cs="Arial"/>
        </w:rPr>
        <w:t xml:space="preserve"> to India “is proportionate to the legitimate public end sought to be achieved”, and Judge Morris was clear about this (although highlighting it only towards the end of his determination at paragraph 64), when he stated that “this is probably the key question in this appeal”.  That being so, the evidence of Dr Somnath Kumar, her son, who had not been found to be lacking in credibility, was critical.  He had stated that </w:t>
      </w:r>
    </w:p>
    <w:p w:rsidR="002615D7" w:rsidRDefault="002615D7" w:rsidP="002615D7">
      <w:pPr>
        <w:spacing w:before="240"/>
        <w:ind w:left="1134"/>
        <w:jc w:val="both"/>
        <w:rPr>
          <w:rFonts w:ascii="Book Antiqua" w:hAnsi="Book Antiqua" w:cs="Arial"/>
        </w:rPr>
      </w:pPr>
      <w:r>
        <w:rPr>
          <w:rFonts w:ascii="Book Antiqua" w:hAnsi="Book Antiqua" w:cs="Arial"/>
        </w:rPr>
        <w:t>“</w:t>
      </w:r>
      <w:r w:rsidR="0052795E">
        <w:rPr>
          <w:rFonts w:ascii="Book Antiqua" w:hAnsi="Book Antiqua" w:cs="Arial"/>
        </w:rPr>
        <w:t xml:space="preserve">It </w:t>
      </w:r>
      <w:r>
        <w:rPr>
          <w:rFonts w:ascii="Book Antiqua" w:hAnsi="Book Antiqua" w:cs="Arial"/>
        </w:rPr>
        <w:t xml:space="preserve">was not a question of paying a person to look after his mother in India: rather such people are not available or trustworthy.  His mother needs care 24/7 from someone she can trust, such as his wife who is the daughter of a family friend and whom his mother had known for many years” (see paragraph 24(v)).  </w:t>
      </w:r>
    </w:p>
    <w:p w:rsidR="0076738D" w:rsidRDefault="002615D7" w:rsidP="0076738D">
      <w:pPr>
        <w:pStyle w:val="ColorfulList-Accent11"/>
        <w:numPr>
          <w:ilvl w:val="0"/>
          <w:numId w:val="3"/>
        </w:numPr>
        <w:spacing w:before="240"/>
        <w:jc w:val="both"/>
        <w:rPr>
          <w:rFonts w:ascii="Book Antiqua" w:hAnsi="Book Antiqua" w:cs="Arial"/>
        </w:rPr>
      </w:pPr>
      <w:r w:rsidRPr="0076738D">
        <w:rPr>
          <w:rFonts w:ascii="Book Antiqua" w:hAnsi="Book Antiqua" w:cs="Arial"/>
        </w:rPr>
        <w:t>That evidence, and the issue as so defined by the judge himself, was critical to what the judge had to determine.  Although neither of the representatives referred me to the Tr</w:t>
      </w:r>
      <w:r w:rsidR="00A61D51" w:rsidRPr="0076738D">
        <w:rPr>
          <w:rFonts w:ascii="Book Antiqua" w:hAnsi="Book Antiqua" w:cs="Arial"/>
        </w:rPr>
        <w:t xml:space="preserve">ibunal decision of </w:t>
      </w:r>
      <w:proofErr w:type="spellStart"/>
      <w:r w:rsidR="00A61D51" w:rsidRPr="0076738D">
        <w:rPr>
          <w:rFonts w:ascii="Book Antiqua" w:hAnsi="Book Antiqua" w:cs="Arial"/>
          <w:b/>
          <w:u w:val="single"/>
        </w:rPr>
        <w:t>Timoro</w:t>
      </w:r>
      <w:proofErr w:type="spellEnd"/>
      <w:r w:rsidR="00A61D51" w:rsidRPr="0076738D">
        <w:rPr>
          <w:rFonts w:ascii="Book Antiqua" w:hAnsi="Book Antiqua" w:cs="Arial"/>
          <w:b/>
          <w:u w:val="single"/>
        </w:rPr>
        <w:t xml:space="preserve"> </w:t>
      </w:r>
      <w:proofErr w:type="spellStart"/>
      <w:r w:rsidR="00A61D51" w:rsidRPr="0076738D">
        <w:rPr>
          <w:rFonts w:ascii="Book Antiqua" w:hAnsi="Book Antiqua" w:cs="Arial"/>
          <w:b/>
          <w:u w:val="single"/>
        </w:rPr>
        <w:t>Nour</w:t>
      </w:r>
      <w:proofErr w:type="spellEnd"/>
      <w:r w:rsidR="00A61D51" w:rsidRPr="0076738D">
        <w:rPr>
          <w:rFonts w:ascii="Book Antiqua" w:hAnsi="Book Antiqua" w:cs="Arial"/>
          <w:b/>
          <w:u w:val="single"/>
        </w:rPr>
        <w:t xml:space="preserve"> O</w:t>
      </w:r>
      <w:r w:rsidRPr="0076738D">
        <w:rPr>
          <w:rFonts w:ascii="Book Antiqua" w:hAnsi="Book Antiqua" w:cs="Arial"/>
          <w:b/>
          <w:u w:val="single"/>
        </w:rPr>
        <w:t>sman</w:t>
      </w:r>
      <w:r w:rsidRPr="0076738D">
        <w:rPr>
          <w:rFonts w:ascii="Book Antiqua" w:hAnsi="Book Antiqua" w:cs="Arial"/>
        </w:rPr>
        <w:t xml:space="preserve"> (OA/18244/2012) it is of not inconsiderable importance, because it di</w:t>
      </w:r>
      <w:r w:rsidR="0052795E" w:rsidRPr="0076738D">
        <w:rPr>
          <w:rFonts w:ascii="Book Antiqua" w:hAnsi="Book Antiqua" w:cs="Arial"/>
        </w:rPr>
        <w:t>scusses the</w:t>
      </w:r>
      <w:r w:rsidRPr="0076738D">
        <w:rPr>
          <w:rFonts w:ascii="Book Antiqua" w:hAnsi="Book Antiqua" w:cs="Arial"/>
        </w:rPr>
        <w:t xml:space="preserve"> meaning of “long-term personal care to perform everyday tasks” (at paragraph 28).  </w:t>
      </w:r>
      <w:r w:rsidR="0076738D">
        <w:rPr>
          <w:rFonts w:ascii="Book Antiqua" w:hAnsi="Book Antiqua" w:cs="Arial"/>
        </w:rPr>
        <w:t xml:space="preserve">It is an unreported decision. It is not binding on </w:t>
      </w:r>
      <w:r w:rsidR="0076738D">
        <w:rPr>
          <w:rFonts w:ascii="Book Antiqua" w:hAnsi="Book Antiqua" w:cs="Arial"/>
        </w:rPr>
        <w:lastRenderedPageBreak/>
        <w:t>this Tribunal.  Nevertheless, i</w:t>
      </w:r>
      <w:r w:rsidRPr="0076738D">
        <w:rPr>
          <w:rFonts w:ascii="Book Antiqua" w:hAnsi="Book Antiqua" w:cs="Arial"/>
        </w:rPr>
        <w:t xml:space="preserve">t goes on to explain that this must be </w:t>
      </w:r>
      <w:proofErr w:type="gramStart"/>
      <w:r w:rsidRPr="0076738D">
        <w:rPr>
          <w:rFonts w:ascii="Book Antiqua" w:hAnsi="Book Antiqua" w:cs="Arial"/>
        </w:rPr>
        <w:t>as a result of</w:t>
      </w:r>
      <w:proofErr w:type="gramEnd"/>
      <w:r w:rsidRPr="0076738D">
        <w:rPr>
          <w:rFonts w:ascii="Book Antiqua" w:hAnsi="Book Antiqua" w:cs="Arial"/>
        </w:rPr>
        <w:t xml:space="preserve"> “age, illness or disability” (paragraph 29).  No definition of “long-term personal care to perform everyday tasks” is contained in the Immigration Rules.  There are some examples given in the IDI (at paragraph 2.2.1), such that it is said that an individual is incapable of “washing, dressing and cooking” if he or she falls under this description.  </w:t>
      </w:r>
    </w:p>
    <w:p w:rsidR="0076738D" w:rsidRPr="0076738D" w:rsidRDefault="0076738D" w:rsidP="00160299">
      <w:pPr>
        <w:pStyle w:val="ColorfulList-Accent11"/>
        <w:spacing w:before="240"/>
        <w:ind w:left="567"/>
        <w:jc w:val="both"/>
        <w:rPr>
          <w:rFonts w:ascii="Book Antiqua" w:hAnsi="Book Antiqua" w:cs="Arial"/>
        </w:rPr>
      </w:pPr>
    </w:p>
    <w:p w:rsidR="0076738D" w:rsidRDefault="002615D7" w:rsidP="00160299">
      <w:pPr>
        <w:pStyle w:val="ColorfulList-Accent11"/>
        <w:numPr>
          <w:ilvl w:val="0"/>
          <w:numId w:val="3"/>
        </w:numPr>
        <w:jc w:val="both"/>
        <w:rPr>
          <w:rFonts w:ascii="Book Antiqua" w:hAnsi="Book Antiqua" w:cs="Arial"/>
        </w:rPr>
      </w:pPr>
      <w:r w:rsidRPr="0076738D">
        <w:rPr>
          <w:rFonts w:ascii="Book Antiqua" w:hAnsi="Book Antiqua" w:cs="Arial"/>
        </w:rPr>
        <w:t xml:space="preserve">The judge did not reject the evidence given by Dr Somnath Kumar that the </w:t>
      </w:r>
      <w:r w:rsidR="00EF72F7" w:rsidRPr="0076738D">
        <w:rPr>
          <w:rFonts w:ascii="Book Antiqua" w:hAnsi="Book Antiqua" w:cs="Arial"/>
        </w:rPr>
        <w:t xml:space="preserve">Appellant’s </w:t>
      </w:r>
      <w:r w:rsidRPr="0076738D">
        <w:rPr>
          <w:rFonts w:ascii="Book Antiqua" w:hAnsi="Book Antiqua" w:cs="Arial"/>
        </w:rPr>
        <w:t>health had “significantly deteriorated and she is now completely incapable of looking after herself and managing her affairs” (paragraph 24(ii))</w:t>
      </w:r>
      <w:r w:rsidR="00BE59DF" w:rsidRPr="0076738D">
        <w:rPr>
          <w:rFonts w:ascii="Book Antiqua" w:hAnsi="Book Antiqua" w:cs="Arial"/>
        </w:rPr>
        <w:t>.</w:t>
      </w:r>
      <w:r w:rsidR="00A85258" w:rsidRPr="0076738D">
        <w:rPr>
          <w:rFonts w:ascii="Book Antiqua" w:hAnsi="Book Antiqua" w:cs="Arial"/>
        </w:rPr>
        <w:t xml:space="preserve">  In that case, the judge had concluded that the Appellant’s need for “personal care to perform everyday tasks” could be met inside Arabia through a carer from the local Somali community.  In the instant case, Dr Somnath Kumar had given evidence that “his mother had previously had a person living in with her, that had been a longstanding relationship”.  </w:t>
      </w:r>
    </w:p>
    <w:p w:rsidR="00160299" w:rsidRDefault="00160299" w:rsidP="00160299">
      <w:pPr>
        <w:pStyle w:val="ColorfulList-Accent11"/>
        <w:ind w:left="0"/>
        <w:jc w:val="both"/>
        <w:rPr>
          <w:rFonts w:ascii="Book Antiqua" w:hAnsi="Book Antiqua" w:cs="Arial"/>
        </w:rPr>
      </w:pPr>
    </w:p>
    <w:p w:rsidR="002615D7" w:rsidRPr="0076738D" w:rsidRDefault="00A85258" w:rsidP="0076738D">
      <w:pPr>
        <w:pStyle w:val="ColorfulList-Accent11"/>
        <w:numPr>
          <w:ilvl w:val="0"/>
          <w:numId w:val="3"/>
        </w:numPr>
        <w:spacing w:before="240"/>
        <w:jc w:val="both"/>
        <w:rPr>
          <w:rFonts w:ascii="Book Antiqua" w:hAnsi="Book Antiqua" w:cs="Arial"/>
        </w:rPr>
      </w:pPr>
      <w:r w:rsidRPr="0076738D">
        <w:rPr>
          <w:rFonts w:ascii="Book Antiqua" w:hAnsi="Book Antiqua" w:cs="Arial"/>
        </w:rPr>
        <w:t>However, “she had left a long time ago, in 2015 not because his mother had come to the UK, but because she did not want to continue workin</w:t>
      </w:r>
      <w:r w:rsidR="000E1D90" w:rsidRPr="0076738D">
        <w:rPr>
          <w:rFonts w:ascii="Book Antiqua" w:hAnsi="Book Antiqua" w:cs="Arial"/>
        </w:rPr>
        <w:t>g as her carer”</w:t>
      </w:r>
      <w:r w:rsidRPr="0076738D">
        <w:rPr>
          <w:rFonts w:ascii="Book Antiqua" w:hAnsi="Book Antiqua" w:cs="Arial"/>
        </w:rPr>
        <w:t xml:space="preserve"> (paragraph 24(v)).</w:t>
      </w:r>
      <w:r w:rsidR="000E1D90" w:rsidRPr="0076738D">
        <w:rPr>
          <w:rFonts w:ascii="Book Antiqua" w:hAnsi="Book Antiqua" w:cs="Arial"/>
        </w:rPr>
        <w:t xml:space="preserve">  The emphasis on what Dr Somnath Kumar was saying was that there had been established a “longstanding relationship”.  That was something, which he now regarded as difficult to replicate because people are either not available or not trustworthy.   </w:t>
      </w:r>
    </w:p>
    <w:p w:rsidR="00EB1627" w:rsidRDefault="000E1D90" w:rsidP="00B52A42">
      <w:pPr>
        <w:numPr>
          <w:ilvl w:val="0"/>
          <w:numId w:val="3"/>
        </w:numPr>
        <w:spacing w:before="240"/>
        <w:jc w:val="both"/>
        <w:rPr>
          <w:rFonts w:ascii="Book Antiqua" w:hAnsi="Book Antiqua" w:cs="Arial"/>
        </w:rPr>
      </w:pPr>
      <w:r>
        <w:rPr>
          <w:rFonts w:ascii="Book Antiqua" w:hAnsi="Book Antiqua" w:cs="Arial"/>
        </w:rPr>
        <w:t xml:space="preserve">In </w:t>
      </w:r>
      <w:r w:rsidRPr="000E1D90">
        <w:rPr>
          <w:rFonts w:ascii="Book Antiqua" w:hAnsi="Book Antiqua" w:cs="Arial"/>
          <w:b/>
          <w:u w:val="single"/>
        </w:rPr>
        <w:t>Osman</w:t>
      </w:r>
      <w:r>
        <w:rPr>
          <w:rFonts w:ascii="Book Antiqua" w:hAnsi="Book Antiqua" w:cs="Arial"/>
        </w:rPr>
        <w:t xml:space="preserve">, the Upper Tribunal had regarded the decision of the judge below to be unsustainable for two reasons.  First, the judge below had assumed that whatever the needs of the Appellant, the carer could meet them, but this did not </w:t>
      </w:r>
      <w:proofErr w:type="gramStart"/>
      <w:r>
        <w:rPr>
          <w:rFonts w:ascii="Book Antiqua" w:hAnsi="Book Antiqua" w:cs="Arial"/>
        </w:rPr>
        <w:t>take into account</w:t>
      </w:r>
      <w:proofErr w:type="gramEnd"/>
      <w:r>
        <w:rPr>
          <w:rFonts w:ascii="Book Antiqua" w:hAnsi="Book Antiqua" w:cs="Arial"/>
        </w:rPr>
        <w:t xml:space="preserve"> the medical report, which had been coupled with the fact that, “the Sponsor’s evidence was also that the Appellant’s lack of mobility was very severely impaired by chronic arthritis to her knees and back” (paragraph 39).  In that case also, the Upper Tribunal went on to say that, “everyday tasks” is a matter which “includes mobility, and as a matter of common sense, to include the ability to leave one’s home and interact with the world outside engaging in everyday living activities” (paragraph 40).  In the instant case, there was a serious question mark in the Appellant’s ability</w:t>
      </w:r>
      <w:r w:rsidR="00DB171D">
        <w:rPr>
          <w:rFonts w:ascii="Book Antiqua" w:hAnsi="Book Antiqua" w:cs="Arial"/>
        </w:rPr>
        <w:t xml:space="preserve"> to do the same (see paragraph 2</w:t>
      </w:r>
      <w:r>
        <w:rPr>
          <w:rFonts w:ascii="Book Antiqua" w:hAnsi="Book Antiqua" w:cs="Arial"/>
        </w:rPr>
        <w:t>4(ii))</w:t>
      </w:r>
      <w:r w:rsidR="00281D37">
        <w:rPr>
          <w:rFonts w:ascii="Book Antiqua" w:hAnsi="Book Antiqua" w:cs="Arial"/>
        </w:rPr>
        <w:t>, and she did not attend to give evidence at the hearing either.</w:t>
      </w:r>
    </w:p>
    <w:p w:rsidR="000E1D90" w:rsidRPr="003327BC" w:rsidRDefault="00515B72" w:rsidP="003327BC">
      <w:pPr>
        <w:numPr>
          <w:ilvl w:val="0"/>
          <w:numId w:val="3"/>
        </w:numPr>
        <w:spacing w:before="240"/>
        <w:jc w:val="both"/>
        <w:rPr>
          <w:rFonts w:ascii="Book Antiqua" w:hAnsi="Book Antiqua" w:cs="Arial"/>
        </w:rPr>
      </w:pPr>
      <w:r>
        <w:rPr>
          <w:rFonts w:ascii="Book Antiqua" w:hAnsi="Book Antiqua" w:cs="Arial"/>
        </w:rPr>
        <w:t xml:space="preserve">Second, in </w:t>
      </w:r>
      <w:r w:rsidRPr="0069077A">
        <w:rPr>
          <w:rFonts w:ascii="Book Antiqua" w:hAnsi="Book Antiqua" w:cs="Arial"/>
          <w:b/>
          <w:u w:val="single"/>
        </w:rPr>
        <w:t>Osman</w:t>
      </w:r>
      <w:r>
        <w:rPr>
          <w:rFonts w:ascii="Book Antiqua" w:hAnsi="Book Antiqua" w:cs="Arial"/>
        </w:rPr>
        <w:t xml:space="preserve">, the Upper Tribunal said that the suggestion that the carer was available at the date of the decision and thereafter, such as to be able to provide the Appellant’s mother with the necessary care was inadequately reasoned.  In the instant case, of course, the carer is not available, and the evidence of Dr Somnath Kumar has been that it is difficult to find one who can indeed perform tasks </w:t>
      </w:r>
      <w:proofErr w:type="gramStart"/>
      <w:r>
        <w:rPr>
          <w:rFonts w:ascii="Book Antiqua" w:hAnsi="Book Antiqua" w:cs="Arial"/>
        </w:rPr>
        <w:t>on the basis of</w:t>
      </w:r>
      <w:proofErr w:type="gramEnd"/>
      <w:r>
        <w:rPr>
          <w:rFonts w:ascii="Book Antiqua" w:hAnsi="Book Antiqua" w:cs="Arial"/>
        </w:rPr>
        <w:t xml:space="preserve"> trust and reliability.</w:t>
      </w:r>
    </w:p>
    <w:p w:rsidR="00160299" w:rsidRDefault="00160299" w:rsidP="00DB171D">
      <w:pPr>
        <w:keepNext/>
        <w:spacing w:before="240"/>
        <w:jc w:val="both"/>
        <w:rPr>
          <w:rFonts w:ascii="Book Antiqua" w:hAnsi="Book Antiqua" w:cs="Arial"/>
          <w:b/>
          <w:u w:val="single"/>
        </w:rPr>
      </w:pPr>
    </w:p>
    <w:p w:rsidR="009F518E" w:rsidRPr="009F518E" w:rsidRDefault="009F518E" w:rsidP="00DB171D">
      <w:pPr>
        <w:keepNext/>
        <w:spacing w:before="240"/>
        <w:jc w:val="both"/>
        <w:rPr>
          <w:rFonts w:ascii="Book Antiqua" w:hAnsi="Book Antiqua" w:cs="Arial"/>
          <w:b/>
          <w:u w:val="single"/>
        </w:rPr>
      </w:pPr>
      <w:bookmarkStart w:id="0" w:name="_GoBack"/>
      <w:bookmarkEnd w:id="0"/>
      <w:r w:rsidRPr="009F518E">
        <w:rPr>
          <w:rFonts w:ascii="Book Antiqua" w:hAnsi="Book Antiqua" w:cs="Arial"/>
          <w:b/>
          <w:u w:val="single"/>
        </w:rPr>
        <w:t>Notice of Decision</w:t>
      </w:r>
    </w:p>
    <w:p w:rsidR="009F518E" w:rsidRPr="009F518E" w:rsidRDefault="009F518E" w:rsidP="009F518E">
      <w:pPr>
        <w:jc w:val="both"/>
        <w:rPr>
          <w:rFonts w:ascii="Book Antiqua" w:hAnsi="Book Antiqua" w:cs="Arial"/>
        </w:rPr>
      </w:pPr>
    </w:p>
    <w:p w:rsidR="009F518E" w:rsidRPr="009F518E" w:rsidRDefault="003327BC" w:rsidP="009F518E">
      <w:pPr>
        <w:jc w:val="both"/>
        <w:rPr>
          <w:rFonts w:ascii="Book Antiqua" w:hAnsi="Book Antiqua" w:cs="Arial"/>
        </w:rPr>
      </w:pPr>
      <w:r>
        <w:rPr>
          <w:rFonts w:ascii="Book Antiqua" w:hAnsi="Book Antiqua" w:cs="Arial"/>
        </w:rPr>
        <w:t>For all these reasons, the decision of the First-tier Tribunal involved the making of an error of law such that it falls to be set aside.  I set aside the decision of the original judge.  I remake the decision as follows.  This</w:t>
      </w:r>
      <w:r w:rsidR="009F518E" w:rsidRPr="009F518E">
        <w:rPr>
          <w:rFonts w:ascii="Book Antiqua" w:hAnsi="Book Antiqua" w:cs="Arial"/>
        </w:rPr>
        <w:t xml:space="preserve"> appeal is </w:t>
      </w:r>
      <w:r>
        <w:rPr>
          <w:rFonts w:ascii="Book Antiqua" w:hAnsi="Book Antiqua" w:cs="Arial"/>
        </w:rPr>
        <w:t>remitted back to the First-tier Tribunal, to be determined by a judge other than Judge Morris, pursuant to Practice Statement 7.2(b).</w:t>
      </w:r>
    </w:p>
    <w:p w:rsidR="009F518E" w:rsidRPr="009F518E" w:rsidRDefault="009F518E" w:rsidP="009F518E">
      <w:pPr>
        <w:jc w:val="both"/>
        <w:rPr>
          <w:rFonts w:ascii="Book Antiqua" w:hAnsi="Book Antiqua" w:cs="Arial"/>
        </w:rPr>
      </w:pPr>
    </w:p>
    <w:p w:rsidR="009F518E" w:rsidRPr="009F518E" w:rsidRDefault="009F518E" w:rsidP="009F518E">
      <w:pPr>
        <w:jc w:val="both"/>
        <w:rPr>
          <w:rFonts w:ascii="Book Antiqua" w:hAnsi="Book Antiqua" w:cs="Arial"/>
        </w:rPr>
      </w:pPr>
      <w:r w:rsidRPr="009F518E">
        <w:rPr>
          <w:rFonts w:ascii="Book Antiqua" w:hAnsi="Book Antiqua" w:cs="Arial"/>
        </w:rPr>
        <w:t xml:space="preserve">No anonymity </w:t>
      </w:r>
      <w:r w:rsidR="00016A4C">
        <w:rPr>
          <w:rFonts w:ascii="Book Antiqua" w:hAnsi="Book Antiqua" w:cs="Arial"/>
        </w:rPr>
        <w:t>direction</w:t>
      </w:r>
      <w:r w:rsidRPr="009F518E">
        <w:rPr>
          <w:rFonts w:ascii="Book Antiqua" w:hAnsi="Book Antiqua" w:cs="Arial"/>
        </w:rPr>
        <w:t xml:space="preserve"> is made.</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7D43F8">
        <w:rPr>
          <w:rFonts w:ascii="Book Antiqua" w:hAnsi="Book Antiqua" w:cs="Arial"/>
        </w:rPr>
        <w:t>Juss</w:t>
      </w:r>
      <w:r w:rsidR="0076738D">
        <w:rPr>
          <w:rFonts w:ascii="Book Antiqua" w:hAnsi="Book Antiqua" w:cs="Arial"/>
        </w:rPr>
        <w:tab/>
      </w:r>
      <w:r w:rsidR="0076738D">
        <w:rPr>
          <w:rFonts w:ascii="Book Antiqua" w:hAnsi="Book Antiqua" w:cs="Arial"/>
        </w:rPr>
        <w:tab/>
      </w:r>
      <w:r w:rsidR="0076738D">
        <w:rPr>
          <w:rFonts w:ascii="Book Antiqua" w:hAnsi="Book Antiqua" w:cs="Arial"/>
        </w:rPr>
        <w:tab/>
      </w:r>
      <w:r w:rsidR="0076738D">
        <w:rPr>
          <w:rFonts w:ascii="Book Antiqua" w:hAnsi="Book Antiqua" w:cs="Arial"/>
        </w:rPr>
        <w:tab/>
        <w:t>10</w:t>
      </w:r>
      <w:r w:rsidR="0076738D" w:rsidRPr="0076738D">
        <w:rPr>
          <w:rFonts w:ascii="Book Antiqua" w:hAnsi="Book Antiqua" w:cs="Arial"/>
          <w:vertAlign w:val="superscript"/>
        </w:rPr>
        <w:t>th</w:t>
      </w:r>
      <w:r w:rsidR="0076738D">
        <w:rPr>
          <w:rFonts w:ascii="Book Antiqua" w:hAnsi="Book Antiqua" w:cs="Arial"/>
        </w:rPr>
        <w:t xml:space="preserve"> September 2018 </w:t>
      </w:r>
    </w:p>
    <w:p w:rsidR="00F50F22" w:rsidRDefault="00F50F22" w:rsidP="000369F5">
      <w:pPr>
        <w:tabs>
          <w:tab w:val="left" w:pos="2520"/>
        </w:tabs>
        <w:jc w:val="both"/>
        <w:rPr>
          <w:rFonts w:ascii="Book Antiqua" w:hAnsi="Book Antiqua" w:cs="Arial"/>
        </w:rPr>
      </w:pPr>
    </w:p>
    <w:p w:rsidR="00F50F22" w:rsidRDefault="00F50F22" w:rsidP="000369F5">
      <w:pPr>
        <w:tabs>
          <w:tab w:val="left" w:pos="2520"/>
        </w:tabs>
        <w:jc w:val="both"/>
        <w:rPr>
          <w:rFonts w:ascii="Book Antiqua" w:hAnsi="Book Antiqua" w:cs="Arial"/>
        </w:rPr>
      </w:pPr>
    </w:p>
    <w:p w:rsidR="005B7789" w:rsidRPr="00F5664C" w:rsidRDefault="005B7789" w:rsidP="00F50F22">
      <w:pPr>
        <w:tabs>
          <w:tab w:val="left" w:pos="2520"/>
        </w:tabs>
        <w:jc w:val="both"/>
        <w:rPr>
          <w:rFonts w:ascii="Book Antiqua" w:hAnsi="Book Antiqua" w:cs="Arial"/>
        </w:rPr>
      </w:pPr>
    </w:p>
    <w:sectPr w:rsidR="005B7789" w:rsidRPr="00F5664C" w:rsidSect="004A208F">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E6A" w:rsidRDefault="00AE6E6A">
      <w:r>
        <w:separator/>
      </w:r>
    </w:p>
  </w:endnote>
  <w:endnote w:type="continuationSeparator" w:id="0">
    <w:p w:rsidR="00AE6E6A" w:rsidRDefault="00AE6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3169B6" w:rsidRDefault="00CF253F" w:rsidP="00593795">
    <w:pPr>
      <w:pStyle w:val="Footer"/>
      <w:jc w:val="center"/>
      <w:rPr>
        <w:rFonts w:ascii="Book Antiqua" w:hAnsi="Book Antiqua" w:cs="Arial"/>
      </w:rPr>
    </w:pPr>
    <w:r w:rsidRPr="003169B6">
      <w:rPr>
        <w:rStyle w:val="PageNumber"/>
        <w:rFonts w:ascii="Book Antiqua" w:hAnsi="Book Antiqua" w:cs="Arial"/>
      </w:rPr>
      <w:fldChar w:fldCharType="begin"/>
    </w:r>
    <w:r w:rsidRPr="003169B6">
      <w:rPr>
        <w:rStyle w:val="PageNumber"/>
        <w:rFonts w:ascii="Book Antiqua" w:hAnsi="Book Antiqua" w:cs="Arial"/>
      </w:rPr>
      <w:instrText xml:space="preserve"> PAGE </w:instrText>
    </w:r>
    <w:r w:rsidRPr="003169B6">
      <w:rPr>
        <w:rStyle w:val="PageNumber"/>
        <w:rFonts w:ascii="Book Antiqua" w:hAnsi="Book Antiqua" w:cs="Arial"/>
      </w:rPr>
      <w:fldChar w:fldCharType="separate"/>
    </w:r>
    <w:r w:rsidR="00320DA3">
      <w:rPr>
        <w:rStyle w:val="PageNumber"/>
        <w:rFonts w:ascii="Book Antiqua" w:hAnsi="Book Antiqua" w:cs="Arial"/>
        <w:noProof/>
      </w:rPr>
      <w:t>7</w:t>
    </w:r>
    <w:r w:rsidRPr="003169B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E6A" w:rsidRDefault="00AE6E6A">
      <w:r>
        <w:separator/>
      </w:r>
    </w:p>
  </w:footnote>
  <w:footnote w:type="continuationSeparator" w:id="0">
    <w:p w:rsidR="00AE6E6A" w:rsidRDefault="00AE6E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EB1627">
      <w:rPr>
        <w:rFonts w:ascii="Book Antiqua" w:hAnsi="Book Antiqua" w:cs="Arial"/>
        <w:sz w:val="16"/>
        <w:szCs w:val="16"/>
      </w:rPr>
      <w:t>HU/20711/2016</w:t>
    </w:r>
  </w:p>
  <w:p w:rsidR="003169B6" w:rsidRPr="00F5664C" w:rsidRDefault="003169B6"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CE5"/>
    <w:rsid w:val="00000621"/>
    <w:rsid w:val="000036C2"/>
    <w:rsid w:val="00012F63"/>
    <w:rsid w:val="00016A4C"/>
    <w:rsid w:val="00033D3D"/>
    <w:rsid w:val="000369F5"/>
    <w:rsid w:val="00071A7E"/>
    <w:rsid w:val="000746C0"/>
    <w:rsid w:val="00074D1D"/>
    <w:rsid w:val="00077227"/>
    <w:rsid w:val="00092580"/>
    <w:rsid w:val="000A5ADA"/>
    <w:rsid w:val="000D01C9"/>
    <w:rsid w:val="000D5D94"/>
    <w:rsid w:val="000E0CD7"/>
    <w:rsid w:val="000E1D90"/>
    <w:rsid w:val="00114F8B"/>
    <w:rsid w:val="001165A7"/>
    <w:rsid w:val="00130D7C"/>
    <w:rsid w:val="00151BB7"/>
    <w:rsid w:val="00160299"/>
    <w:rsid w:val="00167D3A"/>
    <w:rsid w:val="00172A08"/>
    <w:rsid w:val="001A1E2C"/>
    <w:rsid w:val="001E6D6D"/>
    <w:rsid w:val="001F2716"/>
    <w:rsid w:val="0020133A"/>
    <w:rsid w:val="00207617"/>
    <w:rsid w:val="00246E34"/>
    <w:rsid w:val="00255071"/>
    <w:rsid w:val="002615D7"/>
    <w:rsid w:val="00281D37"/>
    <w:rsid w:val="00283659"/>
    <w:rsid w:val="002B285E"/>
    <w:rsid w:val="002C4E73"/>
    <w:rsid w:val="002D5A7F"/>
    <w:rsid w:val="002D68BF"/>
    <w:rsid w:val="002E75DE"/>
    <w:rsid w:val="0030070F"/>
    <w:rsid w:val="003169B6"/>
    <w:rsid w:val="00320DA3"/>
    <w:rsid w:val="003327BC"/>
    <w:rsid w:val="0033458D"/>
    <w:rsid w:val="00336CBF"/>
    <w:rsid w:val="003546C8"/>
    <w:rsid w:val="00354C48"/>
    <w:rsid w:val="00383192"/>
    <w:rsid w:val="003A7CF2"/>
    <w:rsid w:val="003C5CE5"/>
    <w:rsid w:val="003E267B"/>
    <w:rsid w:val="003E4121"/>
    <w:rsid w:val="003E7CD1"/>
    <w:rsid w:val="00402B9E"/>
    <w:rsid w:val="004061C2"/>
    <w:rsid w:val="0041360E"/>
    <w:rsid w:val="00423932"/>
    <w:rsid w:val="004249CB"/>
    <w:rsid w:val="0044127D"/>
    <w:rsid w:val="004448DB"/>
    <w:rsid w:val="00446C9A"/>
    <w:rsid w:val="00465EE6"/>
    <w:rsid w:val="00477193"/>
    <w:rsid w:val="0049402F"/>
    <w:rsid w:val="004A1848"/>
    <w:rsid w:val="004A208F"/>
    <w:rsid w:val="004D09C8"/>
    <w:rsid w:val="004F573A"/>
    <w:rsid w:val="00500CE5"/>
    <w:rsid w:val="00507FEC"/>
    <w:rsid w:val="00510F0E"/>
    <w:rsid w:val="00515B72"/>
    <w:rsid w:val="0052795E"/>
    <w:rsid w:val="00530B04"/>
    <w:rsid w:val="00532E7D"/>
    <w:rsid w:val="00542DB1"/>
    <w:rsid w:val="005479E1"/>
    <w:rsid w:val="005570FD"/>
    <w:rsid w:val="005575EA"/>
    <w:rsid w:val="0057790C"/>
    <w:rsid w:val="005818BC"/>
    <w:rsid w:val="00593795"/>
    <w:rsid w:val="005A75FF"/>
    <w:rsid w:val="005B7789"/>
    <w:rsid w:val="00611FD5"/>
    <w:rsid w:val="0065791C"/>
    <w:rsid w:val="006803E1"/>
    <w:rsid w:val="0069077A"/>
    <w:rsid w:val="00690B8A"/>
    <w:rsid w:val="006D1DFA"/>
    <w:rsid w:val="006D506B"/>
    <w:rsid w:val="006E3C90"/>
    <w:rsid w:val="00704B61"/>
    <w:rsid w:val="00707DB1"/>
    <w:rsid w:val="007353BB"/>
    <w:rsid w:val="00742A8D"/>
    <w:rsid w:val="007552A9"/>
    <w:rsid w:val="00761858"/>
    <w:rsid w:val="0076738D"/>
    <w:rsid w:val="00767D59"/>
    <w:rsid w:val="00776E97"/>
    <w:rsid w:val="00780FD7"/>
    <w:rsid w:val="0078703A"/>
    <w:rsid w:val="007912AD"/>
    <w:rsid w:val="007A1F28"/>
    <w:rsid w:val="007B0101"/>
    <w:rsid w:val="007B0824"/>
    <w:rsid w:val="007D43F8"/>
    <w:rsid w:val="008303B8"/>
    <w:rsid w:val="00833DCE"/>
    <w:rsid w:val="00842418"/>
    <w:rsid w:val="008533CF"/>
    <w:rsid w:val="008634DB"/>
    <w:rsid w:val="00871D34"/>
    <w:rsid w:val="008A39A0"/>
    <w:rsid w:val="008B270C"/>
    <w:rsid w:val="008C3D3D"/>
    <w:rsid w:val="008D4131"/>
    <w:rsid w:val="008E4262"/>
    <w:rsid w:val="008E4A8E"/>
    <w:rsid w:val="008F1932"/>
    <w:rsid w:val="008F294D"/>
    <w:rsid w:val="0091677D"/>
    <w:rsid w:val="00921062"/>
    <w:rsid w:val="0092618D"/>
    <w:rsid w:val="0093083E"/>
    <w:rsid w:val="0093333B"/>
    <w:rsid w:val="00966ECF"/>
    <w:rsid w:val="009727A3"/>
    <w:rsid w:val="00987774"/>
    <w:rsid w:val="009A11E8"/>
    <w:rsid w:val="009C614B"/>
    <w:rsid w:val="009E4E62"/>
    <w:rsid w:val="009F518E"/>
    <w:rsid w:val="009F5220"/>
    <w:rsid w:val="009F7C4D"/>
    <w:rsid w:val="00A15234"/>
    <w:rsid w:val="00A201AB"/>
    <w:rsid w:val="00A31C8B"/>
    <w:rsid w:val="00A61D51"/>
    <w:rsid w:val="00A75965"/>
    <w:rsid w:val="00A845DC"/>
    <w:rsid w:val="00A85258"/>
    <w:rsid w:val="00A93305"/>
    <w:rsid w:val="00A97AEE"/>
    <w:rsid w:val="00AC5CF6"/>
    <w:rsid w:val="00AE530A"/>
    <w:rsid w:val="00AE6E6A"/>
    <w:rsid w:val="00B144FA"/>
    <w:rsid w:val="00B16F58"/>
    <w:rsid w:val="00B30648"/>
    <w:rsid w:val="00B3524D"/>
    <w:rsid w:val="00B35AF6"/>
    <w:rsid w:val="00B40F69"/>
    <w:rsid w:val="00B41BED"/>
    <w:rsid w:val="00B46616"/>
    <w:rsid w:val="00B52A42"/>
    <w:rsid w:val="00B610E3"/>
    <w:rsid w:val="00B61205"/>
    <w:rsid w:val="00B617C4"/>
    <w:rsid w:val="00B626FA"/>
    <w:rsid w:val="00B7040A"/>
    <w:rsid w:val="00B96FA0"/>
    <w:rsid w:val="00BC42D3"/>
    <w:rsid w:val="00BD4196"/>
    <w:rsid w:val="00BE59DF"/>
    <w:rsid w:val="00BF22CA"/>
    <w:rsid w:val="00C26032"/>
    <w:rsid w:val="00C265B0"/>
    <w:rsid w:val="00C321B5"/>
    <w:rsid w:val="00C345E1"/>
    <w:rsid w:val="00C36A07"/>
    <w:rsid w:val="00C50F60"/>
    <w:rsid w:val="00C977BA"/>
    <w:rsid w:val="00CB6E35"/>
    <w:rsid w:val="00CE1A46"/>
    <w:rsid w:val="00CE26B2"/>
    <w:rsid w:val="00CE6AFA"/>
    <w:rsid w:val="00CF01A8"/>
    <w:rsid w:val="00CF253F"/>
    <w:rsid w:val="00CF56B4"/>
    <w:rsid w:val="00D20F09"/>
    <w:rsid w:val="00D22636"/>
    <w:rsid w:val="00D22FA8"/>
    <w:rsid w:val="00D24A9C"/>
    <w:rsid w:val="00D40FD9"/>
    <w:rsid w:val="00D53769"/>
    <w:rsid w:val="00D562ED"/>
    <w:rsid w:val="00D63446"/>
    <w:rsid w:val="00D647F9"/>
    <w:rsid w:val="00D65912"/>
    <w:rsid w:val="00D85C13"/>
    <w:rsid w:val="00D91BE3"/>
    <w:rsid w:val="00D94AFC"/>
    <w:rsid w:val="00DA15C6"/>
    <w:rsid w:val="00DB171D"/>
    <w:rsid w:val="00DB70AE"/>
    <w:rsid w:val="00DB7231"/>
    <w:rsid w:val="00DD0E27"/>
    <w:rsid w:val="00DD5071"/>
    <w:rsid w:val="00DD5C39"/>
    <w:rsid w:val="00DE26AF"/>
    <w:rsid w:val="00DE7DB7"/>
    <w:rsid w:val="00E00A0A"/>
    <w:rsid w:val="00E07F57"/>
    <w:rsid w:val="00E1040E"/>
    <w:rsid w:val="00E50BCE"/>
    <w:rsid w:val="00E61292"/>
    <w:rsid w:val="00E76309"/>
    <w:rsid w:val="00E77C4D"/>
    <w:rsid w:val="00E81D01"/>
    <w:rsid w:val="00EA161D"/>
    <w:rsid w:val="00EB1627"/>
    <w:rsid w:val="00EB1E09"/>
    <w:rsid w:val="00EE45D8"/>
    <w:rsid w:val="00EF72F7"/>
    <w:rsid w:val="00F004CD"/>
    <w:rsid w:val="00F22A22"/>
    <w:rsid w:val="00F22EDA"/>
    <w:rsid w:val="00F3224D"/>
    <w:rsid w:val="00F33E0E"/>
    <w:rsid w:val="00F50F22"/>
    <w:rsid w:val="00F53574"/>
    <w:rsid w:val="00F541B5"/>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3E5778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76738D"/>
    <w:pPr>
      <w:ind w:left="720"/>
      <w:contextualSpacing/>
    </w:pPr>
  </w:style>
  <w:style w:type="paragraph" w:styleId="ListParagraph">
    <w:name w:val="List Paragraph"/>
    <w:basedOn w:val="Normal"/>
    <w:uiPriority w:val="72"/>
    <w:qFormat/>
    <w:rsid w:val="004D0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2995</Words>
  <Characters>14830</Characters>
  <Application>Microsoft Office Word</Application>
  <DocSecurity>0</DocSecurity>
  <Lines>123</Lines>
  <Paragraphs>35</Paragraphs>
  <ScaleCrop>false</ScaleCrop>
  <Company/>
  <LinksUpToDate>false</LinksUpToDate>
  <CharactersWithSpaces>17790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2018-10-05T13:44:00Z</dcterms:created>
  <dcterms:modified xsi:type="dcterms:W3CDTF">2018-10-05T13:44:00Z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