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96ACE" w14:textId="56D6FBDE" w:rsidR="00CC1D70" w:rsidRPr="00F26850" w:rsidRDefault="00CC1D70" w:rsidP="00CC1D70">
      <w:pPr>
        <w:jc w:val="center"/>
        <w:rPr>
          <w:rFonts w:ascii="Book Antiqua" w:hAnsi="Book Antiqua" w:cs="Arial"/>
          <w:color w:val="000000"/>
          <w:sz w:val="24"/>
          <w:szCs w:val="24"/>
        </w:rPr>
      </w:pPr>
      <w:r w:rsidRPr="00F26850">
        <w:rPr>
          <w:noProof/>
          <w:sz w:val="24"/>
          <w:szCs w:val="24"/>
        </w:rPr>
        <w:drawing>
          <wp:inline distT="0" distB="0" distL="0" distR="0" wp14:anchorId="06DB1821" wp14:editId="3BEEE514">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269E6AD9" w14:textId="77777777" w:rsidR="00CC1D70" w:rsidRPr="00F26850" w:rsidRDefault="00CC1D70" w:rsidP="00CC1D70">
      <w:pPr>
        <w:tabs>
          <w:tab w:val="right" w:pos="9720"/>
        </w:tabs>
        <w:ind w:right="-82"/>
        <w:rPr>
          <w:rFonts w:ascii="Book Antiqua" w:hAnsi="Book Antiqua" w:cs="Arial"/>
          <w:b/>
          <w:color w:val="000000"/>
          <w:sz w:val="24"/>
          <w:szCs w:val="24"/>
        </w:rPr>
      </w:pPr>
      <w:r w:rsidRPr="00F26850">
        <w:rPr>
          <w:rFonts w:ascii="Book Antiqua" w:hAnsi="Book Antiqua" w:cs="Arial"/>
          <w:b/>
          <w:color w:val="000000"/>
          <w:sz w:val="24"/>
          <w:szCs w:val="24"/>
        </w:rPr>
        <w:t>Upper Tribunal</w:t>
      </w:r>
    </w:p>
    <w:p w14:paraId="0E176586" w14:textId="148D72C9" w:rsidR="00CC1D70" w:rsidRPr="00F26850" w:rsidRDefault="00CC1D70" w:rsidP="00033D7D">
      <w:pPr>
        <w:tabs>
          <w:tab w:val="right" w:pos="9720"/>
        </w:tabs>
        <w:ind w:right="-82"/>
        <w:rPr>
          <w:rFonts w:ascii="Book Antiqua" w:hAnsi="Book Antiqua" w:cs="Arial"/>
          <w:color w:val="000000"/>
          <w:sz w:val="24"/>
          <w:szCs w:val="24"/>
        </w:rPr>
      </w:pPr>
      <w:r w:rsidRPr="00F26850">
        <w:rPr>
          <w:rFonts w:ascii="Book Antiqua" w:hAnsi="Book Antiqua" w:cs="Arial"/>
          <w:b/>
          <w:color w:val="000000"/>
          <w:sz w:val="24"/>
          <w:szCs w:val="24"/>
        </w:rPr>
        <w:t>(Immigration and Asylum Chamber)</w:t>
      </w:r>
      <w:r w:rsidRPr="00F26850">
        <w:rPr>
          <w:rFonts w:ascii="Book Antiqua" w:hAnsi="Book Antiqua" w:cs="Arial"/>
          <w:b/>
          <w:color w:val="000000"/>
          <w:sz w:val="24"/>
          <w:szCs w:val="24"/>
        </w:rPr>
        <w:tab/>
      </w:r>
      <w:r w:rsidRPr="00F26850">
        <w:rPr>
          <w:rFonts w:ascii="Book Antiqua" w:hAnsi="Book Antiqua" w:cs="Arial"/>
          <w:color w:val="000000"/>
          <w:sz w:val="24"/>
          <w:szCs w:val="24"/>
        </w:rPr>
        <w:t xml:space="preserve">Appeal Number: </w:t>
      </w:r>
      <w:bookmarkStart w:id="0" w:name="_GoBack"/>
      <w:r w:rsidR="00BB7A52" w:rsidRPr="00F26850">
        <w:rPr>
          <w:rFonts w:ascii="Book Antiqua" w:hAnsi="Book Antiqua" w:cs="Arial"/>
          <w:color w:val="000000"/>
          <w:sz w:val="24"/>
          <w:szCs w:val="24"/>
        </w:rPr>
        <w:t>HU/20738/2016</w:t>
      </w:r>
      <w:bookmarkEnd w:id="0"/>
    </w:p>
    <w:p w14:paraId="66B23A78" w14:textId="77777777" w:rsidR="00477BAA" w:rsidRDefault="00477BAA" w:rsidP="00033D7D">
      <w:pPr>
        <w:jc w:val="center"/>
        <w:rPr>
          <w:rFonts w:ascii="Book Antiqua" w:hAnsi="Book Antiqua" w:cs="Arial"/>
          <w:b/>
          <w:color w:val="000000"/>
          <w:sz w:val="24"/>
          <w:szCs w:val="24"/>
          <w:u w:val="single"/>
        </w:rPr>
      </w:pPr>
    </w:p>
    <w:p w14:paraId="2EF1BC47" w14:textId="27CED249" w:rsidR="00CC1D70" w:rsidRDefault="00CC1D70" w:rsidP="00033D7D">
      <w:pPr>
        <w:jc w:val="center"/>
        <w:rPr>
          <w:rFonts w:ascii="Book Antiqua" w:hAnsi="Book Antiqua" w:cs="Arial"/>
          <w:b/>
          <w:color w:val="000000"/>
          <w:sz w:val="24"/>
          <w:szCs w:val="24"/>
          <w:u w:val="single"/>
        </w:rPr>
      </w:pPr>
      <w:r w:rsidRPr="00F26850">
        <w:rPr>
          <w:rFonts w:ascii="Book Antiqua" w:hAnsi="Book Antiqua" w:cs="Arial"/>
          <w:b/>
          <w:color w:val="000000"/>
          <w:sz w:val="24"/>
          <w:szCs w:val="24"/>
          <w:u w:val="single"/>
        </w:rPr>
        <w:t>THE IMMIGRATION ACTS</w:t>
      </w:r>
    </w:p>
    <w:p w14:paraId="4465F078" w14:textId="77777777" w:rsidR="00477BAA" w:rsidRPr="00F26850" w:rsidRDefault="00477BAA" w:rsidP="00033D7D">
      <w:pPr>
        <w:jc w:val="center"/>
        <w:rPr>
          <w:rFonts w:ascii="Book Antiqua" w:hAnsi="Book Antiqua" w:cs="Arial"/>
          <w:b/>
          <w:color w:val="000000"/>
          <w:sz w:val="24"/>
          <w:szCs w:val="24"/>
          <w:u w:val="single"/>
        </w:rPr>
      </w:pPr>
    </w:p>
    <w:tbl>
      <w:tblPr>
        <w:tblW w:w="0" w:type="auto"/>
        <w:tblLook w:val="01E0" w:firstRow="1" w:lastRow="1" w:firstColumn="1" w:lastColumn="1" w:noHBand="0" w:noVBand="0"/>
      </w:tblPr>
      <w:tblGrid>
        <w:gridCol w:w="4207"/>
        <w:gridCol w:w="4105"/>
      </w:tblGrid>
      <w:tr w:rsidR="00CC1D70" w:rsidRPr="00F26850" w14:paraId="02AAC507" w14:textId="77777777" w:rsidTr="00477BAA">
        <w:tc>
          <w:tcPr>
            <w:tcW w:w="4207" w:type="dxa"/>
            <w:shd w:val="clear" w:color="auto" w:fill="auto"/>
          </w:tcPr>
          <w:p w14:paraId="785C35DD" w14:textId="77777777" w:rsidR="00CC1D70" w:rsidRDefault="00CC1D70" w:rsidP="00CA2A74">
            <w:pPr>
              <w:jc w:val="both"/>
              <w:rPr>
                <w:rFonts w:ascii="Book Antiqua" w:eastAsia="Times New Roman" w:hAnsi="Book Antiqua" w:cs="Arial"/>
                <w:b/>
                <w:sz w:val="24"/>
                <w:szCs w:val="24"/>
              </w:rPr>
            </w:pPr>
            <w:r w:rsidRPr="00F26850">
              <w:rPr>
                <w:rFonts w:ascii="Book Antiqua" w:eastAsia="Times New Roman" w:hAnsi="Book Antiqua" w:cs="Arial"/>
                <w:b/>
                <w:sz w:val="24"/>
                <w:szCs w:val="24"/>
              </w:rPr>
              <w:t>Heard at Field House</w:t>
            </w:r>
          </w:p>
          <w:p w14:paraId="0AD0CC68" w14:textId="5B843AD9" w:rsidR="00A47803" w:rsidRPr="00F26850" w:rsidRDefault="00A47803" w:rsidP="00CA2A74">
            <w:pPr>
              <w:jc w:val="both"/>
              <w:rPr>
                <w:rFonts w:ascii="Book Antiqua" w:eastAsia="Times New Roman" w:hAnsi="Book Antiqua" w:cs="Arial"/>
                <w:b/>
                <w:sz w:val="24"/>
                <w:szCs w:val="24"/>
              </w:rPr>
            </w:pPr>
            <w:r>
              <w:rPr>
                <w:rFonts w:ascii="Book Antiqua" w:eastAsia="Times New Roman" w:hAnsi="Book Antiqua" w:cs="Arial"/>
                <w:b/>
                <w:sz w:val="24"/>
                <w:szCs w:val="24"/>
              </w:rPr>
              <w:t>On 24</w:t>
            </w:r>
            <w:r w:rsidRPr="00A47803">
              <w:rPr>
                <w:rFonts w:ascii="Book Antiqua" w:eastAsia="Times New Roman" w:hAnsi="Book Antiqua" w:cs="Arial"/>
                <w:b/>
                <w:sz w:val="24"/>
                <w:szCs w:val="24"/>
                <w:vertAlign w:val="superscript"/>
              </w:rPr>
              <w:t>th</w:t>
            </w:r>
            <w:r>
              <w:rPr>
                <w:rFonts w:ascii="Book Antiqua" w:eastAsia="Times New Roman" w:hAnsi="Book Antiqua" w:cs="Arial"/>
                <w:b/>
                <w:sz w:val="24"/>
                <w:szCs w:val="24"/>
              </w:rPr>
              <w:t xml:space="preserve"> July 2018</w:t>
            </w:r>
          </w:p>
        </w:tc>
        <w:tc>
          <w:tcPr>
            <w:tcW w:w="4105" w:type="dxa"/>
            <w:shd w:val="clear" w:color="auto" w:fill="auto"/>
          </w:tcPr>
          <w:p w14:paraId="66735ED6" w14:textId="77777777" w:rsidR="00CC1D70" w:rsidRDefault="00CC1D70" w:rsidP="00CA2A74">
            <w:pPr>
              <w:jc w:val="both"/>
              <w:rPr>
                <w:rFonts w:ascii="Book Antiqua" w:eastAsia="Times New Roman" w:hAnsi="Book Antiqua" w:cs="Arial"/>
                <w:b/>
                <w:color w:val="000000"/>
                <w:sz w:val="24"/>
                <w:szCs w:val="24"/>
              </w:rPr>
            </w:pPr>
            <w:r w:rsidRPr="00F26850">
              <w:rPr>
                <w:rFonts w:ascii="Book Antiqua" w:eastAsia="Times New Roman" w:hAnsi="Book Antiqua" w:cs="Arial"/>
                <w:b/>
                <w:color w:val="000000"/>
                <w:sz w:val="24"/>
                <w:szCs w:val="24"/>
              </w:rPr>
              <w:t xml:space="preserve">Decision and </w:t>
            </w:r>
            <w:r w:rsidR="005B5567" w:rsidRPr="00F26850">
              <w:rPr>
                <w:rFonts w:ascii="Book Antiqua" w:eastAsia="Times New Roman" w:hAnsi="Book Antiqua" w:cs="Arial"/>
                <w:b/>
                <w:color w:val="000000"/>
                <w:sz w:val="24"/>
                <w:szCs w:val="24"/>
              </w:rPr>
              <w:t>Reasons Promulgated</w:t>
            </w:r>
          </w:p>
          <w:p w14:paraId="073E78BE" w14:textId="3DAC786F" w:rsidR="00A47803" w:rsidRPr="00F26850" w:rsidRDefault="00A47803" w:rsidP="00CA2A74">
            <w:pPr>
              <w:jc w:val="both"/>
              <w:rPr>
                <w:rFonts w:ascii="Book Antiqua" w:eastAsia="Times New Roman" w:hAnsi="Book Antiqua" w:cs="Arial"/>
                <w:b/>
                <w:color w:val="000000"/>
                <w:sz w:val="24"/>
                <w:szCs w:val="24"/>
              </w:rPr>
            </w:pPr>
            <w:r>
              <w:rPr>
                <w:rFonts w:ascii="Book Antiqua" w:eastAsia="Times New Roman" w:hAnsi="Book Antiqua" w:cs="Arial"/>
                <w:b/>
                <w:color w:val="000000"/>
                <w:sz w:val="24"/>
                <w:szCs w:val="24"/>
              </w:rPr>
              <w:t>On 6</w:t>
            </w:r>
            <w:r w:rsidRPr="00A47803">
              <w:rPr>
                <w:rFonts w:ascii="Book Antiqua" w:eastAsia="Times New Roman" w:hAnsi="Book Antiqua" w:cs="Arial"/>
                <w:b/>
                <w:color w:val="000000"/>
                <w:sz w:val="24"/>
                <w:szCs w:val="24"/>
                <w:vertAlign w:val="superscript"/>
              </w:rPr>
              <w:t>th</w:t>
            </w:r>
            <w:r>
              <w:rPr>
                <w:rFonts w:ascii="Book Antiqua" w:eastAsia="Times New Roman" w:hAnsi="Book Antiqua" w:cs="Arial"/>
                <w:b/>
                <w:color w:val="000000"/>
                <w:sz w:val="24"/>
                <w:szCs w:val="24"/>
              </w:rPr>
              <w:t xml:space="preserve"> September 2018</w:t>
            </w:r>
          </w:p>
        </w:tc>
      </w:tr>
    </w:tbl>
    <w:p w14:paraId="474F20B1" w14:textId="77777777" w:rsidR="00CC1D70" w:rsidRPr="00F26850" w:rsidRDefault="00CC1D70" w:rsidP="00033D7D">
      <w:pPr>
        <w:rPr>
          <w:rFonts w:ascii="Book Antiqua" w:hAnsi="Book Antiqua" w:cs="Arial"/>
          <w:sz w:val="24"/>
          <w:szCs w:val="24"/>
        </w:rPr>
      </w:pPr>
    </w:p>
    <w:p w14:paraId="41A60E14" w14:textId="77777777" w:rsidR="00CC1D70" w:rsidRPr="00F26850" w:rsidRDefault="00CC1D70" w:rsidP="00CC1D70">
      <w:pPr>
        <w:jc w:val="center"/>
        <w:rPr>
          <w:rFonts w:ascii="Book Antiqua" w:hAnsi="Book Antiqua" w:cs="Arial"/>
          <w:b/>
          <w:sz w:val="24"/>
          <w:szCs w:val="24"/>
        </w:rPr>
      </w:pPr>
      <w:r w:rsidRPr="00F26850">
        <w:rPr>
          <w:rFonts w:ascii="Book Antiqua" w:hAnsi="Book Antiqua" w:cs="Arial"/>
          <w:b/>
          <w:sz w:val="24"/>
          <w:szCs w:val="24"/>
        </w:rPr>
        <w:t>Before</w:t>
      </w:r>
    </w:p>
    <w:p w14:paraId="01A5A206" w14:textId="51861C24" w:rsidR="00CC1D70" w:rsidRPr="00F26850" w:rsidRDefault="00CC1D70" w:rsidP="00033D7D">
      <w:pPr>
        <w:jc w:val="center"/>
        <w:rPr>
          <w:rFonts w:ascii="Book Antiqua" w:hAnsi="Book Antiqua" w:cs="Arial"/>
          <w:b/>
          <w:sz w:val="24"/>
          <w:szCs w:val="24"/>
        </w:rPr>
      </w:pPr>
      <w:r w:rsidRPr="00F26850">
        <w:rPr>
          <w:rFonts w:ascii="Book Antiqua" w:hAnsi="Book Antiqua" w:cs="Arial"/>
          <w:b/>
          <w:sz w:val="24"/>
          <w:szCs w:val="24"/>
        </w:rPr>
        <w:t xml:space="preserve"> UPPER TRIBUNAL JUDGE RIMINGTON</w:t>
      </w:r>
    </w:p>
    <w:p w14:paraId="6745F037" w14:textId="77777777" w:rsidR="00477BAA" w:rsidRDefault="00477BAA" w:rsidP="00CC1D70">
      <w:pPr>
        <w:jc w:val="center"/>
        <w:rPr>
          <w:rFonts w:ascii="Book Antiqua" w:hAnsi="Book Antiqua" w:cs="Arial"/>
          <w:b/>
          <w:sz w:val="24"/>
          <w:szCs w:val="24"/>
        </w:rPr>
      </w:pPr>
    </w:p>
    <w:p w14:paraId="4A4562B9" w14:textId="37C3A2B6" w:rsidR="00CC1D70" w:rsidRPr="00F26850" w:rsidRDefault="00CC1D70" w:rsidP="00CC1D70">
      <w:pPr>
        <w:jc w:val="center"/>
        <w:rPr>
          <w:rFonts w:ascii="Book Antiqua" w:hAnsi="Book Antiqua" w:cs="Arial"/>
          <w:b/>
          <w:sz w:val="24"/>
          <w:szCs w:val="24"/>
        </w:rPr>
      </w:pPr>
      <w:r w:rsidRPr="00F26850">
        <w:rPr>
          <w:rFonts w:ascii="Book Antiqua" w:hAnsi="Book Antiqua" w:cs="Arial"/>
          <w:b/>
          <w:sz w:val="24"/>
          <w:szCs w:val="24"/>
        </w:rPr>
        <w:t>Between</w:t>
      </w:r>
    </w:p>
    <w:p w14:paraId="466C8158" w14:textId="199310CC" w:rsidR="00BB7A52" w:rsidRPr="00F26850" w:rsidRDefault="007B1D32" w:rsidP="00CC1D70">
      <w:pPr>
        <w:jc w:val="center"/>
        <w:rPr>
          <w:rFonts w:ascii="Book Antiqua" w:hAnsi="Book Antiqua" w:cs="Arial"/>
          <w:b/>
          <w:sz w:val="24"/>
          <w:szCs w:val="24"/>
        </w:rPr>
      </w:pPr>
      <w:r w:rsidRPr="00F26850">
        <w:rPr>
          <w:rFonts w:ascii="Book Antiqua" w:hAnsi="Book Antiqua" w:cs="Arial"/>
          <w:b/>
          <w:sz w:val="24"/>
          <w:szCs w:val="24"/>
        </w:rPr>
        <w:t xml:space="preserve">Mehul </w:t>
      </w:r>
      <w:proofErr w:type="spellStart"/>
      <w:r w:rsidRPr="00F26850">
        <w:rPr>
          <w:rFonts w:ascii="Book Antiqua" w:hAnsi="Book Antiqua" w:cs="Arial"/>
          <w:b/>
          <w:sz w:val="24"/>
          <w:szCs w:val="24"/>
        </w:rPr>
        <w:t>Sub</w:t>
      </w:r>
      <w:r w:rsidR="00E853E1">
        <w:rPr>
          <w:rFonts w:ascii="Book Antiqua" w:hAnsi="Book Antiqua" w:cs="Arial"/>
          <w:b/>
          <w:sz w:val="24"/>
          <w:szCs w:val="24"/>
        </w:rPr>
        <w:t>h</w:t>
      </w:r>
      <w:r w:rsidRPr="00F26850">
        <w:rPr>
          <w:rFonts w:ascii="Book Antiqua" w:hAnsi="Book Antiqua" w:cs="Arial"/>
          <w:b/>
          <w:sz w:val="24"/>
          <w:szCs w:val="24"/>
        </w:rPr>
        <w:t>ashchandra</w:t>
      </w:r>
      <w:proofErr w:type="spellEnd"/>
      <w:r w:rsidRPr="00F26850">
        <w:rPr>
          <w:rFonts w:ascii="Book Antiqua" w:hAnsi="Book Antiqua" w:cs="Arial"/>
          <w:b/>
          <w:sz w:val="24"/>
          <w:szCs w:val="24"/>
        </w:rPr>
        <w:t xml:space="preserve"> </w:t>
      </w:r>
      <w:proofErr w:type="spellStart"/>
      <w:r w:rsidRPr="00F26850">
        <w:rPr>
          <w:rFonts w:ascii="Book Antiqua" w:hAnsi="Book Antiqua" w:cs="Arial"/>
          <w:b/>
          <w:sz w:val="24"/>
          <w:szCs w:val="24"/>
        </w:rPr>
        <w:t>Halari</w:t>
      </w:r>
      <w:proofErr w:type="spellEnd"/>
    </w:p>
    <w:p w14:paraId="24EDF3F5" w14:textId="47DFFAD2" w:rsidR="00CC1D70" w:rsidRPr="00F26850" w:rsidRDefault="00CC1D70" w:rsidP="00033D7D">
      <w:pPr>
        <w:jc w:val="center"/>
        <w:rPr>
          <w:rFonts w:ascii="Book Antiqua" w:hAnsi="Book Antiqua" w:cs="Arial"/>
          <w:b/>
          <w:sz w:val="24"/>
          <w:szCs w:val="24"/>
        </w:rPr>
      </w:pPr>
      <w:r w:rsidRPr="00F26850">
        <w:rPr>
          <w:rFonts w:ascii="Book Antiqua" w:hAnsi="Book Antiqua" w:cs="Arial"/>
          <w:b/>
          <w:caps/>
          <w:sz w:val="24"/>
          <w:szCs w:val="24"/>
        </w:rPr>
        <w:t>(A</w:t>
      </w:r>
      <w:r w:rsidRPr="00F26850">
        <w:rPr>
          <w:rFonts w:ascii="Book Antiqua" w:hAnsi="Book Antiqua" w:cs="Arial"/>
          <w:b/>
          <w:sz w:val="24"/>
          <w:szCs w:val="24"/>
        </w:rPr>
        <w:t>nonymity Direction Not Made)</w:t>
      </w:r>
    </w:p>
    <w:p w14:paraId="57B4BC45" w14:textId="77777777" w:rsidR="00CC1D70" w:rsidRPr="00F26850" w:rsidRDefault="00CC1D70" w:rsidP="00CC1D70">
      <w:pPr>
        <w:jc w:val="right"/>
        <w:rPr>
          <w:rFonts w:ascii="Book Antiqua" w:hAnsi="Book Antiqua" w:cs="Arial"/>
          <w:sz w:val="24"/>
          <w:szCs w:val="24"/>
          <w:u w:val="single"/>
        </w:rPr>
      </w:pPr>
      <w:r w:rsidRPr="00F26850">
        <w:rPr>
          <w:rFonts w:ascii="Book Antiqua" w:hAnsi="Book Antiqua" w:cs="Arial"/>
          <w:sz w:val="24"/>
          <w:szCs w:val="24"/>
          <w:u w:val="single"/>
        </w:rPr>
        <w:t>Appellant</w:t>
      </w:r>
    </w:p>
    <w:p w14:paraId="4BA77ABB" w14:textId="77777777" w:rsidR="00CC1D70" w:rsidRPr="00F26850" w:rsidRDefault="00CC1D70" w:rsidP="00CC1D70">
      <w:pPr>
        <w:jc w:val="center"/>
        <w:rPr>
          <w:rFonts w:ascii="Book Antiqua" w:hAnsi="Book Antiqua" w:cs="Arial"/>
          <w:b/>
          <w:sz w:val="24"/>
          <w:szCs w:val="24"/>
        </w:rPr>
      </w:pPr>
      <w:r w:rsidRPr="00F26850">
        <w:rPr>
          <w:rFonts w:ascii="Book Antiqua" w:hAnsi="Book Antiqua" w:cs="Arial"/>
          <w:b/>
          <w:sz w:val="24"/>
          <w:szCs w:val="24"/>
        </w:rPr>
        <w:t>and</w:t>
      </w:r>
    </w:p>
    <w:p w14:paraId="1D9AD641" w14:textId="24EB26CD" w:rsidR="00CC1D70" w:rsidRPr="00F26850" w:rsidRDefault="00CC1D70" w:rsidP="00F2311C">
      <w:pPr>
        <w:jc w:val="center"/>
        <w:rPr>
          <w:rFonts w:ascii="Book Antiqua" w:hAnsi="Book Antiqua" w:cs="Arial"/>
          <w:b/>
          <w:sz w:val="24"/>
          <w:szCs w:val="24"/>
        </w:rPr>
      </w:pPr>
      <w:r w:rsidRPr="00F26850">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1" w:name="Text7"/>
      <w:r w:rsidRPr="00F26850">
        <w:rPr>
          <w:rFonts w:ascii="Book Antiqua" w:hAnsi="Book Antiqua" w:cs="Arial"/>
          <w:b/>
          <w:sz w:val="24"/>
          <w:szCs w:val="24"/>
        </w:rPr>
        <w:instrText xml:space="preserve"> FORMTEXT </w:instrText>
      </w:r>
      <w:r w:rsidRPr="00F26850">
        <w:rPr>
          <w:rFonts w:ascii="Book Antiqua" w:hAnsi="Book Antiqua" w:cs="Arial"/>
          <w:b/>
          <w:sz w:val="24"/>
          <w:szCs w:val="24"/>
        </w:rPr>
      </w:r>
      <w:r w:rsidRPr="00F26850">
        <w:rPr>
          <w:rFonts w:ascii="Book Antiqua" w:hAnsi="Book Antiqua" w:cs="Arial"/>
          <w:b/>
          <w:sz w:val="24"/>
          <w:szCs w:val="24"/>
        </w:rPr>
        <w:fldChar w:fldCharType="separate"/>
      </w:r>
      <w:r w:rsidRPr="00F26850">
        <w:rPr>
          <w:rFonts w:ascii="Book Antiqua" w:hAnsi="Book Antiqua" w:cs="Arial"/>
          <w:b/>
          <w:noProof/>
          <w:sz w:val="24"/>
          <w:szCs w:val="24"/>
        </w:rPr>
        <w:t>THE SECRETARY OF STATE FOR THE HOME DEPARTMENT</w:t>
      </w:r>
      <w:r w:rsidRPr="00F26850">
        <w:rPr>
          <w:rFonts w:ascii="Book Antiqua" w:hAnsi="Book Antiqua" w:cs="Arial"/>
          <w:b/>
          <w:sz w:val="24"/>
          <w:szCs w:val="24"/>
        </w:rPr>
        <w:fldChar w:fldCharType="end"/>
      </w:r>
      <w:bookmarkEnd w:id="1"/>
    </w:p>
    <w:p w14:paraId="77D8F66B" w14:textId="5D28F61C" w:rsidR="00CC1D70" w:rsidRPr="00F26850" w:rsidRDefault="00CC1D70" w:rsidP="00033D7D">
      <w:pPr>
        <w:jc w:val="right"/>
        <w:rPr>
          <w:rFonts w:ascii="Book Antiqua" w:hAnsi="Book Antiqua" w:cs="Arial"/>
          <w:sz w:val="24"/>
          <w:szCs w:val="24"/>
          <w:u w:val="single"/>
        </w:rPr>
      </w:pPr>
      <w:r w:rsidRPr="00F26850">
        <w:rPr>
          <w:rFonts w:ascii="Book Antiqua" w:hAnsi="Book Antiqua" w:cs="Arial"/>
          <w:sz w:val="24"/>
          <w:szCs w:val="24"/>
          <w:u w:val="single"/>
        </w:rPr>
        <w:t>Responden</w:t>
      </w:r>
      <w:r w:rsidR="00033D7D" w:rsidRPr="00F26850">
        <w:rPr>
          <w:rFonts w:ascii="Book Antiqua" w:hAnsi="Book Antiqua" w:cs="Arial"/>
          <w:sz w:val="24"/>
          <w:szCs w:val="24"/>
          <w:u w:val="single"/>
        </w:rPr>
        <w:t>t</w:t>
      </w:r>
    </w:p>
    <w:p w14:paraId="5F2CCAF8" w14:textId="77777777" w:rsidR="00477BAA" w:rsidRDefault="00477BAA" w:rsidP="00CC1D70">
      <w:pPr>
        <w:rPr>
          <w:rFonts w:ascii="Book Antiqua" w:hAnsi="Book Antiqua" w:cs="Arial"/>
          <w:b/>
          <w:sz w:val="24"/>
          <w:szCs w:val="24"/>
          <w:u w:val="single"/>
        </w:rPr>
      </w:pPr>
    </w:p>
    <w:p w14:paraId="15E615CF" w14:textId="64EC7AB8" w:rsidR="00CC1D70" w:rsidRPr="00F26850" w:rsidRDefault="00CC1D70" w:rsidP="00CC1D70">
      <w:pPr>
        <w:rPr>
          <w:rFonts w:ascii="Book Antiqua" w:hAnsi="Book Antiqua" w:cs="Arial"/>
          <w:sz w:val="24"/>
          <w:szCs w:val="24"/>
        </w:rPr>
      </w:pPr>
      <w:r w:rsidRPr="00F26850">
        <w:rPr>
          <w:rFonts w:ascii="Book Antiqua" w:hAnsi="Book Antiqua" w:cs="Arial"/>
          <w:b/>
          <w:sz w:val="24"/>
          <w:szCs w:val="24"/>
          <w:u w:val="single"/>
        </w:rPr>
        <w:t>Representation</w:t>
      </w:r>
      <w:r w:rsidRPr="00F26850">
        <w:rPr>
          <w:rFonts w:ascii="Book Antiqua" w:hAnsi="Book Antiqua" w:cs="Arial"/>
          <w:b/>
          <w:sz w:val="24"/>
          <w:szCs w:val="24"/>
        </w:rPr>
        <w:t>:</w:t>
      </w:r>
    </w:p>
    <w:p w14:paraId="36DF7420" w14:textId="27466FA5" w:rsidR="00CC1D70" w:rsidRPr="00F26850" w:rsidRDefault="00CC1D70" w:rsidP="00CC1D70">
      <w:pPr>
        <w:tabs>
          <w:tab w:val="left" w:pos="2520"/>
        </w:tabs>
        <w:rPr>
          <w:rFonts w:ascii="Book Antiqua" w:hAnsi="Book Antiqua" w:cs="Arial"/>
          <w:sz w:val="24"/>
          <w:szCs w:val="24"/>
        </w:rPr>
      </w:pPr>
      <w:r w:rsidRPr="00F26850">
        <w:rPr>
          <w:rFonts w:ascii="Book Antiqua" w:hAnsi="Book Antiqua" w:cs="Arial"/>
          <w:sz w:val="24"/>
          <w:szCs w:val="24"/>
        </w:rPr>
        <w:t>For the Appellant:</w:t>
      </w:r>
      <w:r w:rsidRPr="00F26850">
        <w:rPr>
          <w:rFonts w:ascii="Book Antiqua" w:hAnsi="Book Antiqua" w:cs="Arial"/>
          <w:sz w:val="24"/>
          <w:szCs w:val="24"/>
        </w:rPr>
        <w:tab/>
      </w:r>
      <w:r w:rsidR="007B1D32" w:rsidRPr="00F26850">
        <w:rPr>
          <w:rFonts w:ascii="Book Antiqua" w:hAnsi="Book Antiqua" w:cs="Arial"/>
          <w:sz w:val="24"/>
          <w:szCs w:val="24"/>
        </w:rPr>
        <w:t>Mrs De Souza</w:t>
      </w:r>
      <w:r w:rsidRPr="00F26850">
        <w:rPr>
          <w:rFonts w:ascii="Book Antiqua" w:hAnsi="Book Antiqua" w:cs="Arial"/>
          <w:sz w:val="24"/>
          <w:szCs w:val="24"/>
        </w:rPr>
        <w:t>, instructed by</w:t>
      </w:r>
      <w:r w:rsidR="007B1D32" w:rsidRPr="00F26850">
        <w:rPr>
          <w:rFonts w:ascii="Book Antiqua" w:hAnsi="Book Antiqua" w:cs="Arial"/>
          <w:sz w:val="24"/>
          <w:szCs w:val="24"/>
        </w:rPr>
        <w:t xml:space="preserve"> PGA Solicitors</w:t>
      </w:r>
      <w:r w:rsidRPr="00F26850">
        <w:rPr>
          <w:rFonts w:ascii="Book Antiqua" w:hAnsi="Book Antiqua" w:cs="Arial"/>
          <w:sz w:val="24"/>
          <w:szCs w:val="24"/>
        </w:rPr>
        <w:t>.</w:t>
      </w:r>
    </w:p>
    <w:p w14:paraId="2891B21D" w14:textId="54613009" w:rsidR="00CC1D70" w:rsidRPr="00F26850" w:rsidRDefault="00CC1D70" w:rsidP="00033D7D">
      <w:pPr>
        <w:tabs>
          <w:tab w:val="left" w:pos="2520"/>
        </w:tabs>
        <w:rPr>
          <w:rFonts w:ascii="Book Antiqua" w:hAnsi="Book Antiqua" w:cs="Arial"/>
          <w:sz w:val="24"/>
          <w:szCs w:val="24"/>
        </w:rPr>
      </w:pPr>
      <w:r w:rsidRPr="00F26850">
        <w:rPr>
          <w:rFonts w:ascii="Book Antiqua" w:hAnsi="Book Antiqua" w:cs="Arial"/>
          <w:sz w:val="24"/>
          <w:szCs w:val="24"/>
        </w:rPr>
        <w:t>For the Respondent:</w:t>
      </w:r>
      <w:r w:rsidRPr="00F26850">
        <w:rPr>
          <w:rFonts w:ascii="Book Antiqua" w:hAnsi="Book Antiqua" w:cs="Arial"/>
          <w:sz w:val="24"/>
          <w:szCs w:val="24"/>
        </w:rPr>
        <w:tab/>
        <w:t>M</w:t>
      </w:r>
      <w:r w:rsidR="007B1D32" w:rsidRPr="00F26850">
        <w:rPr>
          <w:rFonts w:ascii="Book Antiqua" w:hAnsi="Book Antiqua" w:cs="Arial"/>
          <w:sz w:val="24"/>
          <w:szCs w:val="24"/>
        </w:rPr>
        <w:t>s J Isherwood</w:t>
      </w:r>
      <w:r w:rsidRPr="00F26850">
        <w:rPr>
          <w:rFonts w:ascii="Book Antiqua" w:hAnsi="Book Antiqua" w:cs="Arial"/>
          <w:sz w:val="24"/>
          <w:szCs w:val="24"/>
        </w:rPr>
        <w:t xml:space="preserve">, Home Office Presenting Officer </w:t>
      </w:r>
    </w:p>
    <w:p w14:paraId="01AE1C3A" w14:textId="77777777" w:rsidR="00477BAA" w:rsidRDefault="00477BAA" w:rsidP="00CC1D70">
      <w:pPr>
        <w:tabs>
          <w:tab w:val="left" w:pos="2520"/>
        </w:tabs>
        <w:jc w:val="center"/>
        <w:rPr>
          <w:rFonts w:ascii="Book Antiqua" w:hAnsi="Book Antiqua" w:cs="Arial"/>
          <w:b/>
          <w:sz w:val="24"/>
          <w:szCs w:val="24"/>
          <w:u w:val="single"/>
        </w:rPr>
      </w:pPr>
    </w:p>
    <w:p w14:paraId="786ABB8D" w14:textId="47E39A95" w:rsidR="00CC1D70" w:rsidRPr="00F26850" w:rsidRDefault="00CC1D70" w:rsidP="00CC1D70">
      <w:pPr>
        <w:tabs>
          <w:tab w:val="left" w:pos="2520"/>
        </w:tabs>
        <w:jc w:val="center"/>
        <w:rPr>
          <w:rFonts w:ascii="Book Antiqua" w:hAnsi="Book Antiqua" w:cs="Arial"/>
          <w:sz w:val="24"/>
          <w:szCs w:val="24"/>
        </w:rPr>
      </w:pPr>
      <w:r w:rsidRPr="00F26850">
        <w:rPr>
          <w:rFonts w:ascii="Book Antiqua" w:hAnsi="Book Antiqua" w:cs="Arial"/>
          <w:b/>
          <w:sz w:val="24"/>
          <w:szCs w:val="24"/>
          <w:u w:val="single"/>
        </w:rPr>
        <w:t>DECISION AND REASONS</w:t>
      </w:r>
    </w:p>
    <w:p w14:paraId="52CA4F4C" w14:textId="132B6C54" w:rsidR="000E27E2" w:rsidRPr="00F26850" w:rsidRDefault="005D2A22" w:rsidP="000E2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The </w:t>
      </w:r>
      <w:r w:rsidR="000E27E2" w:rsidRPr="00F26850">
        <w:rPr>
          <w:rFonts w:ascii="Book Antiqua" w:hAnsi="Book Antiqua" w:cs="Arial"/>
          <w:sz w:val="24"/>
          <w:szCs w:val="24"/>
        </w:rPr>
        <w:t>appellant was granted permission to appeal a determination of First-tier Tribunal</w:t>
      </w:r>
      <w:r w:rsidR="007F59A9" w:rsidRPr="00F26850">
        <w:rPr>
          <w:rFonts w:ascii="Book Antiqua" w:hAnsi="Book Antiqua" w:cs="Arial"/>
          <w:sz w:val="24"/>
          <w:szCs w:val="24"/>
        </w:rPr>
        <w:t xml:space="preserve"> </w:t>
      </w:r>
      <w:r w:rsidR="007E3DE2">
        <w:rPr>
          <w:rFonts w:ascii="Book Antiqua" w:hAnsi="Book Antiqua" w:cs="Arial"/>
          <w:sz w:val="24"/>
          <w:szCs w:val="24"/>
        </w:rPr>
        <w:t xml:space="preserve">Judge </w:t>
      </w:r>
      <w:proofErr w:type="spellStart"/>
      <w:r w:rsidR="007F59A9" w:rsidRPr="00F26850">
        <w:rPr>
          <w:rFonts w:ascii="Book Antiqua" w:hAnsi="Book Antiqua" w:cs="Arial"/>
          <w:sz w:val="24"/>
          <w:szCs w:val="24"/>
        </w:rPr>
        <w:t>Eban</w:t>
      </w:r>
      <w:proofErr w:type="spellEnd"/>
      <w:r w:rsidR="000E27E2" w:rsidRPr="00F26850">
        <w:rPr>
          <w:rFonts w:ascii="Book Antiqua" w:hAnsi="Book Antiqua" w:cs="Arial"/>
          <w:sz w:val="24"/>
          <w:szCs w:val="24"/>
        </w:rPr>
        <w:t xml:space="preserve">, which dismissed the appellant’s appeal, on </w:t>
      </w:r>
      <w:r w:rsidR="000E27E2" w:rsidRPr="00F26850">
        <w:rPr>
          <w:rFonts w:ascii="Book Antiqua" w:hAnsi="Book Antiqua" w:cs="Arial"/>
          <w:sz w:val="24"/>
          <w:szCs w:val="24"/>
        </w:rPr>
        <w:lastRenderedPageBreak/>
        <w:t>human rights grounds, against a decision of the Secretary of State dated 12</w:t>
      </w:r>
      <w:r w:rsidR="000E27E2" w:rsidRPr="00F26850">
        <w:rPr>
          <w:rFonts w:ascii="Book Antiqua" w:hAnsi="Book Antiqua" w:cs="Arial"/>
          <w:sz w:val="24"/>
          <w:szCs w:val="24"/>
          <w:vertAlign w:val="superscript"/>
        </w:rPr>
        <w:t>th</w:t>
      </w:r>
      <w:r w:rsidR="000E27E2" w:rsidRPr="00F26850">
        <w:rPr>
          <w:rFonts w:ascii="Book Antiqua" w:hAnsi="Book Antiqua" w:cs="Arial"/>
          <w:sz w:val="24"/>
          <w:szCs w:val="24"/>
        </w:rPr>
        <w:t xml:space="preserve"> August 2016. </w:t>
      </w:r>
    </w:p>
    <w:p w14:paraId="4FB4911B" w14:textId="68D1DDF0" w:rsidR="000E27E2" w:rsidRPr="00F26850" w:rsidRDefault="000E27E2" w:rsidP="000E2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The </w:t>
      </w:r>
      <w:r w:rsidR="00732658" w:rsidRPr="00F26850">
        <w:rPr>
          <w:rFonts w:ascii="Book Antiqua" w:hAnsi="Book Antiqua" w:cs="Arial"/>
          <w:sz w:val="24"/>
          <w:szCs w:val="24"/>
        </w:rPr>
        <w:t xml:space="preserve">appellant had applied </w:t>
      </w:r>
      <w:r w:rsidRPr="00F26850">
        <w:rPr>
          <w:rFonts w:ascii="Book Antiqua" w:hAnsi="Book Antiqua" w:cs="Arial"/>
          <w:sz w:val="24"/>
          <w:szCs w:val="24"/>
        </w:rPr>
        <w:t>for Indefinite Leave to Remain under paragraph 276B of the Immigration Rules and on human rights grounds.  The appellant entered the UK on 6</w:t>
      </w:r>
      <w:r w:rsidRPr="00F26850">
        <w:rPr>
          <w:rFonts w:ascii="Book Antiqua" w:hAnsi="Book Antiqua" w:cs="Arial"/>
          <w:sz w:val="24"/>
          <w:szCs w:val="24"/>
          <w:vertAlign w:val="superscript"/>
        </w:rPr>
        <w:t>th</w:t>
      </w:r>
      <w:r w:rsidRPr="00F26850">
        <w:rPr>
          <w:rFonts w:ascii="Book Antiqua" w:hAnsi="Book Antiqua" w:cs="Arial"/>
          <w:sz w:val="24"/>
          <w:szCs w:val="24"/>
        </w:rPr>
        <w:t xml:space="preserve"> September 2006 as a student and his leave was extended under various categories until 31</w:t>
      </w:r>
      <w:r w:rsidRPr="00F26850">
        <w:rPr>
          <w:rFonts w:ascii="Book Antiqua" w:hAnsi="Book Antiqua" w:cs="Arial"/>
          <w:sz w:val="24"/>
          <w:szCs w:val="24"/>
          <w:vertAlign w:val="superscript"/>
        </w:rPr>
        <w:t>st</w:t>
      </w:r>
      <w:r w:rsidRPr="00F26850">
        <w:rPr>
          <w:rFonts w:ascii="Book Antiqua" w:hAnsi="Book Antiqua" w:cs="Arial"/>
          <w:sz w:val="24"/>
          <w:szCs w:val="24"/>
        </w:rPr>
        <w:t xml:space="preserve"> August 2017.  The Secretary of State referred to the provisions on continuous residence under paragraph 276A of the rules, and, noted that the appellant was absent from the United Kingdom from 26</w:t>
      </w:r>
      <w:r w:rsidRPr="00F26850">
        <w:rPr>
          <w:rFonts w:ascii="Book Antiqua" w:hAnsi="Book Antiqua" w:cs="Arial"/>
          <w:sz w:val="24"/>
          <w:szCs w:val="24"/>
          <w:vertAlign w:val="superscript"/>
        </w:rPr>
        <w:t>th</w:t>
      </w:r>
      <w:r w:rsidRPr="00F26850">
        <w:rPr>
          <w:rFonts w:ascii="Book Antiqua" w:hAnsi="Book Antiqua" w:cs="Arial"/>
          <w:sz w:val="24"/>
          <w:szCs w:val="24"/>
        </w:rPr>
        <w:t xml:space="preserve"> April 2011 until 7</w:t>
      </w:r>
      <w:r w:rsidRPr="00F26850">
        <w:rPr>
          <w:rFonts w:ascii="Book Antiqua" w:hAnsi="Book Antiqua" w:cs="Arial"/>
          <w:sz w:val="24"/>
          <w:szCs w:val="24"/>
          <w:vertAlign w:val="superscript"/>
        </w:rPr>
        <w:t>th</w:t>
      </w:r>
      <w:r w:rsidRPr="00F26850">
        <w:rPr>
          <w:rFonts w:ascii="Book Antiqua" w:hAnsi="Book Antiqua" w:cs="Arial"/>
          <w:sz w:val="24"/>
          <w:szCs w:val="24"/>
        </w:rPr>
        <w:t xml:space="preserve"> November 2011, a total of 194 days which he had stated was </w:t>
      </w:r>
      <w:r w:rsidR="00DD7A15" w:rsidRPr="00F26850">
        <w:rPr>
          <w:rFonts w:ascii="Book Antiqua" w:hAnsi="Book Antiqua" w:cs="Arial"/>
          <w:sz w:val="24"/>
          <w:szCs w:val="24"/>
        </w:rPr>
        <w:t>for</w:t>
      </w:r>
      <w:r w:rsidRPr="00F26850">
        <w:rPr>
          <w:rFonts w:ascii="Book Antiqua" w:hAnsi="Book Antiqua" w:cs="Arial"/>
          <w:sz w:val="24"/>
          <w:szCs w:val="24"/>
        </w:rPr>
        <w:t xml:space="preserve"> comparative study for his degree dissertation. </w:t>
      </w:r>
    </w:p>
    <w:p w14:paraId="29AFC9F8" w14:textId="77777777" w:rsidR="00CC1D70" w:rsidRPr="00F26850" w:rsidRDefault="00CC1D70" w:rsidP="00CC1D70">
      <w:pPr>
        <w:spacing w:before="240"/>
        <w:jc w:val="both"/>
        <w:rPr>
          <w:rFonts w:ascii="Book Antiqua" w:hAnsi="Book Antiqua" w:cs="Arial"/>
          <w:b/>
          <w:sz w:val="24"/>
          <w:szCs w:val="24"/>
          <w:u w:val="single"/>
        </w:rPr>
      </w:pPr>
      <w:r w:rsidRPr="00F26850">
        <w:rPr>
          <w:rFonts w:ascii="Book Antiqua" w:hAnsi="Book Antiqua" w:cs="Arial"/>
          <w:b/>
          <w:sz w:val="24"/>
          <w:szCs w:val="24"/>
          <w:u w:val="single"/>
        </w:rPr>
        <w:t>Application for Permission to Appeal</w:t>
      </w:r>
    </w:p>
    <w:p w14:paraId="57E404F6" w14:textId="49189A97" w:rsidR="00CC1D70" w:rsidRPr="00F26850" w:rsidRDefault="00CC1D70" w:rsidP="00CC1D70">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The application for permission</w:t>
      </w:r>
      <w:r w:rsidR="00B147D8" w:rsidRPr="00F26850">
        <w:rPr>
          <w:rFonts w:ascii="Book Antiqua" w:hAnsi="Book Antiqua" w:cs="Arial"/>
          <w:sz w:val="24"/>
          <w:szCs w:val="24"/>
        </w:rPr>
        <w:t xml:space="preserve"> was founded on five grounds</w:t>
      </w:r>
    </w:p>
    <w:p w14:paraId="4FEF722A" w14:textId="47D9FF2E" w:rsidR="00B147D8" w:rsidRPr="00F26850" w:rsidRDefault="00670EFE" w:rsidP="0046558C">
      <w:pPr>
        <w:pStyle w:val="ListParagraph"/>
        <w:numPr>
          <w:ilvl w:val="5"/>
          <w:numId w:val="1"/>
        </w:numPr>
        <w:spacing w:before="120" w:after="120" w:line="240" w:lineRule="auto"/>
        <w:ind w:left="1134"/>
        <w:contextualSpacing w:val="0"/>
        <w:jc w:val="both"/>
        <w:rPr>
          <w:rFonts w:ascii="Book Antiqua" w:hAnsi="Book Antiqua" w:cs="Arial"/>
          <w:sz w:val="24"/>
          <w:szCs w:val="24"/>
        </w:rPr>
      </w:pPr>
      <w:r w:rsidRPr="00F26850">
        <w:rPr>
          <w:rFonts w:ascii="Book Antiqua" w:hAnsi="Book Antiqua" w:cs="Arial"/>
          <w:sz w:val="24"/>
          <w:szCs w:val="24"/>
        </w:rPr>
        <w:t>the appellant relied</w:t>
      </w:r>
      <w:r w:rsidR="00F7503D" w:rsidRPr="00F26850">
        <w:rPr>
          <w:rFonts w:ascii="Book Antiqua" w:hAnsi="Book Antiqua" w:cs="Arial"/>
          <w:sz w:val="24"/>
          <w:szCs w:val="24"/>
        </w:rPr>
        <w:t>, before the First-tier Tribunal,</w:t>
      </w:r>
      <w:r w:rsidRPr="00F26850">
        <w:rPr>
          <w:rFonts w:ascii="Book Antiqua" w:hAnsi="Book Antiqua" w:cs="Arial"/>
          <w:sz w:val="24"/>
          <w:szCs w:val="24"/>
        </w:rPr>
        <w:t xml:space="preserve"> on </w:t>
      </w:r>
      <w:r w:rsidR="00311720" w:rsidRPr="00F26850">
        <w:rPr>
          <w:rFonts w:ascii="Book Antiqua" w:hAnsi="Book Antiqua" w:cs="Arial"/>
          <w:sz w:val="24"/>
          <w:szCs w:val="24"/>
        </w:rPr>
        <w:t xml:space="preserve">extensive submissions and </w:t>
      </w:r>
      <w:r w:rsidR="00F9733B" w:rsidRPr="00F26850">
        <w:rPr>
          <w:rFonts w:ascii="Book Antiqua" w:hAnsi="Book Antiqua" w:cs="Arial"/>
          <w:sz w:val="24"/>
          <w:szCs w:val="24"/>
        </w:rPr>
        <w:t xml:space="preserve">on </w:t>
      </w:r>
      <w:r w:rsidRPr="00F26850">
        <w:rPr>
          <w:rFonts w:ascii="Book Antiqua" w:hAnsi="Book Antiqua" w:cs="Arial"/>
          <w:sz w:val="24"/>
          <w:szCs w:val="24"/>
        </w:rPr>
        <w:t>a</w:t>
      </w:r>
      <w:r w:rsidR="00311720" w:rsidRPr="00F26850">
        <w:rPr>
          <w:rFonts w:ascii="Book Antiqua" w:hAnsi="Book Antiqua" w:cs="Arial"/>
          <w:sz w:val="24"/>
          <w:szCs w:val="24"/>
        </w:rPr>
        <w:t xml:space="preserve"> similar unreported case where the </w:t>
      </w:r>
      <w:r w:rsidR="005754EB" w:rsidRPr="00F26850">
        <w:rPr>
          <w:rFonts w:ascii="Book Antiqua" w:hAnsi="Book Antiqua" w:cs="Arial"/>
          <w:sz w:val="24"/>
          <w:szCs w:val="24"/>
        </w:rPr>
        <w:t>U</w:t>
      </w:r>
      <w:r w:rsidR="00311720" w:rsidRPr="00F26850">
        <w:rPr>
          <w:rFonts w:ascii="Book Antiqua" w:hAnsi="Book Antiqua" w:cs="Arial"/>
          <w:sz w:val="24"/>
          <w:szCs w:val="24"/>
        </w:rPr>
        <w:t>pper Tribunal had allowed the appellant’s appeal, but this was not addressed in the judge’s decision</w:t>
      </w:r>
    </w:p>
    <w:p w14:paraId="30818993" w14:textId="6B83EEF2" w:rsidR="00D46033" w:rsidRPr="00F26850" w:rsidRDefault="00D46033" w:rsidP="0046558C">
      <w:pPr>
        <w:pStyle w:val="ListParagraph"/>
        <w:numPr>
          <w:ilvl w:val="5"/>
          <w:numId w:val="1"/>
        </w:numPr>
        <w:spacing w:before="120" w:after="120" w:line="240" w:lineRule="auto"/>
        <w:ind w:left="1134"/>
        <w:contextualSpacing w:val="0"/>
        <w:jc w:val="both"/>
        <w:rPr>
          <w:rFonts w:ascii="Book Antiqua" w:hAnsi="Book Antiqua" w:cs="Arial"/>
          <w:sz w:val="24"/>
          <w:szCs w:val="24"/>
        </w:rPr>
      </w:pPr>
      <w:r w:rsidRPr="00F26850">
        <w:rPr>
          <w:rFonts w:ascii="Book Antiqua" w:hAnsi="Book Antiqua" w:cs="Arial"/>
          <w:sz w:val="24"/>
          <w:szCs w:val="24"/>
        </w:rPr>
        <w:t xml:space="preserve">the judge erred in her construction of paragraph 276A(a) </w:t>
      </w:r>
      <w:r w:rsidR="00E24151" w:rsidRPr="00F26850">
        <w:rPr>
          <w:rFonts w:ascii="Book Antiqua" w:hAnsi="Book Antiqua" w:cs="Arial"/>
          <w:sz w:val="24"/>
          <w:szCs w:val="24"/>
        </w:rPr>
        <w:t xml:space="preserve">with reference to ‘continuous residence’. On the proper interpretation of the above provision there was no breach of continuous residence because the rule states </w:t>
      </w:r>
      <w:r w:rsidR="00721A3F" w:rsidRPr="00F26850">
        <w:rPr>
          <w:rFonts w:ascii="Book Antiqua" w:hAnsi="Book Antiqua" w:cs="Arial"/>
          <w:sz w:val="24"/>
          <w:szCs w:val="24"/>
        </w:rPr>
        <w:t>“</w:t>
      </w:r>
      <w:r w:rsidR="00E24151" w:rsidRPr="00F26850">
        <w:rPr>
          <w:rFonts w:ascii="Book Antiqua" w:hAnsi="Book Antiqua" w:cs="Arial"/>
          <w:i/>
          <w:sz w:val="24"/>
          <w:szCs w:val="24"/>
        </w:rPr>
        <w:t>for these purposes a period</w:t>
      </w:r>
      <w:r w:rsidR="0011781A" w:rsidRPr="00F26850">
        <w:rPr>
          <w:rFonts w:ascii="Book Antiqua" w:hAnsi="Book Antiqua" w:cs="Arial"/>
          <w:i/>
          <w:sz w:val="24"/>
          <w:szCs w:val="24"/>
        </w:rPr>
        <w:t xml:space="preserve"> shall not be considered to have been broken where an applicant is absent from the United Kingdom for a period of six months or less at any one time</w:t>
      </w:r>
      <w:r w:rsidR="00721A3F" w:rsidRPr="00F26850">
        <w:rPr>
          <w:rFonts w:ascii="Book Antiqua" w:hAnsi="Book Antiqua" w:cs="Arial"/>
          <w:sz w:val="24"/>
          <w:szCs w:val="24"/>
        </w:rPr>
        <w:t>”</w:t>
      </w:r>
      <w:r w:rsidR="0011781A" w:rsidRPr="00F26850">
        <w:rPr>
          <w:rFonts w:ascii="Book Antiqua" w:hAnsi="Book Antiqua" w:cs="Arial"/>
          <w:sz w:val="24"/>
          <w:szCs w:val="24"/>
        </w:rPr>
        <w:t xml:space="preserve">. The rule was silent as to </w:t>
      </w:r>
      <w:r w:rsidR="00CD708B" w:rsidRPr="00F26850">
        <w:rPr>
          <w:rFonts w:ascii="Book Antiqua" w:hAnsi="Book Antiqua" w:cs="Arial"/>
          <w:sz w:val="24"/>
          <w:szCs w:val="24"/>
        </w:rPr>
        <w:t>whether</w:t>
      </w:r>
      <w:r w:rsidR="00721A3F" w:rsidRPr="00F26850">
        <w:rPr>
          <w:rFonts w:ascii="Book Antiqua" w:hAnsi="Book Antiqua" w:cs="Arial"/>
          <w:sz w:val="24"/>
          <w:szCs w:val="24"/>
        </w:rPr>
        <w:t>,</w:t>
      </w:r>
      <w:r w:rsidR="00CD708B" w:rsidRPr="00F26850">
        <w:rPr>
          <w:rFonts w:ascii="Book Antiqua" w:hAnsi="Book Antiqua" w:cs="Arial"/>
          <w:sz w:val="24"/>
          <w:szCs w:val="24"/>
        </w:rPr>
        <w:t xml:space="preserve"> if</w:t>
      </w:r>
      <w:r w:rsidR="002A67F6" w:rsidRPr="00F26850">
        <w:rPr>
          <w:rFonts w:ascii="Book Antiqua" w:hAnsi="Book Antiqua" w:cs="Arial"/>
          <w:sz w:val="24"/>
          <w:szCs w:val="24"/>
        </w:rPr>
        <w:t xml:space="preserve"> there was residence outside the UK for more than six months</w:t>
      </w:r>
      <w:r w:rsidR="00721A3F" w:rsidRPr="00F26850">
        <w:rPr>
          <w:rFonts w:ascii="Book Antiqua" w:hAnsi="Book Antiqua" w:cs="Arial"/>
          <w:sz w:val="24"/>
          <w:szCs w:val="24"/>
        </w:rPr>
        <w:t>,</w:t>
      </w:r>
      <w:r w:rsidR="002A67F6" w:rsidRPr="00F26850">
        <w:rPr>
          <w:rFonts w:ascii="Book Antiqua" w:hAnsi="Book Antiqua" w:cs="Arial"/>
          <w:sz w:val="24"/>
          <w:szCs w:val="24"/>
        </w:rPr>
        <w:t xml:space="preserve"> that will or must be considered as having broken continuous residence. Under the </w:t>
      </w:r>
      <w:r w:rsidR="00027476" w:rsidRPr="00F26850">
        <w:rPr>
          <w:rFonts w:ascii="Book Antiqua" w:hAnsi="Book Antiqua" w:cs="Arial"/>
          <w:sz w:val="24"/>
          <w:szCs w:val="24"/>
        </w:rPr>
        <w:t>subsections of the rule there is no reference to absence from the United Kingdom</w:t>
      </w:r>
      <w:r w:rsidR="0091643A" w:rsidRPr="00F26850">
        <w:rPr>
          <w:rFonts w:ascii="Book Antiqua" w:hAnsi="Book Antiqua" w:cs="Arial"/>
          <w:sz w:val="24"/>
          <w:szCs w:val="24"/>
        </w:rPr>
        <w:t xml:space="preserve"> of more than six months. As such the period of 14 days in excess of the six-month period did not break continuous residence. The same was found in the upper Tribunal’s decision which had been referred to in submissions.</w:t>
      </w:r>
    </w:p>
    <w:p w14:paraId="32A6142D" w14:textId="0D64E96E" w:rsidR="0091643A" w:rsidRPr="00F26850" w:rsidRDefault="0010482B" w:rsidP="0046558C">
      <w:pPr>
        <w:pStyle w:val="ListParagraph"/>
        <w:numPr>
          <w:ilvl w:val="5"/>
          <w:numId w:val="1"/>
        </w:numPr>
        <w:spacing w:before="120" w:after="120" w:line="240" w:lineRule="auto"/>
        <w:ind w:left="1134"/>
        <w:contextualSpacing w:val="0"/>
        <w:jc w:val="both"/>
        <w:rPr>
          <w:rFonts w:ascii="Book Antiqua" w:hAnsi="Book Antiqua" w:cs="Arial"/>
          <w:sz w:val="24"/>
          <w:szCs w:val="24"/>
        </w:rPr>
      </w:pPr>
      <w:r w:rsidRPr="00F26850">
        <w:rPr>
          <w:rFonts w:ascii="Book Antiqua" w:hAnsi="Book Antiqua" w:cs="Arial"/>
          <w:sz w:val="24"/>
          <w:szCs w:val="24"/>
        </w:rPr>
        <w:t>t</w:t>
      </w:r>
      <w:r w:rsidR="007F0EEB" w:rsidRPr="00F26850">
        <w:rPr>
          <w:rFonts w:ascii="Book Antiqua" w:hAnsi="Book Antiqua" w:cs="Arial"/>
          <w:sz w:val="24"/>
          <w:szCs w:val="24"/>
        </w:rPr>
        <w:t>he judge referred to the discretion available to the respondent in her guidance but failed to appreciate that there were exceptional circumstances and examples given in the respondent’s guidance were not exhaust</w:t>
      </w:r>
      <w:r w:rsidR="001F634B" w:rsidRPr="00F26850">
        <w:rPr>
          <w:rFonts w:ascii="Book Antiqua" w:hAnsi="Book Antiqua" w:cs="Arial"/>
          <w:sz w:val="24"/>
          <w:szCs w:val="24"/>
        </w:rPr>
        <w:t>ive</w:t>
      </w:r>
      <w:r w:rsidR="007F0EEB" w:rsidRPr="00F26850">
        <w:rPr>
          <w:rFonts w:ascii="Book Antiqua" w:hAnsi="Book Antiqua" w:cs="Arial"/>
          <w:sz w:val="24"/>
          <w:szCs w:val="24"/>
        </w:rPr>
        <w:t>. The judge</w:t>
      </w:r>
      <w:r w:rsidR="00EE0882" w:rsidRPr="00F26850">
        <w:rPr>
          <w:rFonts w:ascii="Book Antiqua" w:hAnsi="Book Antiqua" w:cs="Arial"/>
          <w:sz w:val="24"/>
          <w:szCs w:val="24"/>
        </w:rPr>
        <w:t xml:space="preserve"> erred in failing to consider and exercise the discretion herself. This was relevant not only to the appeal under 276B but also to the appeal under article 8 ECHR.</w:t>
      </w:r>
    </w:p>
    <w:p w14:paraId="1D21ED94" w14:textId="57112188" w:rsidR="00C86251" w:rsidRPr="00F26850" w:rsidRDefault="0010482B" w:rsidP="0046558C">
      <w:pPr>
        <w:pStyle w:val="ListParagraph"/>
        <w:numPr>
          <w:ilvl w:val="5"/>
          <w:numId w:val="1"/>
        </w:numPr>
        <w:spacing w:before="120" w:after="120" w:line="240" w:lineRule="auto"/>
        <w:ind w:left="1134"/>
        <w:contextualSpacing w:val="0"/>
        <w:jc w:val="both"/>
        <w:rPr>
          <w:rFonts w:ascii="Book Antiqua" w:hAnsi="Book Antiqua" w:cs="Arial"/>
          <w:sz w:val="24"/>
          <w:szCs w:val="24"/>
        </w:rPr>
      </w:pPr>
      <w:r w:rsidRPr="00F26850">
        <w:rPr>
          <w:rFonts w:ascii="Book Antiqua" w:hAnsi="Book Antiqua" w:cs="Arial"/>
          <w:sz w:val="24"/>
          <w:szCs w:val="24"/>
        </w:rPr>
        <w:t>t</w:t>
      </w:r>
      <w:r w:rsidR="00C86251" w:rsidRPr="00F26850">
        <w:rPr>
          <w:rFonts w:ascii="Book Antiqua" w:hAnsi="Book Antiqua" w:cs="Arial"/>
          <w:sz w:val="24"/>
          <w:szCs w:val="24"/>
        </w:rPr>
        <w:t>he judge stated that she did not consider that there were exceptional circumstances in the case</w:t>
      </w:r>
      <w:r w:rsidR="008343EE" w:rsidRPr="00F26850">
        <w:rPr>
          <w:rFonts w:ascii="Book Antiqua" w:hAnsi="Book Antiqua" w:cs="Arial"/>
          <w:sz w:val="24"/>
          <w:szCs w:val="24"/>
        </w:rPr>
        <w:t>,</w:t>
      </w:r>
      <w:r w:rsidR="00C86251" w:rsidRPr="00F26850">
        <w:rPr>
          <w:rFonts w:ascii="Book Antiqua" w:hAnsi="Book Antiqua" w:cs="Arial"/>
          <w:sz w:val="24"/>
          <w:szCs w:val="24"/>
        </w:rPr>
        <w:t xml:space="preserve"> </w:t>
      </w:r>
      <w:r w:rsidR="003D2DA7" w:rsidRPr="00F26850">
        <w:rPr>
          <w:rFonts w:ascii="Book Antiqua" w:hAnsi="Book Antiqua" w:cs="Arial"/>
          <w:sz w:val="24"/>
          <w:szCs w:val="24"/>
        </w:rPr>
        <w:t>and she</w:t>
      </w:r>
      <w:r w:rsidR="00C86251" w:rsidRPr="00F26850">
        <w:rPr>
          <w:rFonts w:ascii="Book Antiqua" w:hAnsi="Book Antiqua" w:cs="Arial"/>
          <w:sz w:val="24"/>
          <w:szCs w:val="24"/>
        </w:rPr>
        <w:t xml:space="preserve"> applied the wrong test and </w:t>
      </w:r>
      <w:r w:rsidR="00D341BE" w:rsidRPr="00F26850">
        <w:rPr>
          <w:rFonts w:ascii="Book Antiqua" w:hAnsi="Book Antiqua" w:cs="Arial"/>
          <w:sz w:val="24"/>
          <w:szCs w:val="24"/>
        </w:rPr>
        <w:t xml:space="preserve">not that of proportionality in line with the </w:t>
      </w:r>
      <w:r w:rsidR="00D219C0" w:rsidRPr="00F26850">
        <w:rPr>
          <w:rFonts w:ascii="Book Antiqua" w:hAnsi="Book Antiqua" w:cs="Arial"/>
          <w:sz w:val="24"/>
          <w:szCs w:val="24"/>
        </w:rPr>
        <w:t>‘</w:t>
      </w:r>
      <w:proofErr w:type="spellStart"/>
      <w:r w:rsidR="00D341BE" w:rsidRPr="00F26850">
        <w:rPr>
          <w:rFonts w:ascii="Book Antiqua" w:hAnsi="Book Antiqua" w:cs="Arial"/>
          <w:b/>
          <w:sz w:val="24"/>
          <w:szCs w:val="24"/>
          <w:u w:val="single"/>
        </w:rPr>
        <w:t>Razgar</w:t>
      </w:r>
      <w:proofErr w:type="spellEnd"/>
      <w:r w:rsidR="00D219C0" w:rsidRPr="00F26850">
        <w:rPr>
          <w:rFonts w:ascii="Book Antiqua" w:hAnsi="Book Antiqua" w:cs="Arial"/>
          <w:b/>
          <w:sz w:val="24"/>
          <w:szCs w:val="24"/>
          <w:u w:val="single"/>
        </w:rPr>
        <w:t>’</w:t>
      </w:r>
      <w:r w:rsidR="00D341BE" w:rsidRPr="00F26850">
        <w:rPr>
          <w:rFonts w:ascii="Book Antiqua" w:hAnsi="Book Antiqua" w:cs="Arial"/>
          <w:sz w:val="24"/>
          <w:szCs w:val="24"/>
        </w:rPr>
        <w:t xml:space="preserve"> approach </w:t>
      </w:r>
    </w:p>
    <w:p w14:paraId="350A66E8" w14:textId="024E8054" w:rsidR="00D341BE" w:rsidRPr="00F26850" w:rsidRDefault="0010482B" w:rsidP="0046558C">
      <w:pPr>
        <w:pStyle w:val="ListParagraph"/>
        <w:numPr>
          <w:ilvl w:val="5"/>
          <w:numId w:val="1"/>
        </w:numPr>
        <w:spacing w:before="120" w:after="120" w:line="240" w:lineRule="auto"/>
        <w:ind w:left="1134"/>
        <w:contextualSpacing w:val="0"/>
        <w:jc w:val="both"/>
        <w:rPr>
          <w:rFonts w:ascii="Book Antiqua" w:hAnsi="Book Antiqua" w:cs="Arial"/>
          <w:sz w:val="24"/>
          <w:szCs w:val="24"/>
        </w:rPr>
      </w:pPr>
      <w:r w:rsidRPr="00F26850">
        <w:rPr>
          <w:rFonts w:ascii="Book Antiqua" w:hAnsi="Book Antiqua" w:cs="Arial"/>
          <w:sz w:val="24"/>
          <w:szCs w:val="24"/>
        </w:rPr>
        <w:lastRenderedPageBreak/>
        <w:t>g</w:t>
      </w:r>
      <w:r w:rsidR="002A710C" w:rsidRPr="00F26850">
        <w:rPr>
          <w:rFonts w:ascii="Book Antiqua" w:hAnsi="Book Antiqua" w:cs="Arial"/>
          <w:sz w:val="24"/>
          <w:szCs w:val="24"/>
        </w:rPr>
        <w:t>iven the appellant’s education and employment in his contribution to the United Kingdom the judge failed to have regard to the positive benefits of the appellant’s presen</w:t>
      </w:r>
      <w:r w:rsidR="008343EE" w:rsidRPr="00F26850">
        <w:rPr>
          <w:rFonts w:ascii="Book Antiqua" w:hAnsi="Book Antiqua" w:cs="Arial"/>
          <w:sz w:val="24"/>
          <w:szCs w:val="24"/>
        </w:rPr>
        <w:t>ce</w:t>
      </w:r>
      <w:r w:rsidR="002A710C" w:rsidRPr="00F26850">
        <w:rPr>
          <w:rFonts w:ascii="Book Antiqua" w:hAnsi="Book Antiqua" w:cs="Arial"/>
          <w:sz w:val="24"/>
          <w:szCs w:val="24"/>
        </w:rPr>
        <w:t xml:space="preserve"> in the UK in accordance with paragraph 35 of </w:t>
      </w:r>
      <w:r w:rsidR="002A710C" w:rsidRPr="00F26850">
        <w:rPr>
          <w:rFonts w:ascii="Book Antiqua" w:hAnsi="Book Antiqua" w:cs="Arial"/>
          <w:b/>
          <w:sz w:val="24"/>
          <w:szCs w:val="24"/>
          <w:u w:val="single"/>
        </w:rPr>
        <w:t xml:space="preserve">UE </w:t>
      </w:r>
      <w:r w:rsidR="00424A7E" w:rsidRPr="00F26850">
        <w:rPr>
          <w:rFonts w:ascii="Book Antiqua" w:hAnsi="Book Antiqua" w:cs="Arial"/>
          <w:b/>
          <w:sz w:val="24"/>
          <w:szCs w:val="24"/>
          <w:u w:val="single"/>
        </w:rPr>
        <w:t>(</w:t>
      </w:r>
      <w:r w:rsidR="002A710C" w:rsidRPr="00F26850">
        <w:rPr>
          <w:rFonts w:ascii="Book Antiqua" w:hAnsi="Book Antiqua" w:cs="Arial"/>
          <w:b/>
          <w:sz w:val="24"/>
          <w:szCs w:val="24"/>
          <w:u w:val="single"/>
        </w:rPr>
        <w:t>Nigeria</w:t>
      </w:r>
      <w:r w:rsidR="00424A7E" w:rsidRPr="00F26850">
        <w:rPr>
          <w:rFonts w:ascii="Book Antiqua" w:hAnsi="Book Antiqua" w:cs="Arial"/>
          <w:b/>
          <w:sz w:val="24"/>
          <w:szCs w:val="24"/>
          <w:u w:val="single"/>
        </w:rPr>
        <w:t>)</w:t>
      </w:r>
      <w:r w:rsidR="002A710C" w:rsidRPr="00F26850">
        <w:rPr>
          <w:rFonts w:ascii="Book Antiqua" w:hAnsi="Book Antiqua" w:cs="Arial"/>
          <w:b/>
          <w:sz w:val="24"/>
          <w:szCs w:val="24"/>
          <w:u w:val="single"/>
        </w:rPr>
        <w:t xml:space="preserve"> v SSHD</w:t>
      </w:r>
      <w:r w:rsidR="002A710C" w:rsidRPr="00F26850">
        <w:rPr>
          <w:rFonts w:ascii="Book Antiqua" w:hAnsi="Book Antiqua" w:cs="Arial"/>
          <w:sz w:val="24"/>
          <w:szCs w:val="24"/>
        </w:rPr>
        <w:t xml:space="preserve"> </w:t>
      </w:r>
      <w:r w:rsidR="00A3381D" w:rsidRPr="00F26850">
        <w:rPr>
          <w:rFonts w:ascii="Book Antiqua" w:hAnsi="Book Antiqua" w:cs="Arial"/>
          <w:sz w:val="24"/>
          <w:szCs w:val="24"/>
        </w:rPr>
        <w:t xml:space="preserve">[2010] EWCA </w:t>
      </w:r>
      <w:proofErr w:type="spellStart"/>
      <w:r w:rsidR="00A3381D" w:rsidRPr="00F26850">
        <w:rPr>
          <w:rFonts w:ascii="Book Antiqua" w:hAnsi="Book Antiqua" w:cs="Arial"/>
          <w:sz w:val="24"/>
          <w:szCs w:val="24"/>
        </w:rPr>
        <w:t>Civ</w:t>
      </w:r>
      <w:proofErr w:type="spellEnd"/>
      <w:r w:rsidR="00A3381D" w:rsidRPr="00F26850">
        <w:rPr>
          <w:rFonts w:ascii="Book Antiqua" w:hAnsi="Book Antiqua" w:cs="Arial"/>
          <w:sz w:val="24"/>
          <w:szCs w:val="24"/>
        </w:rPr>
        <w:t xml:space="preserve"> 975</w:t>
      </w:r>
    </w:p>
    <w:p w14:paraId="70E744D6" w14:textId="01E8F8D0" w:rsidR="00453294" w:rsidRPr="00F26850" w:rsidRDefault="0010482B" w:rsidP="00CC1D70">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T</w:t>
      </w:r>
      <w:r w:rsidR="00914DB2" w:rsidRPr="00F26850">
        <w:rPr>
          <w:rFonts w:ascii="Book Antiqua" w:hAnsi="Book Antiqua" w:cs="Arial"/>
          <w:sz w:val="24"/>
          <w:szCs w:val="24"/>
        </w:rPr>
        <w:t>he grant of permission was made on the following terms</w:t>
      </w:r>
    </w:p>
    <w:p w14:paraId="464A243A" w14:textId="4C2FA90F" w:rsidR="00914DB2" w:rsidRPr="00F26850" w:rsidRDefault="00914DB2" w:rsidP="0046558C">
      <w:pPr>
        <w:spacing w:before="120" w:after="0" w:line="240" w:lineRule="auto"/>
        <w:ind w:left="1134"/>
        <w:jc w:val="both"/>
        <w:rPr>
          <w:rFonts w:ascii="Book Antiqua" w:hAnsi="Book Antiqua" w:cs="Arial"/>
          <w:sz w:val="24"/>
          <w:szCs w:val="24"/>
        </w:rPr>
      </w:pPr>
      <w:r w:rsidRPr="00F26850">
        <w:rPr>
          <w:rFonts w:ascii="Book Antiqua" w:hAnsi="Book Antiqua" w:cs="Arial"/>
          <w:i/>
          <w:sz w:val="24"/>
          <w:szCs w:val="24"/>
        </w:rPr>
        <w:t xml:space="preserve">‘the scope of construction to be placed upon the relevant </w:t>
      </w:r>
      <w:r w:rsidR="0010482B" w:rsidRPr="00F26850">
        <w:rPr>
          <w:rFonts w:ascii="Book Antiqua" w:hAnsi="Book Antiqua" w:cs="Arial"/>
          <w:i/>
          <w:sz w:val="24"/>
          <w:szCs w:val="24"/>
        </w:rPr>
        <w:t>R</w:t>
      </w:r>
      <w:r w:rsidRPr="00F26850">
        <w:rPr>
          <w:rFonts w:ascii="Book Antiqua" w:hAnsi="Book Antiqua" w:cs="Arial"/>
          <w:i/>
          <w:sz w:val="24"/>
          <w:szCs w:val="24"/>
        </w:rPr>
        <w:t>ule arguably differs</w:t>
      </w:r>
      <w:r w:rsidR="0010482B" w:rsidRPr="00F26850">
        <w:rPr>
          <w:rFonts w:ascii="Book Antiqua" w:hAnsi="Book Antiqua" w:cs="Arial"/>
          <w:i/>
          <w:sz w:val="24"/>
          <w:szCs w:val="24"/>
        </w:rPr>
        <w:t xml:space="preserve"> or</w:t>
      </w:r>
      <w:r w:rsidRPr="00F26850">
        <w:rPr>
          <w:rFonts w:ascii="Book Antiqua" w:hAnsi="Book Antiqua" w:cs="Arial"/>
          <w:i/>
          <w:sz w:val="24"/>
          <w:szCs w:val="24"/>
        </w:rPr>
        <w:t xml:space="preserve"> further analysis was required by the judge taking into account the decision appearing at page 101 of the appellant’s bundle. The proportionality exercise</w:t>
      </w:r>
      <w:r w:rsidR="00C42535" w:rsidRPr="00F26850">
        <w:rPr>
          <w:rFonts w:ascii="Book Antiqua" w:hAnsi="Book Antiqua" w:cs="Arial"/>
          <w:i/>
          <w:sz w:val="24"/>
          <w:szCs w:val="24"/>
        </w:rPr>
        <w:t xml:space="preserve"> has arguably been affected by the weight attached to the factors to be evaluated in the context of the content of the </w:t>
      </w:r>
      <w:r w:rsidR="0010482B" w:rsidRPr="00F26850">
        <w:rPr>
          <w:rFonts w:ascii="Book Antiqua" w:hAnsi="Book Antiqua" w:cs="Arial"/>
          <w:i/>
          <w:sz w:val="24"/>
          <w:szCs w:val="24"/>
        </w:rPr>
        <w:t>R</w:t>
      </w:r>
      <w:r w:rsidR="00C42535" w:rsidRPr="00F26850">
        <w:rPr>
          <w:rFonts w:ascii="Book Antiqua" w:hAnsi="Book Antiqua" w:cs="Arial"/>
          <w:i/>
          <w:sz w:val="24"/>
          <w:szCs w:val="24"/>
        </w:rPr>
        <w:t>ule</w:t>
      </w:r>
      <w:r w:rsidR="0010482B" w:rsidRPr="00F26850">
        <w:rPr>
          <w:rFonts w:ascii="Book Antiqua" w:hAnsi="Book Antiqua" w:cs="Arial"/>
          <w:i/>
          <w:sz w:val="24"/>
          <w:szCs w:val="24"/>
        </w:rPr>
        <w:t xml:space="preserve"> and</w:t>
      </w:r>
      <w:r w:rsidR="00C42535" w:rsidRPr="00F26850">
        <w:rPr>
          <w:rFonts w:ascii="Book Antiqua" w:hAnsi="Book Antiqua" w:cs="Arial"/>
          <w:i/>
          <w:sz w:val="24"/>
          <w:szCs w:val="24"/>
        </w:rPr>
        <w:t xml:space="preserve"> the scope of its application to the circumstances of the appellant. The scope of the respondent’s guidance arguably falls to be interpreted differently in relation to the question of the scope of the rule</w:t>
      </w:r>
      <w:r w:rsidR="0010482B" w:rsidRPr="00F26850">
        <w:rPr>
          <w:rFonts w:ascii="Book Antiqua" w:hAnsi="Book Antiqua" w:cs="Arial"/>
          <w:i/>
          <w:sz w:val="24"/>
          <w:szCs w:val="24"/>
        </w:rPr>
        <w:t>’</w:t>
      </w:r>
      <w:r w:rsidR="00504063" w:rsidRPr="00F26850">
        <w:rPr>
          <w:rFonts w:ascii="Book Antiqua" w:hAnsi="Book Antiqua" w:cs="Arial"/>
          <w:sz w:val="24"/>
          <w:szCs w:val="24"/>
        </w:rPr>
        <w:t>.</w:t>
      </w:r>
    </w:p>
    <w:p w14:paraId="16CC8586" w14:textId="77777777" w:rsidR="00CC1D70" w:rsidRPr="00F26850" w:rsidRDefault="00CC1D70" w:rsidP="00CC1D70">
      <w:pPr>
        <w:spacing w:before="240"/>
        <w:jc w:val="both"/>
        <w:rPr>
          <w:rFonts w:ascii="Book Antiqua" w:hAnsi="Book Antiqua" w:cs="Arial"/>
          <w:sz w:val="24"/>
          <w:szCs w:val="24"/>
        </w:rPr>
      </w:pPr>
      <w:r w:rsidRPr="00F26850">
        <w:rPr>
          <w:rFonts w:ascii="Book Antiqua" w:hAnsi="Book Antiqua" w:cs="Arial"/>
          <w:b/>
          <w:sz w:val="24"/>
          <w:szCs w:val="24"/>
          <w:u w:val="single"/>
        </w:rPr>
        <w:t>Conclusions</w:t>
      </w:r>
    </w:p>
    <w:p w14:paraId="61DC5953" w14:textId="5B0F8D8F" w:rsidR="004A2B96" w:rsidRPr="00F26850" w:rsidRDefault="008031C2" w:rsidP="004A3781">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sz w:val="24"/>
          <w:szCs w:val="24"/>
        </w:rPr>
        <w:t>Neither of the cases relied on in the submissions</w:t>
      </w:r>
      <w:r w:rsidR="00303ED7" w:rsidRPr="00F26850">
        <w:rPr>
          <w:rFonts w:ascii="Book Antiqua" w:hAnsi="Book Antiqua"/>
          <w:sz w:val="24"/>
          <w:szCs w:val="24"/>
        </w:rPr>
        <w:t xml:space="preserve"> to the First-tier </w:t>
      </w:r>
      <w:r w:rsidR="00E31F74" w:rsidRPr="00F26850">
        <w:rPr>
          <w:rFonts w:ascii="Book Antiqua" w:hAnsi="Book Antiqua"/>
          <w:sz w:val="24"/>
          <w:szCs w:val="24"/>
        </w:rPr>
        <w:t>T</w:t>
      </w:r>
      <w:r w:rsidR="00303ED7" w:rsidRPr="00F26850">
        <w:rPr>
          <w:rFonts w:ascii="Book Antiqua" w:hAnsi="Book Antiqua"/>
          <w:sz w:val="24"/>
          <w:szCs w:val="24"/>
        </w:rPr>
        <w:t>ribunal</w:t>
      </w:r>
      <w:r w:rsidRPr="00F26850">
        <w:rPr>
          <w:rFonts w:ascii="Book Antiqua" w:hAnsi="Book Antiqua"/>
          <w:sz w:val="24"/>
          <w:szCs w:val="24"/>
        </w:rPr>
        <w:t xml:space="preserve"> were </w:t>
      </w:r>
      <w:r w:rsidR="00477AD4" w:rsidRPr="00F26850">
        <w:rPr>
          <w:rFonts w:ascii="Book Antiqua" w:hAnsi="Book Antiqua"/>
          <w:sz w:val="24"/>
          <w:szCs w:val="24"/>
        </w:rPr>
        <w:t>reported decisions</w:t>
      </w:r>
      <w:r w:rsidR="00032E90" w:rsidRPr="00F26850">
        <w:rPr>
          <w:rFonts w:ascii="Book Antiqua" w:hAnsi="Book Antiqua"/>
          <w:sz w:val="24"/>
          <w:szCs w:val="24"/>
        </w:rPr>
        <w:t xml:space="preserve">. </w:t>
      </w:r>
    </w:p>
    <w:p w14:paraId="00627B3E" w14:textId="5D5BC2F5" w:rsidR="003959B5" w:rsidRPr="00F26850" w:rsidRDefault="00032E90" w:rsidP="00CC1D70">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sz w:val="24"/>
          <w:szCs w:val="24"/>
        </w:rPr>
        <w:t xml:space="preserve">The </w:t>
      </w:r>
      <w:r w:rsidR="00477AD4" w:rsidRPr="00F26850">
        <w:rPr>
          <w:rFonts w:ascii="Book Antiqua" w:hAnsi="Book Antiqua"/>
          <w:sz w:val="24"/>
          <w:szCs w:val="24"/>
        </w:rPr>
        <w:t xml:space="preserve">Practice Directions </w:t>
      </w:r>
      <w:r w:rsidR="00435E3D" w:rsidRPr="00F26850">
        <w:rPr>
          <w:rFonts w:ascii="Book Antiqua" w:hAnsi="Book Antiqua"/>
          <w:sz w:val="24"/>
          <w:szCs w:val="24"/>
        </w:rPr>
        <w:t xml:space="preserve">for the </w:t>
      </w:r>
      <w:r w:rsidR="00CD708B" w:rsidRPr="00F26850">
        <w:rPr>
          <w:rFonts w:ascii="Book Antiqua" w:hAnsi="Book Antiqua"/>
          <w:sz w:val="24"/>
          <w:szCs w:val="24"/>
        </w:rPr>
        <w:t>Immigration</w:t>
      </w:r>
      <w:r w:rsidR="00435E3D" w:rsidRPr="00F26850">
        <w:rPr>
          <w:rFonts w:ascii="Book Antiqua" w:hAnsi="Book Antiqua"/>
          <w:sz w:val="24"/>
          <w:szCs w:val="24"/>
        </w:rPr>
        <w:t xml:space="preserve"> and Asylum Chambers of the First-tier Tribunal and the Upper Tribunal</w:t>
      </w:r>
      <w:r w:rsidR="00B848E7" w:rsidRPr="00F26850">
        <w:rPr>
          <w:rFonts w:ascii="Book Antiqua" w:hAnsi="Book Antiqua"/>
          <w:sz w:val="24"/>
          <w:szCs w:val="24"/>
        </w:rPr>
        <w:t xml:space="preserve"> (as amended 2014) </w:t>
      </w:r>
      <w:r w:rsidR="00435E3D" w:rsidRPr="00F26850">
        <w:rPr>
          <w:rFonts w:ascii="Book Antiqua" w:hAnsi="Book Antiqua"/>
          <w:sz w:val="24"/>
          <w:szCs w:val="24"/>
        </w:rPr>
        <w:t>at</w:t>
      </w:r>
      <w:r w:rsidR="003959B5" w:rsidRPr="00F26850">
        <w:rPr>
          <w:rFonts w:ascii="Book Antiqua" w:hAnsi="Book Antiqua"/>
          <w:sz w:val="24"/>
          <w:szCs w:val="24"/>
        </w:rPr>
        <w:t xml:space="preserve"> paragraph 11 set out the following g</w:t>
      </w:r>
      <w:r w:rsidR="005C75DE" w:rsidRPr="00F26850">
        <w:rPr>
          <w:rFonts w:ascii="Book Antiqua" w:hAnsi="Book Antiqua"/>
          <w:sz w:val="24"/>
          <w:szCs w:val="24"/>
        </w:rPr>
        <w:t>uidance</w:t>
      </w:r>
      <w:r w:rsidRPr="00F26850">
        <w:rPr>
          <w:rFonts w:ascii="Book Antiqua" w:hAnsi="Book Antiqua"/>
          <w:sz w:val="24"/>
          <w:szCs w:val="24"/>
        </w:rPr>
        <w:t>:</w:t>
      </w:r>
    </w:p>
    <w:p w14:paraId="4280C973" w14:textId="76421131" w:rsidR="003959B5" w:rsidRPr="00F26850" w:rsidRDefault="003959B5" w:rsidP="0046558C">
      <w:pPr>
        <w:spacing w:before="120" w:after="0" w:line="240" w:lineRule="auto"/>
        <w:ind w:left="567"/>
        <w:jc w:val="both"/>
        <w:rPr>
          <w:rFonts w:ascii="Book Antiqua" w:hAnsi="Book Antiqua"/>
          <w:i/>
          <w:sz w:val="24"/>
          <w:szCs w:val="24"/>
        </w:rPr>
      </w:pPr>
      <w:r w:rsidRPr="00F26850">
        <w:rPr>
          <w:rFonts w:ascii="Book Antiqua" w:hAnsi="Book Antiqua"/>
          <w:i/>
          <w:sz w:val="24"/>
          <w:szCs w:val="24"/>
        </w:rPr>
        <w:t xml:space="preserve">11 Citation of unreported determinations </w:t>
      </w:r>
    </w:p>
    <w:p w14:paraId="2EDE0F22" w14:textId="56C9C21B" w:rsidR="003959B5" w:rsidRPr="00F26850" w:rsidRDefault="003959B5" w:rsidP="0046558C">
      <w:pPr>
        <w:spacing w:before="120" w:after="0" w:line="240" w:lineRule="auto"/>
        <w:ind w:left="1134"/>
        <w:jc w:val="both"/>
        <w:rPr>
          <w:rFonts w:ascii="Book Antiqua" w:hAnsi="Book Antiqua"/>
          <w:i/>
          <w:sz w:val="24"/>
          <w:szCs w:val="24"/>
          <w:u w:val="single"/>
        </w:rPr>
      </w:pPr>
      <w:r w:rsidRPr="00F26850">
        <w:rPr>
          <w:rFonts w:ascii="Book Antiqua" w:hAnsi="Book Antiqua"/>
          <w:i/>
          <w:sz w:val="24"/>
          <w:szCs w:val="24"/>
        </w:rPr>
        <w:t xml:space="preserve">11.1 A determination of the Tribunal which has not been reported </w:t>
      </w:r>
      <w:r w:rsidRPr="00F26850">
        <w:rPr>
          <w:rFonts w:ascii="Book Antiqua" w:hAnsi="Book Antiqua"/>
          <w:i/>
          <w:sz w:val="24"/>
          <w:szCs w:val="24"/>
          <w:u w:val="single"/>
        </w:rPr>
        <w:t xml:space="preserve">may not be cited in proceedings before the Tribunal </w:t>
      </w:r>
      <w:r w:rsidR="00DD7A15" w:rsidRPr="00F26850">
        <w:rPr>
          <w:rFonts w:ascii="Book Antiqua" w:hAnsi="Book Antiqua"/>
          <w:i/>
          <w:sz w:val="24"/>
          <w:szCs w:val="24"/>
          <w:u w:val="single"/>
        </w:rPr>
        <w:t>unless: -</w:t>
      </w:r>
      <w:r w:rsidRPr="00F26850">
        <w:rPr>
          <w:rFonts w:ascii="Book Antiqua" w:hAnsi="Book Antiqua"/>
          <w:i/>
          <w:sz w:val="24"/>
          <w:szCs w:val="24"/>
          <w:u w:val="single"/>
        </w:rPr>
        <w:t xml:space="preserve"> </w:t>
      </w:r>
    </w:p>
    <w:p w14:paraId="17F74D4B" w14:textId="77777777" w:rsidR="003959B5" w:rsidRPr="00F26850" w:rsidRDefault="003959B5" w:rsidP="0046558C">
      <w:pPr>
        <w:spacing w:before="120" w:after="0" w:line="240" w:lineRule="auto"/>
        <w:ind w:left="1701"/>
        <w:jc w:val="both"/>
        <w:rPr>
          <w:rFonts w:ascii="Book Antiqua" w:hAnsi="Book Antiqua"/>
          <w:i/>
          <w:sz w:val="24"/>
          <w:szCs w:val="24"/>
        </w:rPr>
      </w:pPr>
      <w:r w:rsidRPr="00F26850">
        <w:rPr>
          <w:rFonts w:ascii="Book Antiqua" w:hAnsi="Book Antiqua"/>
          <w:i/>
          <w:sz w:val="24"/>
          <w:szCs w:val="24"/>
        </w:rPr>
        <w:t xml:space="preserve">(a) the person who is or was the appellant before the First-tier Tribunal, or a member of that person’s family, was a party to the proceedings in which the previous determination was issued; or </w:t>
      </w:r>
    </w:p>
    <w:p w14:paraId="57993A39" w14:textId="1D58D61F" w:rsidR="003959B5" w:rsidRPr="00F26850" w:rsidRDefault="003959B5" w:rsidP="0046558C">
      <w:pPr>
        <w:spacing w:before="120" w:after="0" w:line="240" w:lineRule="auto"/>
        <w:ind w:left="1701"/>
        <w:jc w:val="both"/>
        <w:rPr>
          <w:rFonts w:ascii="Book Antiqua" w:hAnsi="Book Antiqua"/>
          <w:i/>
          <w:sz w:val="24"/>
          <w:szCs w:val="24"/>
        </w:rPr>
      </w:pPr>
      <w:r w:rsidRPr="00F26850">
        <w:rPr>
          <w:rFonts w:ascii="Book Antiqua" w:hAnsi="Book Antiqua"/>
          <w:i/>
          <w:sz w:val="24"/>
          <w:szCs w:val="24"/>
        </w:rPr>
        <w:t xml:space="preserve">(b) the Tribunal gives permission. </w:t>
      </w:r>
    </w:p>
    <w:p w14:paraId="4F3843FE" w14:textId="6F041CD9" w:rsidR="003959B5" w:rsidRPr="00F26850" w:rsidRDefault="003959B5" w:rsidP="0046558C">
      <w:pPr>
        <w:spacing w:before="120" w:after="0" w:line="240" w:lineRule="auto"/>
        <w:ind w:left="1134"/>
        <w:jc w:val="both"/>
        <w:rPr>
          <w:rFonts w:ascii="Book Antiqua" w:hAnsi="Book Antiqua"/>
          <w:i/>
          <w:sz w:val="24"/>
          <w:szCs w:val="24"/>
        </w:rPr>
      </w:pPr>
      <w:r w:rsidRPr="00F26850">
        <w:rPr>
          <w:rFonts w:ascii="Book Antiqua" w:hAnsi="Book Antiqua"/>
          <w:i/>
          <w:sz w:val="24"/>
          <w:szCs w:val="24"/>
        </w:rPr>
        <w:t xml:space="preserve">11.2 An application for permission to cite a determination which has not been reported </w:t>
      </w:r>
      <w:r w:rsidR="00DD7A15" w:rsidRPr="00F26850">
        <w:rPr>
          <w:rFonts w:ascii="Book Antiqua" w:hAnsi="Book Antiqua"/>
          <w:i/>
          <w:sz w:val="24"/>
          <w:szCs w:val="24"/>
        </w:rPr>
        <w:t>must: -</w:t>
      </w:r>
      <w:r w:rsidRPr="00F26850">
        <w:rPr>
          <w:rFonts w:ascii="Book Antiqua" w:hAnsi="Book Antiqua"/>
          <w:i/>
          <w:sz w:val="24"/>
          <w:szCs w:val="24"/>
        </w:rPr>
        <w:t xml:space="preserve"> </w:t>
      </w:r>
    </w:p>
    <w:p w14:paraId="44CD48C2" w14:textId="7C6EFEC9" w:rsidR="003959B5" w:rsidRPr="00F26850" w:rsidRDefault="003959B5" w:rsidP="0046558C">
      <w:pPr>
        <w:spacing w:before="120" w:after="0" w:line="240" w:lineRule="auto"/>
        <w:ind w:left="1701"/>
        <w:jc w:val="both"/>
        <w:rPr>
          <w:rFonts w:ascii="Book Antiqua" w:hAnsi="Book Antiqua"/>
          <w:i/>
          <w:sz w:val="24"/>
          <w:szCs w:val="24"/>
        </w:rPr>
      </w:pPr>
      <w:r w:rsidRPr="00F26850">
        <w:rPr>
          <w:rFonts w:ascii="Book Antiqua" w:hAnsi="Book Antiqua"/>
          <w:i/>
          <w:sz w:val="24"/>
          <w:szCs w:val="24"/>
        </w:rPr>
        <w:t>(a) include a full transcript of the determination;</w:t>
      </w:r>
    </w:p>
    <w:p w14:paraId="7F4966BB" w14:textId="1CBEAEB5" w:rsidR="003959B5" w:rsidRPr="00F26850" w:rsidRDefault="003959B5" w:rsidP="0046558C">
      <w:pPr>
        <w:spacing w:before="120" w:after="0" w:line="240" w:lineRule="auto"/>
        <w:ind w:left="1701"/>
        <w:jc w:val="both"/>
        <w:rPr>
          <w:rFonts w:ascii="Book Antiqua" w:hAnsi="Book Antiqua"/>
          <w:i/>
          <w:sz w:val="24"/>
          <w:szCs w:val="24"/>
        </w:rPr>
      </w:pPr>
      <w:r w:rsidRPr="00F26850">
        <w:rPr>
          <w:rFonts w:ascii="Book Antiqua" w:hAnsi="Book Antiqua"/>
          <w:i/>
          <w:sz w:val="24"/>
          <w:szCs w:val="24"/>
        </w:rPr>
        <w:t>(b) identify the proposition for which the determination is to be cited;</w:t>
      </w:r>
      <w:r w:rsidR="0046558C">
        <w:rPr>
          <w:rFonts w:ascii="Book Antiqua" w:hAnsi="Book Antiqua"/>
          <w:i/>
          <w:sz w:val="24"/>
          <w:szCs w:val="24"/>
        </w:rPr>
        <w:t xml:space="preserve"> </w:t>
      </w:r>
      <w:r w:rsidRPr="00F26850">
        <w:rPr>
          <w:rFonts w:ascii="Book Antiqua" w:hAnsi="Book Antiqua"/>
          <w:i/>
          <w:sz w:val="24"/>
          <w:szCs w:val="24"/>
        </w:rPr>
        <w:t xml:space="preserve">and </w:t>
      </w:r>
    </w:p>
    <w:p w14:paraId="4945660D" w14:textId="12CCC764" w:rsidR="003959B5" w:rsidRPr="00F26850" w:rsidRDefault="003959B5" w:rsidP="0046558C">
      <w:pPr>
        <w:spacing w:before="120" w:after="0" w:line="240" w:lineRule="auto"/>
        <w:ind w:left="1701"/>
        <w:jc w:val="both"/>
        <w:rPr>
          <w:rFonts w:ascii="Book Antiqua" w:hAnsi="Book Antiqua"/>
          <w:i/>
          <w:sz w:val="24"/>
          <w:szCs w:val="24"/>
        </w:rPr>
      </w:pPr>
      <w:r w:rsidRPr="00F26850">
        <w:rPr>
          <w:rFonts w:ascii="Book Antiqua" w:hAnsi="Book Antiqua"/>
          <w:i/>
          <w:sz w:val="24"/>
          <w:szCs w:val="24"/>
        </w:rPr>
        <w:t xml:space="preserve">(c) certify that the proposition is not to be found in any reported determination of the Tribunal, the IAT or the AIT and had not been superseded by the decision of a higher authority. </w:t>
      </w:r>
    </w:p>
    <w:p w14:paraId="7E50C698" w14:textId="1C233621" w:rsidR="003959B5" w:rsidRPr="00F26850" w:rsidRDefault="003959B5" w:rsidP="0046558C">
      <w:pPr>
        <w:spacing w:before="120" w:after="0" w:line="240" w:lineRule="auto"/>
        <w:ind w:left="1134"/>
        <w:jc w:val="both"/>
        <w:rPr>
          <w:rFonts w:ascii="Book Antiqua" w:hAnsi="Book Antiqua"/>
          <w:i/>
          <w:sz w:val="24"/>
          <w:szCs w:val="24"/>
        </w:rPr>
      </w:pPr>
      <w:r w:rsidRPr="00F26850">
        <w:rPr>
          <w:rFonts w:ascii="Book Antiqua" w:hAnsi="Book Antiqua"/>
          <w:i/>
          <w:sz w:val="24"/>
          <w:szCs w:val="24"/>
        </w:rPr>
        <w:t xml:space="preserve">11.3 Permission under paragraph 11.1 will be given only where the Tribunal considers that </w:t>
      </w:r>
      <w:r w:rsidRPr="00F26850">
        <w:rPr>
          <w:rFonts w:ascii="Book Antiqua" w:hAnsi="Book Antiqua"/>
          <w:i/>
          <w:sz w:val="24"/>
          <w:szCs w:val="24"/>
          <w:u w:val="single"/>
        </w:rPr>
        <w:t>it would be materially assisted by citation of the determination</w:t>
      </w:r>
      <w:r w:rsidRPr="00F26850">
        <w:rPr>
          <w:rFonts w:ascii="Book Antiqua" w:hAnsi="Book Antiqua"/>
          <w:i/>
          <w:sz w:val="24"/>
          <w:szCs w:val="24"/>
        </w:rPr>
        <w:t xml:space="preserve">, as distinct from the adoption in argument of the reasoning to be found in the determination.  Such instances are likely to be rare; in particular, in the case of determinations which were unreportable (see </w:t>
      </w:r>
      <w:r w:rsidRPr="00F26850">
        <w:rPr>
          <w:rFonts w:ascii="Book Antiqua" w:hAnsi="Book Antiqua"/>
          <w:i/>
          <w:sz w:val="24"/>
          <w:szCs w:val="24"/>
        </w:rPr>
        <w:lastRenderedPageBreak/>
        <w:t xml:space="preserve">Practice Statement 11 (reporting of determinations)).  It should be emphasised that the Tribunal will not exclude good arguments from consideration but it will be rare for such an argument to be capable of being made only by reference to an unreported determination. </w:t>
      </w:r>
    </w:p>
    <w:p w14:paraId="50FA9980" w14:textId="5F42282B" w:rsidR="003959B5" w:rsidRPr="00F26850" w:rsidRDefault="003959B5" w:rsidP="0046558C">
      <w:pPr>
        <w:spacing w:before="120" w:after="0" w:line="240" w:lineRule="auto"/>
        <w:ind w:left="1134"/>
        <w:jc w:val="both"/>
        <w:rPr>
          <w:rFonts w:ascii="Book Antiqua" w:hAnsi="Book Antiqua"/>
          <w:i/>
          <w:sz w:val="24"/>
          <w:szCs w:val="24"/>
        </w:rPr>
      </w:pPr>
      <w:r w:rsidRPr="00F26850">
        <w:rPr>
          <w:rFonts w:ascii="Book Antiqua" w:hAnsi="Book Antiqua"/>
          <w:i/>
          <w:sz w:val="24"/>
          <w:szCs w:val="24"/>
        </w:rPr>
        <w:t xml:space="preserve">11.4 The provisions of paragraph 11.1 to 11.3 apply to unreported and unreportable determinations of the AIT, the IAT and adjudicators, as those provisions apply respectively to unreported and unreportable determinations of the Tribunal. </w:t>
      </w:r>
    </w:p>
    <w:p w14:paraId="75AF63C2" w14:textId="6AD78A7D" w:rsidR="003959B5" w:rsidRPr="00F26850" w:rsidRDefault="003959B5" w:rsidP="0046558C">
      <w:pPr>
        <w:spacing w:before="120" w:after="0" w:line="240" w:lineRule="auto"/>
        <w:ind w:left="1134"/>
        <w:jc w:val="both"/>
        <w:rPr>
          <w:rFonts w:ascii="Book Antiqua" w:hAnsi="Book Antiqua"/>
          <w:i/>
          <w:sz w:val="24"/>
          <w:szCs w:val="24"/>
        </w:rPr>
      </w:pPr>
      <w:r w:rsidRPr="00F26850">
        <w:rPr>
          <w:rFonts w:ascii="Book Antiqua" w:hAnsi="Book Antiqua"/>
          <w:i/>
          <w:sz w:val="24"/>
          <w:szCs w:val="24"/>
        </w:rPr>
        <w:t xml:space="preserve">11.5 A party citing a determination of the IAT bearing a neutral citation number prior to [2003] (including all series of “bracket numbers”) must be in a position to certify that the matter or proposition for which the determination is cited has not been the subject of more recent, reported, determinations of the IAT, the AIT or the Tribunal. </w:t>
      </w:r>
    </w:p>
    <w:p w14:paraId="41BA8DAD" w14:textId="736269D9" w:rsidR="009F508A" w:rsidRPr="00F26850" w:rsidRDefault="003959B5" w:rsidP="0046558C">
      <w:pPr>
        <w:spacing w:before="120" w:after="0" w:line="240" w:lineRule="auto"/>
        <w:ind w:left="1134"/>
        <w:jc w:val="both"/>
        <w:rPr>
          <w:rFonts w:ascii="Book Antiqua" w:hAnsi="Book Antiqua"/>
          <w:i/>
          <w:sz w:val="24"/>
          <w:szCs w:val="24"/>
        </w:rPr>
      </w:pPr>
      <w:r w:rsidRPr="00F26850">
        <w:rPr>
          <w:rFonts w:ascii="Book Antiqua" w:hAnsi="Book Antiqua"/>
          <w:i/>
          <w:sz w:val="24"/>
          <w:szCs w:val="24"/>
        </w:rPr>
        <w:t>11.6 In this Practice Direction and Practice Direction 12, “determination” includes any decision of the AIT or the Tribunal.</w:t>
      </w:r>
      <w:r w:rsidR="00435E3D" w:rsidRPr="00F26850">
        <w:rPr>
          <w:rFonts w:ascii="Book Antiqua" w:hAnsi="Book Antiqua"/>
          <w:i/>
          <w:sz w:val="24"/>
          <w:szCs w:val="24"/>
        </w:rPr>
        <w:t xml:space="preserve"> </w:t>
      </w:r>
    </w:p>
    <w:p w14:paraId="2C6FC820" w14:textId="4F74A1CE" w:rsidR="00E710EF" w:rsidRPr="00F26850" w:rsidRDefault="00E54204" w:rsidP="00E710EF">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It is not clear that the Tribunal gave </w:t>
      </w:r>
      <w:r w:rsidR="008E4DB3" w:rsidRPr="00F26850">
        <w:rPr>
          <w:rFonts w:ascii="Book Antiqua" w:hAnsi="Book Antiqua" w:cs="Arial"/>
          <w:sz w:val="24"/>
          <w:szCs w:val="24"/>
        </w:rPr>
        <w:t xml:space="preserve">specific permission to the </w:t>
      </w:r>
      <w:r w:rsidR="00B06846" w:rsidRPr="00F26850">
        <w:rPr>
          <w:rFonts w:ascii="Book Antiqua" w:hAnsi="Book Antiqua" w:cs="Arial"/>
          <w:sz w:val="24"/>
          <w:szCs w:val="24"/>
        </w:rPr>
        <w:t xml:space="preserve">citation </w:t>
      </w:r>
      <w:r w:rsidR="00631733" w:rsidRPr="00F26850">
        <w:rPr>
          <w:rFonts w:ascii="Book Antiqua" w:hAnsi="Book Antiqua" w:cs="Arial"/>
          <w:sz w:val="24"/>
          <w:szCs w:val="24"/>
        </w:rPr>
        <w:t>of the unreported decisions and if so the first ground of complaint does not assist the appellant.</w:t>
      </w:r>
      <w:r w:rsidR="00E710EF" w:rsidRPr="00F26850">
        <w:rPr>
          <w:rFonts w:ascii="Book Antiqua" w:hAnsi="Book Antiqua" w:cs="Arial"/>
          <w:sz w:val="24"/>
          <w:szCs w:val="24"/>
        </w:rPr>
        <w:t xml:space="preserve"> </w:t>
      </w:r>
      <w:r w:rsidR="00E710EF" w:rsidRPr="00F26850">
        <w:rPr>
          <w:rFonts w:ascii="Book Antiqua" w:hAnsi="Book Antiqua"/>
          <w:b/>
          <w:sz w:val="24"/>
          <w:szCs w:val="24"/>
          <w:u w:val="single"/>
        </w:rPr>
        <w:t>AD (reporting criteria – unreported cases) Somalia</w:t>
      </w:r>
      <w:r w:rsidR="00E710EF" w:rsidRPr="00F26850">
        <w:rPr>
          <w:rFonts w:ascii="Book Antiqua" w:hAnsi="Book Antiqua"/>
          <w:sz w:val="24"/>
          <w:szCs w:val="24"/>
        </w:rPr>
        <w:t xml:space="preserve"> </w:t>
      </w:r>
      <w:hyperlink r:id="rId8" w:history="1">
        <w:r w:rsidR="00E710EF" w:rsidRPr="0046558C">
          <w:rPr>
            <w:rStyle w:val="Hyperlink"/>
            <w:rFonts w:ascii="Book Antiqua" w:hAnsi="Book Antiqua"/>
            <w:color w:val="auto"/>
            <w:sz w:val="24"/>
            <w:szCs w:val="24"/>
            <w:u w:val="none"/>
          </w:rPr>
          <w:t>[2011] UKUT 00189</w:t>
        </w:r>
      </w:hyperlink>
      <w:r w:rsidR="0046558C" w:rsidRPr="0046558C">
        <w:rPr>
          <w:rStyle w:val="Hyperlink"/>
          <w:rFonts w:ascii="Book Antiqua" w:hAnsi="Book Antiqua"/>
          <w:color w:val="auto"/>
          <w:sz w:val="24"/>
          <w:szCs w:val="24"/>
          <w:u w:val="none"/>
        </w:rPr>
        <w:t xml:space="preserve"> </w:t>
      </w:r>
      <w:r w:rsidR="00E710EF" w:rsidRPr="00F26850">
        <w:rPr>
          <w:rFonts w:ascii="Book Antiqua" w:hAnsi="Book Antiqua"/>
          <w:sz w:val="24"/>
          <w:szCs w:val="24"/>
        </w:rPr>
        <w:t>(IAC) confirmed that it was likely to be rare that an unreported</w:t>
      </w:r>
      <w:r w:rsidR="002634D7" w:rsidRPr="00F26850">
        <w:rPr>
          <w:rFonts w:ascii="Book Antiqua" w:hAnsi="Book Antiqua"/>
          <w:sz w:val="24"/>
          <w:szCs w:val="24"/>
        </w:rPr>
        <w:t xml:space="preserve"> decision would offer significant assistance as guidance to judges in other cases.</w:t>
      </w:r>
      <w:r w:rsidR="00DC66EF" w:rsidRPr="00F26850">
        <w:rPr>
          <w:rFonts w:ascii="Book Antiqua" w:hAnsi="Book Antiqua"/>
          <w:sz w:val="24"/>
          <w:szCs w:val="24"/>
        </w:rPr>
        <w:t xml:space="preserve"> Evidently the judge did not consider that she would be materially assisted by those unreported cases</w:t>
      </w:r>
      <w:r w:rsidR="0010109D" w:rsidRPr="00F26850">
        <w:rPr>
          <w:rFonts w:ascii="Book Antiqua" w:hAnsi="Book Antiqua"/>
          <w:sz w:val="24"/>
          <w:szCs w:val="24"/>
        </w:rPr>
        <w:t>.</w:t>
      </w:r>
    </w:p>
    <w:p w14:paraId="614B7450" w14:textId="77777777" w:rsidR="00015218" w:rsidRDefault="00631733" w:rsidP="00A268C1">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That said, </w:t>
      </w:r>
      <w:r w:rsidR="003676EF" w:rsidRPr="00F26850">
        <w:rPr>
          <w:rFonts w:ascii="Book Antiqua" w:hAnsi="Book Antiqua" w:cs="Arial"/>
          <w:sz w:val="24"/>
          <w:szCs w:val="24"/>
        </w:rPr>
        <w:t xml:space="preserve">it is argued that </w:t>
      </w:r>
      <w:r w:rsidR="001B0F3A" w:rsidRPr="00F26850">
        <w:rPr>
          <w:rFonts w:ascii="Book Antiqua" w:hAnsi="Book Antiqua" w:cs="Arial"/>
          <w:sz w:val="24"/>
          <w:szCs w:val="24"/>
        </w:rPr>
        <w:t>separate</w:t>
      </w:r>
      <w:r w:rsidRPr="00F26850">
        <w:rPr>
          <w:rFonts w:ascii="Book Antiqua" w:hAnsi="Book Antiqua" w:cs="Arial"/>
          <w:sz w:val="24"/>
          <w:szCs w:val="24"/>
        </w:rPr>
        <w:t xml:space="preserve"> an</w:t>
      </w:r>
      <w:r w:rsidR="00472899" w:rsidRPr="00F26850">
        <w:rPr>
          <w:rFonts w:ascii="Book Antiqua" w:hAnsi="Book Antiqua" w:cs="Arial"/>
          <w:sz w:val="24"/>
          <w:szCs w:val="24"/>
        </w:rPr>
        <w:t>d</w:t>
      </w:r>
      <w:r w:rsidRPr="00F26850">
        <w:rPr>
          <w:rFonts w:ascii="Book Antiqua" w:hAnsi="Book Antiqua" w:cs="Arial"/>
          <w:sz w:val="24"/>
          <w:szCs w:val="24"/>
        </w:rPr>
        <w:t xml:space="preserve"> extensive submissions were made on the point regarding the construction of the </w:t>
      </w:r>
      <w:r w:rsidR="00B3028F" w:rsidRPr="00F26850">
        <w:rPr>
          <w:rFonts w:ascii="Book Antiqua" w:hAnsi="Book Antiqua" w:cs="Arial"/>
          <w:sz w:val="24"/>
          <w:szCs w:val="24"/>
        </w:rPr>
        <w:t>r</w:t>
      </w:r>
      <w:r w:rsidRPr="00F26850">
        <w:rPr>
          <w:rFonts w:ascii="Book Antiqua" w:hAnsi="Book Antiqua" w:cs="Arial"/>
          <w:sz w:val="24"/>
          <w:szCs w:val="24"/>
        </w:rPr>
        <w:t xml:space="preserve">ule under </w:t>
      </w:r>
      <w:r w:rsidR="00472899" w:rsidRPr="00F26850">
        <w:rPr>
          <w:rFonts w:ascii="Book Antiqua" w:hAnsi="Book Antiqua" w:cs="Arial"/>
          <w:sz w:val="24"/>
          <w:szCs w:val="24"/>
        </w:rPr>
        <w:t>Paragraph</w:t>
      </w:r>
      <w:r w:rsidRPr="00F26850">
        <w:rPr>
          <w:rFonts w:ascii="Book Antiqua" w:hAnsi="Book Antiqua" w:cs="Arial"/>
          <w:sz w:val="24"/>
          <w:szCs w:val="24"/>
        </w:rPr>
        <w:t xml:space="preserve"> 276A</w:t>
      </w:r>
      <w:r w:rsidR="00C25C39" w:rsidRPr="00F26850">
        <w:rPr>
          <w:rFonts w:ascii="Book Antiqua" w:hAnsi="Book Antiqua" w:cs="Arial"/>
          <w:sz w:val="24"/>
          <w:szCs w:val="24"/>
        </w:rPr>
        <w:t xml:space="preserve"> </w:t>
      </w:r>
      <w:r w:rsidR="00732107" w:rsidRPr="00F26850">
        <w:rPr>
          <w:rFonts w:ascii="Book Antiqua" w:hAnsi="Book Antiqua" w:cs="Arial"/>
          <w:sz w:val="24"/>
          <w:szCs w:val="24"/>
        </w:rPr>
        <w:t xml:space="preserve">and which echoed the </w:t>
      </w:r>
      <w:r w:rsidR="00673CDB" w:rsidRPr="00F26850">
        <w:rPr>
          <w:rFonts w:ascii="Book Antiqua" w:hAnsi="Book Antiqua" w:cs="Arial"/>
          <w:sz w:val="24"/>
          <w:szCs w:val="24"/>
        </w:rPr>
        <w:t xml:space="preserve">arguments which found favour </w:t>
      </w:r>
      <w:r w:rsidR="00B2341F" w:rsidRPr="00F26850">
        <w:rPr>
          <w:rFonts w:ascii="Book Antiqua" w:hAnsi="Book Antiqua" w:cs="Arial"/>
          <w:sz w:val="24"/>
          <w:szCs w:val="24"/>
        </w:rPr>
        <w:t>in the unreported decision</w:t>
      </w:r>
      <w:r w:rsidR="00673CDB" w:rsidRPr="00F26850">
        <w:rPr>
          <w:rFonts w:ascii="Book Antiqua" w:hAnsi="Book Antiqua" w:cs="Arial"/>
          <w:sz w:val="24"/>
          <w:szCs w:val="24"/>
        </w:rPr>
        <w:t>s</w:t>
      </w:r>
      <w:r w:rsidR="00B2341F" w:rsidRPr="00F26850">
        <w:rPr>
          <w:rFonts w:ascii="Book Antiqua" w:hAnsi="Book Antiqua" w:cs="Arial"/>
          <w:sz w:val="24"/>
          <w:szCs w:val="24"/>
        </w:rPr>
        <w:t>.</w:t>
      </w:r>
      <w:r w:rsidR="00673CDB" w:rsidRPr="00F26850">
        <w:rPr>
          <w:rFonts w:ascii="Book Antiqua" w:hAnsi="Book Antiqua" w:cs="Arial"/>
          <w:sz w:val="24"/>
          <w:szCs w:val="24"/>
        </w:rPr>
        <w:t xml:space="preserve">  </w:t>
      </w:r>
    </w:p>
    <w:p w14:paraId="63988858" w14:textId="4EA9FC39" w:rsidR="001E3C85" w:rsidRPr="00A268C1" w:rsidRDefault="00673CDB" w:rsidP="00A268C1">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Pausing there</w:t>
      </w:r>
      <w:r w:rsidR="00015218">
        <w:rPr>
          <w:rFonts w:ascii="Book Antiqua" w:hAnsi="Book Antiqua" w:cs="Arial"/>
          <w:sz w:val="24"/>
          <w:szCs w:val="24"/>
        </w:rPr>
        <w:t>,</w:t>
      </w:r>
      <w:r w:rsidRPr="00F26850">
        <w:rPr>
          <w:rFonts w:ascii="Book Antiqua" w:hAnsi="Book Antiqua" w:cs="Arial"/>
          <w:sz w:val="24"/>
          <w:szCs w:val="24"/>
        </w:rPr>
        <w:t xml:space="preserve"> I set out </w:t>
      </w:r>
      <w:r w:rsidR="00A9080B" w:rsidRPr="00A268C1">
        <w:rPr>
          <w:rFonts w:ascii="Book Antiqua" w:eastAsia="Times New Roman" w:hAnsi="Book Antiqua"/>
          <w:bCs/>
          <w:color w:val="0B0C0C"/>
          <w:sz w:val="24"/>
          <w:szCs w:val="24"/>
          <w:lang w:eastAsia="en-GB"/>
        </w:rPr>
        <w:t>Rule 276A of the Immigration Rules relating to l</w:t>
      </w:r>
      <w:r w:rsidR="001E3C85" w:rsidRPr="00A268C1">
        <w:rPr>
          <w:rFonts w:ascii="Book Antiqua" w:eastAsia="Times New Roman" w:hAnsi="Book Antiqua"/>
          <w:bCs/>
          <w:color w:val="0B0C0C"/>
          <w:sz w:val="24"/>
          <w:szCs w:val="24"/>
          <w:lang w:eastAsia="en-GB"/>
        </w:rPr>
        <w:t xml:space="preserve">ong residence in the United </w:t>
      </w:r>
      <w:proofErr w:type="gramStart"/>
      <w:r w:rsidR="001E3C85" w:rsidRPr="00A268C1">
        <w:rPr>
          <w:rFonts w:ascii="Book Antiqua" w:eastAsia="Times New Roman" w:hAnsi="Book Antiqua"/>
          <w:bCs/>
          <w:color w:val="0B0C0C"/>
          <w:sz w:val="24"/>
          <w:szCs w:val="24"/>
          <w:lang w:eastAsia="en-GB"/>
        </w:rPr>
        <w:t>Kingdom</w:t>
      </w:r>
      <w:r w:rsidR="00015218">
        <w:rPr>
          <w:rFonts w:ascii="Book Antiqua" w:eastAsia="Times New Roman" w:hAnsi="Book Antiqua"/>
          <w:bCs/>
          <w:color w:val="0B0C0C"/>
          <w:sz w:val="24"/>
          <w:szCs w:val="24"/>
          <w:lang w:eastAsia="en-GB"/>
        </w:rPr>
        <w:t xml:space="preserve"> :</w:t>
      </w:r>
      <w:proofErr w:type="gramEnd"/>
      <w:r w:rsidR="00015218">
        <w:rPr>
          <w:rFonts w:ascii="Book Antiqua" w:eastAsia="Times New Roman" w:hAnsi="Book Antiqua"/>
          <w:bCs/>
          <w:color w:val="0B0C0C"/>
          <w:sz w:val="24"/>
          <w:szCs w:val="24"/>
          <w:lang w:eastAsia="en-GB"/>
        </w:rPr>
        <w:t>-</w:t>
      </w:r>
    </w:p>
    <w:p w14:paraId="6DB37614" w14:textId="48D626A3" w:rsidR="001E3C85" w:rsidRPr="00F26850" w:rsidRDefault="00133839" w:rsidP="0046558C">
      <w:pPr>
        <w:spacing w:before="120" w:after="0" w:line="240" w:lineRule="auto"/>
        <w:ind w:left="567"/>
        <w:rPr>
          <w:rFonts w:ascii="Book Antiqua" w:eastAsia="Times New Roman" w:hAnsi="Book Antiqua"/>
          <w:i/>
          <w:color w:val="0B0C0C"/>
          <w:sz w:val="24"/>
          <w:szCs w:val="24"/>
          <w:lang w:eastAsia="en-GB"/>
        </w:rPr>
      </w:pPr>
      <w:r w:rsidRPr="00F26850">
        <w:rPr>
          <w:rFonts w:ascii="Book Antiqua" w:eastAsia="Times New Roman" w:hAnsi="Book Antiqua"/>
          <w:color w:val="0B0C0C"/>
          <w:sz w:val="24"/>
          <w:szCs w:val="24"/>
          <w:lang w:eastAsia="en-GB"/>
        </w:rPr>
        <w:t>‘</w:t>
      </w:r>
      <w:r w:rsidR="001E3C85" w:rsidRPr="00F26850">
        <w:rPr>
          <w:rFonts w:ascii="Book Antiqua" w:eastAsia="Times New Roman" w:hAnsi="Book Antiqua"/>
          <w:i/>
          <w:color w:val="0B0C0C"/>
          <w:sz w:val="24"/>
          <w:szCs w:val="24"/>
          <w:lang w:eastAsia="en-GB"/>
        </w:rPr>
        <w:t>276A. For the purposes of paragraphs 276B to 276D and 276</w:t>
      </w:r>
      <w:r w:rsidR="001B0F3A" w:rsidRPr="00F26850">
        <w:rPr>
          <w:rFonts w:ascii="Book Antiqua" w:eastAsia="Times New Roman" w:hAnsi="Book Antiqua"/>
          <w:i/>
          <w:color w:val="0B0C0C"/>
          <w:sz w:val="24"/>
          <w:szCs w:val="24"/>
          <w:lang w:eastAsia="en-GB"/>
        </w:rPr>
        <w:t>ADE (</w:t>
      </w:r>
      <w:r w:rsidR="001E3C85" w:rsidRPr="00F26850">
        <w:rPr>
          <w:rFonts w:ascii="Book Antiqua" w:eastAsia="Times New Roman" w:hAnsi="Book Antiqua"/>
          <w:i/>
          <w:color w:val="0B0C0C"/>
          <w:sz w:val="24"/>
          <w:szCs w:val="24"/>
          <w:lang w:eastAsia="en-GB"/>
        </w:rPr>
        <w:t xml:space="preserve">1). </w:t>
      </w:r>
    </w:p>
    <w:p w14:paraId="18C5D381" w14:textId="63672631" w:rsidR="001E3C85" w:rsidRPr="00F26850" w:rsidRDefault="0046558C" w:rsidP="0046558C">
      <w:pPr>
        <w:spacing w:before="120" w:after="0" w:line="240" w:lineRule="auto"/>
        <w:ind w:left="1701" w:hanging="624"/>
        <w:rPr>
          <w:rFonts w:ascii="Book Antiqua" w:eastAsia="Times New Roman" w:hAnsi="Book Antiqua"/>
          <w:i/>
          <w:color w:val="0B0C0C"/>
          <w:sz w:val="24"/>
          <w:szCs w:val="24"/>
          <w:lang w:eastAsia="en-GB"/>
        </w:rPr>
      </w:pPr>
      <w:r>
        <w:rPr>
          <w:rFonts w:ascii="Book Antiqua" w:eastAsia="Times New Roman" w:hAnsi="Book Antiqua"/>
          <w:i/>
          <w:color w:val="0B0C0C"/>
          <w:sz w:val="24"/>
          <w:szCs w:val="24"/>
          <w:lang w:eastAsia="en-GB"/>
        </w:rPr>
        <w:t>(a)</w:t>
      </w:r>
      <w:r>
        <w:rPr>
          <w:rFonts w:ascii="Book Antiqua" w:eastAsia="Times New Roman" w:hAnsi="Book Antiqua"/>
          <w:i/>
          <w:color w:val="0B0C0C"/>
          <w:sz w:val="24"/>
          <w:szCs w:val="24"/>
          <w:lang w:eastAsia="en-GB"/>
        </w:rPr>
        <w:tab/>
      </w:r>
      <w:r w:rsidR="001E3C85" w:rsidRPr="00F26850">
        <w:rPr>
          <w:rFonts w:ascii="Book Antiqua" w:eastAsia="Times New Roman" w:hAnsi="Book Antiqua"/>
          <w:i/>
          <w:color w:val="0B0C0C"/>
          <w:sz w:val="24"/>
          <w:szCs w:val="24"/>
          <w:lang w:eastAsia="en-GB"/>
        </w:rPr>
        <w:t xml:space="preserve">“continuous residence” means residence in the United Kingdom for an unbroken period, and for these purposes a period shall not be considered to have been broken where an applicant is absent from the United Kingdom for a period of 6 months or less at any one time, provided that the applicant in question has existing limited leave to enter or remain upon their departure and return, but shall be considered to have been broken if the applicant: </w:t>
      </w:r>
    </w:p>
    <w:p w14:paraId="784FC79D" w14:textId="2B7A7ACA" w:rsidR="001E3C85" w:rsidRPr="00F26850" w:rsidRDefault="001E3C85" w:rsidP="0046558C">
      <w:pPr>
        <w:spacing w:before="120" w:after="0" w:line="240" w:lineRule="auto"/>
        <w:ind w:left="2410" w:hanging="431"/>
        <w:rPr>
          <w:rFonts w:ascii="Book Antiqua" w:eastAsia="Times New Roman" w:hAnsi="Book Antiqua"/>
          <w:i/>
          <w:color w:val="0B0C0C"/>
          <w:sz w:val="24"/>
          <w:szCs w:val="24"/>
          <w:lang w:eastAsia="en-GB"/>
        </w:rPr>
      </w:pPr>
      <w:r w:rsidRPr="00F26850">
        <w:rPr>
          <w:rFonts w:ascii="Book Antiqua" w:eastAsia="Times New Roman" w:hAnsi="Book Antiqua"/>
          <w:i/>
          <w:color w:val="0B0C0C"/>
          <w:sz w:val="24"/>
          <w:szCs w:val="24"/>
          <w:lang w:eastAsia="en-GB"/>
        </w:rPr>
        <w:t>(</w:t>
      </w:r>
      <w:proofErr w:type="spellStart"/>
      <w:r w:rsidRPr="00F26850">
        <w:rPr>
          <w:rFonts w:ascii="Book Antiqua" w:eastAsia="Times New Roman" w:hAnsi="Book Antiqua"/>
          <w:i/>
          <w:color w:val="0B0C0C"/>
          <w:sz w:val="24"/>
          <w:szCs w:val="24"/>
          <w:lang w:eastAsia="en-GB"/>
        </w:rPr>
        <w:t>i</w:t>
      </w:r>
      <w:proofErr w:type="spellEnd"/>
      <w:r w:rsidRPr="00F26850">
        <w:rPr>
          <w:rFonts w:ascii="Book Antiqua" w:eastAsia="Times New Roman" w:hAnsi="Book Antiqua"/>
          <w:i/>
          <w:color w:val="0B0C0C"/>
          <w:sz w:val="24"/>
          <w:szCs w:val="24"/>
          <w:lang w:eastAsia="en-GB"/>
        </w:rPr>
        <w:t>)</w:t>
      </w:r>
      <w:r w:rsidR="0046558C">
        <w:rPr>
          <w:rFonts w:ascii="Book Antiqua" w:eastAsia="Times New Roman" w:hAnsi="Book Antiqua"/>
          <w:i/>
          <w:color w:val="0B0C0C"/>
          <w:sz w:val="24"/>
          <w:szCs w:val="24"/>
          <w:lang w:eastAsia="en-GB"/>
        </w:rPr>
        <w:tab/>
      </w:r>
      <w:r w:rsidRPr="00F26850">
        <w:rPr>
          <w:rFonts w:ascii="Book Antiqua" w:eastAsia="Times New Roman" w:hAnsi="Book Antiqua"/>
          <w:i/>
          <w:color w:val="0B0C0C"/>
          <w:sz w:val="24"/>
          <w:szCs w:val="24"/>
          <w:lang w:eastAsia="en-GB"/>
        </w:rPr>
        <w:t>has been removed under Schedule 2 of the 1971 Act, section 10 of the 1999 Act, has been deported or has left the United Kingdom having been refused leave to enter or remain here; or</w:t>
      </w:r>
    </w:p>
    <w:p w14:paraId="27A9C461" w14:textId="726E20F7" w:rsidR="001E3C85" w:rsidRPr="00F26850" w:rsidRDefault="001E3C85" w:rsidP="0046558C">
      <w:pPr>
        <w:tabs>
          <w:tab w:val="right" w:pos="2552"/>
        </w:tabs>
        <w:spacing w:before="120" w:after="0" w:line="240" w:lineRule="auto"/>
        <w:ind w:left="2410" w:hanging="431"/>
        <w:rPr>
          <w:rFonts w:ascii="Book Antiqua" w:eastAsia="Times New Roman" w:hAnsi="Book Antiqua"/>
          <w:i/>
          <w:color w:val="0B0C0C"/>
          <w:sz w:val="24"/>
          <w:szCs w:val="24"/>
          <w:lang w:eastAsia="en-GB"/>
        </w:rPr>
      </w:pPr>
      <w:r w:rsidRPr="00F26850">
        <w:rPr>
          <w:rFonts w:ascii="Book Antiqua" w:eastAsia="Times New Roman" w:hAnsi="Book Antiqua"/>
          <w:i/>
          <w:color w:val="0B0C0C"/>
          <w:sz w:val="24"/>
          <w:szCs w:val="24"/>
          <w:lang w:eastAsia="en-GB"/>
        </w:rPr>
        <w:t>(ii)</w:t>
      </w:r>
      <w:r w:rsidR="0046558C">
        <w:rPr>
          <w:rFonts w:ascii="Book Antiqua" w:eastAsia="Times New Roman" w:hAnsi="Book Antiqua"/>
          <w:i/>
          <w:color w:val="0B0C0C"/>
          <w:sz w:val="24"/>
          <w:szCs w:val="24"/>
          <w:lang w:eastAsia="en-GB"/>
        </w:rPr>
        <w:tab/>
      </w:r>
      <w:r w:rsidRPr="00F26850">
        <w:rPr>
          <w:rFonts w:ascii="Book Antiqua" w:eastAsia="Times New Roman" w:hAnsi="Book Antiqua"/>
          <w:i/>
          <w:color w:val="0B0C0C"/>
          <w:sz w:val="24"/>
          <w:szCs w:val="24"/>
          <w:lang w:eastAsia="en-GB"/>
        </w:rPr>
        <w:t>has left the United Kingdom and, on doing so, evidenced a clear intention not to return; or</w:t>
      </w:r>
    </w:p>
    <w:p w14:paraId="36DF77E8" w14:textId="3BE10930" w:rsidR="001E3C85" w:rsidRPr="00F26850" w:rsidRDefault="001E3C85" w:rsidP="0046558C">
      <w:pPr>
        <w:tabs>
          <w:tab w:val="right" w:pos="2552"/>
        </w:tabs>
        <w:spacing w:before="120" w:after="0" w:line="240" w:lineRule="auto"/>
        <w:ind w:left="2410" w:hanging="431"/>
        <w:rPr>
          <w:rFonts w:ascii="Book Antiqua" w:eastAsia="Times New Roman" w:hAnsi="Book Antiqua"/>
          <w:i/>
          <w:color w:val="0B0C0C"/>
          <w:sz w:val="24"/>
          <w:szCs w:val="24"/>
          <w:lang w:eastAsia="en-GB"/>
        </w:rPr>
      </w:pPr>
      <w:r w:rsidRPr="00F26850">
        <w:rPr>
          <w:rFonts w:ascii="Book Antiqua" w:eastAsia="Times New Roman" w:hAnsi="Book Antiqua"/>
          <w:i/>
          <w:color w:val="0B0C0C"/>
          <w:sz w:val="24"/>
          <w:szCs w:val="24"/>
          <w:lang w:eastAsia="en-GB"/>
        </w:rPr>
        <w:lastRenderedPageBreak/>
        <w:t>(iii)</w:t>
      </w:r>
      <w:r w:rsidR="0046558C">
        <w:rPr>
          <w:rFonts w:ascii="Book Antiqua" w:eastAsia="Times New Roman" w:hAnsi="Book Antiqua"/>
          <w:i/>
          <w:color w:val="0B0C0C"/>
          <w:sz w:val="24"/>
          <w:szCs w:val="24"/>
          <w:lang w:eastAsia="en-GB"/>
        </w:rPr>
        <w:tab/>
      </w:r>
      <w:r w:rsidRPr="00F26850">
        <w:rPr>
          <w:rFonts w:ascii="Book Antiqua" w:eastAsia="Times New Roman" w:hAnsi="Book Antiqua"/>
          <w:i/>
          <w:color w:val="0B0C0C"/>
          <w:sz w:val="24"/>
          <w:szCs w:val="24"/>
          <w:lang w:eastAsia="en-GB"/>
        </w:rPr>
        <w:t>left the United Kingdom in circumstances in which he could have had no reasonable expectation at the time of leaving that he would lawfully be able to return; or</w:t>
      </w:r>
    </w:p>
    <w:p w14:paraId="3607E1BD" w14:textId="3B00C5E3" w:rsidR="001E3C85" w:rsidRPr="00F26850" w:rsidRDefault="001E3C85" w:rsidP="0046558C">
      <w:pPr>
        <w:tabs>
          <w:tab w:val="right" w:pos="2552"/>
        </w:tabs>
        <w:spacing w:before="120" w:after="0" w:line="240" w:lineRule="auto"/>
        <w:ind w:left="2410" w:hanging="431"/>
        <w:rPr>
          <w:rFonts w:ascii="Book Antiqua" w:eastAsia="Times New Roman" w:hAnsi="Book Antiqua"/>
          <w:i/>
          <w:color w:val="0B0C0C"/>
          <w:sz w:val="24"/>
          <w:szCs w:val="24"/>
          <w:lang w:eastAsia="en-GB"/>
        </w:rPr>
      </w:pPr>
      <w:r w:rsidRPr="00F26850">
        <w:rPr>
          <w:rFonts w:ascii="Book Antiqua" w:eastAsia="Times New Roman" w:hAnsi="Book Antiqua"/>
          <w:i/>
          <w:color w:val="0B0C0C"/>
          <w:sz w:val="24"/>
          <w:szCs w:val="24"/>
          <w:lang w:eastAsia="en-GB"/>
        </w:rPr>
        <w:t>(iv)</w:t>
      </w:r>
      <w:r w:rsidR="0046558C">
        <w:rPr>
          <w:rFonts w:ascii="Book Antiqua" w:eastAsia="Times New Roman" w:hAnsi="Book Antiqua"/>
          <w:i/>
          <w:color w:val="0B0C0C"/>
          <w:sz w:val="24"/>
          <w:szCs w:val="24"/>
          <w:lang w:eastAsia="en-GB"/>
        </w:rPr>
        <w:tab/>
      </w:r>
      <w:r w:rsidRPr="00F26850">
        <w:rPr>
          <w:rFonts w:ascii="Book Antiqua" w:eastAsia="Times New Roman" w:hAnsi="Book Antiqua"/>
          <w:i/>
          <w:color w:val="0B0C0C"/>
          <w:sz w:val="24"/>
          <w:szCs w:val="24"/>
          <w:lang w:eastAsia="en-GB"/>
        </w:rPr>
        <w:t>has been convicted of an offence and was sentenced to a period of imprisonment or was directed to be detained in an institution other than a prison (including, in particular, a hospital or an institution for young offenders), provided that the sentence in question was not a suspended sentence; or</w:t>
      </w:r>
    </w:p>
    <w:p w14:paraId="676BDD0F" w14:textId="4F5F71B4" w:rsidR="001E3C85" w:rsidRPr="00F26850" w:rsidRDefault="001E3C85" w:rsidP="0046558C">
      <w:pPr>
        <w:tabs>
          <w:tab w:val="right" w:pos="2552"/>
        </w:tabs>
        <w:spacing w:before="120" w:after="0" w:line="240" w:lineRule="auto"/>
        <w:ind w:left="2410" w:hanging="431"/>
        <w:rPr>
          <w:rFonts w:ascii="Book Antiqua" w:eastAsia="Times New Roman" w:hAnsi="Book Antiqua"/>
          <w:color w:val="0B0C0C"/>
          <w:sz w:val="24"/>
          <w:szCs w:val="24"/>
          <w:lang w:eastAsia="en-GB"/>
        </w:rPr>
      </w:pPr>
      <w:r w:rsidRPr="00F26850">
        <w:rPr>
          <w:rFonts w:ascii="Book Antiqua" w:eastAsia="Times New Roman" w:hAnsi="Book Antiqua"/>
          <w:i/>
          <w:color w:val="0B0C0C"/>
          <w:sz w:val="24"/>
          <w:szCs w:val="24"/>
          <w:lang w:eastAsia="en-GB"/>
        </w:rPr>
        <w:t>(v)</w:t>
      </w:r>
      <w:r w:rsidR="0046558C">
        <w:rPr>
          <w:rFonts w:ascii="Book Antiqua" w:eastAsia="Times New Roman" w:hAnsi="Book Antiqua"/>
          <w:i/>
          <w:color w:val="0B0C0C"/>
          <w:sz w:val="24"/>
          <w:szCs w:val="24"/>
          <w:lang w:eastAsia="en-GB"/>
        </w:rPr>
        <w:tab/>
      </w:r>
      <w:r w:rsidRPr="00F26850">
        <w:rPr>
          <w:rFonts w:ascii="Book Antiqua" w:eastAsia="Times New Roman" w:hAnsi="Book Antiqua"/>
          <w:i/>
          <w:color w:val="0B0C0C"/>
          <w:sz w:val="24"/>
          <w:szCs w:val="24"/>
          <w:lang w:eastAsia="en-GB"/>
        </w:rPr>
        <w:t>has spent a total of more than 18 months absent from the United Kingdom during the period in question</w:t>
      </w:r>
      <w:r w:rsidR="00C25C39" w:rsidRPr="00F26850">
        <w:rPr>
          <w:rFonts w:ascii="Book Antiqua" w:eastAsia="Times New Roman" w:hAnsi="Book Antiqua"/>
          <w:i/>
          <w:color w:val="0B0C0C"/>
          <w:sz w:val="24"/>
          <w:szCs w:val="24"/>
          <w:lang w:eastAsia="en-GB"/>
        </w:rPr>
        <w:t>’</w:t>
      </w:r>
      <w:r w:rsidRPr="00F26850">
        <w:rPr>
          <w:rFonts w:ascii="Book Antiqua" w:eastAsia="Times New Roman" w:hAnsi="Book Antiqua"/>
          <w:color w:val="0B0C0C"/>
          <w:sz w:val="24"/>
          <w:szCs w:val="24"/>
          <w:lang w:eastAsia="en-GB"/>
        </w:rPr>
        <w:t>.</w:t>
      </w:r>
    </w:p>
    <w:p w14:paraId="0390D3D6" w14:textId="189DBB02" w:rsidR="00295B33" w:rsidRPr="00F26850" w:rsidRDefault="001B0F3A" w:rsidP="008D61B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Essentially</w:t>
      </w:r>
      <w:r w:rsidR="008343EE" w:rsidRPr="00F26850">
        <w:rPr>
          <w:rFonts w:ascii="Book Antiqua" w:hAnsi="Book Antiqua" w:cs="Arial"/>
          <w:sz w:val="24"/>
          <w:szCs w:val="24"/>
        </w:rPr>
        <w:t>,</w:t>
      </w:r>
      <w:r w:rsidR="00DD2684" w:rsidRPr="00F26850">
        <w:rPr>
          <w:rFonts w:ascii="Book Antiqua" w:hAnsi="Book Antiqua" w:cs="Arial"/>
          <w:sz w:val="24"/>
          <w:szCs w:val="24"/>
        </w:rPr>
        <w:t xml:space="preserve"> the submission expressed </w:t>
      </w:r>
      <w:r w:rsidR="00295B33" w:rsidRPr="00F26850">
        <w:rPr>
          <w:rFonts w:ascii="Book Antiqua" w:hAnsi="Book Antiqua" w:cs="Arial"/>
          <w:sz w:val="24"/>
          <w:szCs w:val="24"/>
        </w:rPr>
        <w:t xml:space="preserve">by the representative and </w:t>
      </w:r>
      <w:r w:rsidR="00DD2684" w:rsidRPr="00F26850">
        <w:rPr>
          <w:rFonts w:ascii="Book Antiqua" w:hAnsi="Book Antiqua" w:cs="Arial"/>
          <w:sz w:val="24"/>
          <w:szCs w:val="24"/>
        </w:rPr>
        <w:t xml:space="preserve">in the unreported decisions </w:t>
      </w:r>
      <w:proofErr w:type="gramStart"/>
      <w:r w:rsidR="00DD2684" w:rsidRPr="00F26850">
        <w:rPr>
          <w:rFonts w:ascii="Book Antiqua" w:hAnsi="Book Antiqua" w:cs="Arial"/>
          <w:sz w:val="24"/>
          <w:szCs w:val="24"/>
        </w:rPr>
        <w:t>was</w:t>
      </w:r>
      <w:proofErr w:type="gramEnd"/>
      <w:r w:rsidR="00DD2684" w:rsidRPr="00F26850">
        <w:rPr>
          <w:rFonts w:ascii="Book Antiqua" w:hAnsi="Book Antiqua" w:cs="Arial"/>
          <w:sz w:val="24"/>
          <w:szCs w:val="24"/>
        </w:rPr>
        <w:t xml:space="preserve"> that the ‘Rule is silent as the situation of an applicant who complies fully with the Immigration Rules but spends more than six months, but less than eighteen months out of the UK’.  </w:t>
      </w:r>
      <w:r w:rsidR="00295B33" w:rsidRPr="00F26850">
        <w:rPr>
          <w:rFonts w:ascii="Book Antiqua" w:hAnsi="Book Antiqua" w:cs="Arial"/>
          <w:sz w:val="24"/>
          <w:szCs w:val="24"/>
        </w:rPr>
        <w:t>Further, t</w:t>
      </w:r>
      <w:r w:rsidR="00B1495A" w:rsidRPr="00F26850">
        <w:rPr>
          <w:rFonts w:ascii="Book Antiqua" w:hAnsi="Book Antiqua" w:cs="Arial"/>
          <w:sz w:val="24"/>
          <w:szCs w:val="24"/>
        </w:rPr>
        <w:t xml:space="preserve">he </w:t>
      </w:r>
      <w:r w:rsidRPr="00F26850">
        <w:rPr>
          <w:rFonts w:ascii="Book Antiqua" w:hAnsi="Book Antiqua" w:cs="Arial"/>
          <w:sz w:val="24"/>
          <w:szCs w:val="24"/>
        </w:rPr>
        <w:t>Immigration</w:t>
      </w:r>
      <w:r w:rsidR="00B1495A" w:rsidRPr="00F26850">
        <w:rPr>
          <w:rFonts w:ascii="Book Antiqua" w:hAnsi="Book Antiqua" w:cs="Arial"/>
          <w:sz w:val="24"/>
          <w:szCs w:val="24"/>
        </w:rPr>
        <w:t xml:space="preserve"> Rule </w:t>
      </w:r>
      <w:r w:rsidR="003659CF" w:rsidRPr="00F26850">
        <w:rPr>
          <w:rFonts w:ascii="Book Antiqua" w:hAnsi="Book Antiqua" w:cs="Arial"/>
          <w:sz w:val="24"/>
          <w:szCs w:val="24"/>
        </w:rPr>
        <w:t xml:space="preserve">contains a discretion and should </w:t>
      </w:r>
      <w:r w:rsidR="00B1495A" w:rsidRPr="00F26850">
        <w:rPr>
          <w:rFonts w:ascii="Book Antiqua" w:hAnsi="Book Antiqua" w:cs="Arial"/>
          <w:sz w:val="24"/>
          <w:szCs w:val="24"/>
        </w:rPr>
        <w:t>be construed ‘sensibly’.</w:t>
      </w:r>
    </w:p>
    <w:p w14:paraId="40C8351A" w14:textId="424FF88D" w:rsidR="001E3C85" w:rsidRPr="00F26850" w:rsidRDefault="0089759E" w:rsidP="008D61B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I do not accept in the light of the </w:t>
      </w:r>
      <w:r w:rsidR="00A66F2D" w:rsidRPr="00F26850">
        <w:rPr>
          <w:rFonts w:ascii="Book Antiqua" w:hAnsi="Book Antiqua" w:cs="Arial"/>
          <w:sz w:val="24"/>
          <w:szCs w:val="24"/>
        </w:rPr>
        <w:t>Practice Direction set out</w:t>
      </w:r>
      <w:r w:rsidRPr="00F26850">
        <w:rPr>
          <w:rFonts w:ascii="Book Antiqua" w:hAnsi="Book Antiqua" w:cs="Arial"/>
          <w:sz w:val="24"/>
          <w:szCs w:val="24"/>
        </w:rPr>
        <w:t xml:space="preserve"> above that the judge was in error in failing to engage with the unreported decision</w:t>
      </w:r>
      <w:r w:rsidR="00015120" w:rsidRPr="00F26850">
        <w:rPr>
          <w:rFonts w:ascii="Book Antiqua" w:hAnsi="Book Antiqua" w:cs="Arial"/>
          <w:sz w:val="24"/>
          <w:szCs w:val="24"/>
        </w:rPr>
        <w:t>s</w:t>
      </w:r>
      <w:r w:rsidR="00BF31FC" w:rsidRPr="00F26850">
        <w:rPr>
          <w:rFonts w:ascii="Book Antiqua" w:hAnsi="Book Antiqua" w:cs="Arial"/>
          <w:sz w:val="24"/>
          <w:szCs w:val="24"/>
        </w:rPr>
        <w:t>.</w:t>
      </w:r>
      <w:r w:rsidRPr="00F26850">
        <w:rPr>
          <w:rFonts w:ascii="Book Antiqua" w:hAnsi="Book Antiqua" w:cs="Arial"/>
          <w:sz w:val="24"/>
          <w:szCs w:val="24"/>
        </w:rPr>
        <w:t xml:space="preserve"> </w:t>
      </w:r>
      <w:r w:rsidR="00065F3F" w:rsidRPr="00F26850">
        <w:rPr>
          <w:rFonts w:ascii="Book Antiqua" w:hAnsi="Book Antiqua" w:cs="Arial"/>
          <w:sz w:val="24"/>
          <w:szCs w:val="24"/>
        </w:rPr>
        <w:t xml:space="preserve">Nevertheless, </w:t>
      </w:r>
      <w:r w:rsidR="00347D0C">
        <w:rPr>
          <w:rFonts w:ascii="Book Antiqua" w:hAnsi="Book Antiqua" w:cs="Arial"/>
          <w:sz w:val="24"/>
          <w:szCs w:val="24"/>
        </w:rPr>
        <w:t>I address the arguments made.  I</w:t>
      </w:r>
      <w:r w:rsidR="007736B1" w:rsidRPr="00F26850">
        <w:rPr>
          <w:rFonts w:ascii="Book Antiqua" w:hAnsi="Book Antiqua" w:cs="Arial"/>
          <w:sz w:val="24"/>
          <w:szCs w:val="24"/>
        </w:rPr>
        <w:t xml:space="preserve">n the </w:t>
      </w:r>
      <w:r w:rsidR="00A43D33">
        <w:rPr>
          <w:rFonts w:ascii="Book Antiqua" w:hAnsi="Book Antiqua" w:cs="Arial"/>
          <w:sz w:val="24"/>
          <w:szCs w:val="24"/>
        </w:rPr>
        <w:t xml:space="preserve">first </w:t>
      </w:r>
      <w:r w:rsidR="007736B1" w:rsidRPr="00F26850">
        <w:rPr>
          <w:rFonts w:ascii="Book Antiqua" w:hAnsi="Book Antiqua" w:cs="Arial"/>
          <w:sz w:val="24"/>
          <w:szCs w:val="24"/>
        </w:rPr>
        <w:t xml:space="preserve">unreported decision </w:t>
      </w:r>
      <w:r w:rsidR="00015120" w:rsidRPr="00F26850">
        <w:rPr>
          <w:rFonts w:ascii="Book Antiqua" w:hAnsi="Book Antiqua" w:cs="Arial"/>
          <w:sz w:val="24"/>
          <w:szCs w:val="24"/>
        </w:rPr>
        <w:t>(IA/15717/2014</w:t>
      </w:r>
      <w:r w:rsidR="00384351" w:rsidRPr="00F26850">
        <w:rPr>
          <w:rFonts w:ascii="Book Antiqua" w:hAnsi="Book Antiqua" w:cs="Arial"/>
          <w:sz w:val="24"/>
          <w:szCs w:val="24"/>
        </w:rPr>
        <w:t>)</w:t>
      </w:r>
      <w:r w:rsidR="00A43D33">
        <w:rPr>
          <w:rFonts w:ascii="Book Antiqua" w:hAnsi="Book Antiqua" w:cs="Arial"/>
          <w:sz w:val="24"/>
          <w:szCs w:val="24"/>
        </w:rPr>
        <w:t>,</w:t>
      </w:r>
      <w:r w:rsidR="00384351" w:rsidRPr="00F26850">
        <w:rPr>
          <w:rFonts w:ascii="Book Antiqua" w:hAnsi="Book Antiqua" w:cs="Arial"/>
          <w:sz w:val="24"/>
          <w:szCs w:val="24"/>
        </w:rPr>
        <w:t xml:space="preserve"> it</w:t>
      </w:r>
      <w:r w:rsidR="00C30F32" w:rsidRPr="00F26850">
        <w:rPr>
          <w:rFonts w:ascii="Book Antiqua" w:hAnsi="Book Antiqua" w:cs="Arial"/>
          <w:sz w:val="24"/>
          <w:szCs w:val="24"/>
        </w:rPr>
        <w:t xml:space="preserve"> was concluded that the appellant had sound academic reasons for being out of the UK </w:t>
      </w:r>
      <w:r w:rsidR="00FA5AE7" w:rsidRPr="00F26850">
        <w:rPr>
          <w:rFonts w:ascii="Book Antiqua" w:hAnsi="Book Antiqua" w:cs="Arial"/>
          <w:sz w:val="24"/>
          <w:szCs w:val="24"/>
        </w:rPr>
        <w:t>for a period just over six months</w:t>
      </w:r>
      <w:r w:rsidR="00065F3F" w:rsidRPr="00F26850">
        <w:rPr>
          <w:rFonts w:ascii="Book Antiqua" w:hAnsi="Book Antiqua" w:cs="Arial"/>
          <w:sz w:val="24"/>
          <w:szCs w:val="24"/>
        </w:rPr>
        <w:t xml:space="preserve"> and the decision allowing the appeal was upheld.</w:t>
      </w:r>
      <w:r w:rsidR="00FA5AE7" w:rsidRPr="00F26850">
        <w:rPr>
          <w:rFonts w:ascii="Book Antiqua" w:hAnsi="Book Antiqua" w:cs="Arial"/>
          <w:sz w:val="24"/>
          <w:szCs w:val="24"/>
        </w:rPr>
        <w:t xml:space="preserve">   </w:t>
      </w:r>
      <w:r w:rsidR="00E06631" w:rsidRPr="00F26850">
        <w:rPr>
          <w:rFonts w:ascii="Book Antiqua" w:hAnsi="Book Antiqua" w:cs="Arial"/>
          <w:sz w:val="24"/>
          <w:szCs w:val="24"/>
        </w:rPr>
        <w:t xml:space="preserve">It was held that further to </w:t>
      </w:r>
      <w:r w:rsidR="00E06631" w:rsidRPr="00F26850">
        <w:rPr>
          <w:rFonts w:ascii="Book Antiqua" w:hAnsi="Book Antiqua" w:cs="Arial"/>
          <w:b/>
          <w:sz w:val="24"/>
          <w:szCs w:val="24"/>
          <w:u w:val="single"/>
        </w:rPr>
        <w:t>BD (work permit ‘continuous period’)</w:t>
      </w:r>
      <w:r w:rsidR="00E06631" w:rsidRPr="00F26850">
        <w:rPr>
          <w:rFonts w:ascii="Book Antiqua" w:hAnsi="Book Antiqua" w:cs="Arial"/>
          <w:sz w:val="24"/>
          <w:szCs w:val="24"/>
        </w:rPr>
        <w:t xml:space="preserve"> [2010] UKUT 418 </w:t>
      </w:r>
      <w:r w:rsidR="00B90918" w:rsidRPr="00F26850">
        <w:rPr>
          <w:rFonts w:ascii="Book Antiqua" w:hAnsi="Book Antiqua" w:cs="Arial"/>
          <w:sz w:val="24"/>
          <w:szCs w:val="24"/>
        </w:rPr>
        <w:t>where there is no relevant guidance from the Secretary of State as to how to approach the situation in such cases, the Tribunal should interpret the Rules in</w:t>
      </w:r>
      <w:r w:rsidR="00982840" w:rsidRPr="00F26850">
        <w:rPr>
          <w:rFonts w:ascii="Book Antiqua" w:hAnsi="Book Antiqua" w:cs="Arial"/>
          <w:sz w:val="24"/>
          <w:szCs w:val="24"/>
        </w:rPr>
        <w:t xml:space="preserve"> a</w:t>
      </w:r>
      <w:r w:rsidR="00B90918" w:rsidRPr="00F26850">
        <w:rPr>
          <w:rFonts w:ascii="Book Antiqua" w:hAnsi="Book Antiqua" w:cs="Arial"/>
          <w:sz w:val="24"/>
          <w:szCs w:val="24"/>
        </w:rPr>
        <w:t xml:space="preserve"> sensible fashion. </w:t>
      </w:r>
      <w:r w:rsidR="00584558" w:rsidRPr="00F26850">
        <w:rPr>
          <w:rFonts w:ascii="Book Antiqua" w:hAnsi="Book Antiqua" w:cs="Arial"/>
          <w:sz w:val="24"/>
          <w:szCs w:val="24"/>
        </w:rPr>
        <w:t xml:space="preserve"> In </w:t>
      </w:r>
      <w:r w:rsidR="00051D28" w:rsidRPr="00F26850">
        <w:rPr>
          <w:rFonts w:ascii="Book Antiqua" w:hAnsi="Book Antiqua" w:cs="Arial"/>
          <w:sz w:val="24"/>
          <w:szCs w:val="24"/>
        </w:rPr>
        <w:t>fact,</w:t>
      </w:r>
      <w:r w:rsidR="00584558" w:rsidRPr="00F26850">
        <w:rPr>
          <w:rFonts w:ascii="Book Antiqua" w:hAnsi="Book Antiqua" w:cs="Arial"/>
          <w:sz w:val="24"/>
          <w:szCs w:val="24"/>
        </w:rPr>
        <w:t xml:space="preserve"> there is guidance on </w:t>
      </w:r>
      <w:r w:rsidR="002807D8" w:rsidRPr="00F26850">
        <w:rPr>
          <w:rFonts w:ascii="Book Antiqua" w:hAnsi="Book Antiqua" w:cs="Arial"/>
          <w:sz w:val="24"/>
          <w:szCs w:val="24"/>
        </w:rPr>
        <w:t xml:space="preserve">the </w:t>
      </w:r>
      <w:r w:rsidR="00584558" w:rsidRPr="00F26850">
        <w:rPr>
          <w:rFonts w:ascii="Book Antiqua" w:hAnsi="Book Antiqua" w:cs="Arial"/>
          <w:sz w:val="24"/>
          <w:szCs w:val="24"/>
        </w:rPr>
        <w:t>Long Residence</w:t>
      </w:r>
      <w:r w:rsidR="00EB2118" w:rsidRPr="00F26850">
        <w:rPr>
          <w:rFonts w:ascii="Book Antiqua" w:hAnsi="Book Antiqua" w:cs="Arial"/>
          <w:sz w:val="24"/>
          <w:szCs w:val="24"/>
        </w:rPr>
        <w:t xml:space="preserve"> </w:t>
      </w:r>
      <w:r w:rsidR="00507C25" w:rsidRPr="00F26850">
        <w:rPr>
          <w:rFonts w:ascii="Book Antiqua" w:hAnsi="Book Antiqua" w:cs="Arial"/>
          <w:sz w:val="24"/>
          <w:szCs w:val="24"/>
        </w:rPr>
        <w:t>r</w:t>
      </w:r>
      <w:r w:rsidR="00753CE2" w:rsidRPr="00F26850">
        <w:rPr>
          <w:rFonts w:ascii="Book Antiqua" w:hAnsi="Book Antiqua" w:cs="Arial"/>
          <w:sz w:val="24"/>
          <w:szCs w:val="24"/>
        </w:rPr>
        <w:t>ule</w:t>
      </w:r>
      <w:r w:rsidR="00584558" w:rsidRPr="00F26850">
        <w:rPr>
          <w:rFonts w:ascii="Book Antiqua" w:hAnsi="Book Antiqua" w:cs="Arial"/>
          <w:sz w:val="24"/>
          <w:szCs w:val="24"/>
        </w:rPr>
        <w:t xml:space="preserve">.  </w:t>
      </w:r>
      <w:r w:rsidR="00B90918" w:rsidRPr="00F26850">
        <w:rPr>
          <w:rFonts w:ascii="Book Antiqua" w:hAnsi="Book Antiqua" w:cs="Arial"/>
          <w:sz w:val="24"/>
          <w:szCs w:val="24"/>
        </w:rPr>
        <w:t xml:space="preserve">Specifically, </w:t>
      </w:r>
      <w:r w:rsidR="00B0620D" w:rsidRPr="00F26850">
        <w:rPr>
          <w:rFonts w:ascii="Book Antiqua" w:hAnsi="Book Antiqua" w:cs="Arial"/>
          <w:sz w:val="24"/>
          <w:szCs w:val="24"/>
        </w:rPr>
        <w:t>in</w:t>
      </w:r>
      <w:r w:rsidR="00815A1C" w:rsidRPr="00F26850">
        <w:rPr>
          <w:rFonts w:ascii="Book Antiqua" w:hAnsi="Book Antiqua" w:cs="Arial"/>
          <w:sz w:val="24"/>
          <w:szCs w:val="24"/>
        </w:rPr>
        <w:t xml:space="preserve"> </w:t>
      </w:r>
      <w:r w:rsidR="000E0B68" w:rsidRPr="00F26850">
        <w:rPr>
          <w:rFonts w:ascii="Book Antiqua" w:hAnsi="Book Antiqua" w:cs="Arial"/>
          <w:sz w:val="24"/>
          <w:szCs w:val="24"/>
        </w:rPr>
        <w:t>IA/15717/2014</w:t>
      </w:r>
      <w:r w:rsidR="00CD42B8" w:rsidRPr="00F26850">
        <w:rPr>
          <w:rFonts w:ascii="Book Antiqua" w:hAnsi="Book Antiqua" w:cs="Arial"/>
          <w:sz w:val="24"/>
          <w:szCs w:val="24"/>
        </w:rPr>
        <w:t xml:space="preserve">, </w:t>
      </w:r>
      <w:r w:rsidR="00B90918" w:rsidRPr="00F26850">
        <w:rPr>
          <w:rFonts w:ascii="Book Antiqua" w:hAnsi="Book Antiqua" w:cs="Arial"/>
          <w:sz w:val="24"/>
          <w:szCs w:val="24"/>
        </w:rPr>
        <w:t>the judge held that ‘</w:t>
      </w:r>
      <w:r w:rsidR="00B90918" w:rsidRPr="00F26850">
        <w:rPr>
          <w:rFonts w:ascii="Book Antiqua" w:hAnsi="Book Antiqua" w:cs="Arial"/>
          <w:i/>
          <w:sz w:val="24"/>
          <w:szCs w:val="24"/>
        </w:rPr>
        <w:t>the Rule does import a discretion</w:t>
      </w:r>
      <w:r w:rsidR="00266694" w:rsidRPr="00F26850">
        <w:rPr>
          <w:rFonts w:ascii="Book Antiqua" w:hAnsi="Book Antiqua" w:cs="Arial"/>
          <w:i/>
          <w:sz w:val="24"/>
          <w:szCs w:val="24"/>
        </w:rPr>
        <w:t>.  Regard can properly be had to the reason for the absence and the strength of the person’s ties to the UK’</w:t>
      </w:r>
      <w:r w:rsidR="00266694" w:rsidRPr="00F26850">
        <w:rPr>
          <w:rFonts w:ascii="Book Antiqua" w:hAnsi="Book Antiqua" w:cs="Arial"/>
          <w:sz w:val="24"/>
          <w:szCs w:val="24"/>
        </w:rPr>
        <w:t>.</w:t>
      </w:r>
      <w:r w:rsidR="00571CE5" w:rsidRPr="00F26850">
        <w:rPr>
          <w:rFonts w:ascii="Book Antiqua" w:hAnsi="Book Antiqua" w:cs="Arial"/>
          <w:sz w:val="24"/>
          <w:szCs w:val="24"/>
        </w:rPr>
        <w:t xml:space="preserve">  </w:t>
      </w:r>
      <w:r w:rsidR="00065F3F" w:rsidRPr="00F26850">
        <w:rPr>
          <w:rFonts w:ascii="Book Antiqua" w:hAnsi="Book Antiqua" w:cs="Arial"/>
          <w:sz w:val="24"/>
          <w:szCs w:val="24"/>
        </w:rPr>
        <w:t>The reasoning</w:t>
      </w:r>
      <w:r w:rsidR="00CD42B8" w:rsidRPr="00F26850">
        <w:rPr>
          <w:rFonts w:ascii="Book Antiqua" w:hAnsi="Book Antiqua" w:cs="Arial"/>
          <w:sz w:val="24"/>
          <w:szCs w:val="24"/>
        </w:rPr>
        <w:t>, however,</w:t>
      </w:r>
      <w:r w:rsidR="00065F3F" w:rsidRPr="00F26850">
        <w:rPr>
          <w:rFonts w:ascii="Book Antiqua" w:hAnsi="Book Antiqua" w:cs="Arial"/>
          <w:sz w:val="24"/>
          <w:szCs w:val="24"/>
        </w:rPr>
        <w:t xml:space="preserve"> rather glossed over the actual construction of the rule in favour of reliance on the correct exercise of discretion with reference to the guidance (rather than the rule).</w:t>
      </w:r>
      <w:r w:rsidR="00B12070" w:rsidRPr="00F26850">
        <w:rPr>
          <w:rFonts w:ascii="Book Antiqua" w:hAnsi="Book Antiqua" w:cs="Arial"/>
          <w:sz w:val="24"/>
          <w:szCs w:val="24"/>
        </w:rPr>
        <w:t xml:space="preserve"> </w:t>
      </w:r>
      <w:r w:rsidR="00E96B4A" w:rsidRPr="00F26850">
        <w:rPr>
          <w:rFonts w:ascii="Book Antiqua" w:hAnsi="Book Antiqua" w:cs="Arial"/>
          <w:sz w:val="24"/>
          <w:szCs w:val="24"/>
        </w:rPr>
        <w:t xml:space="preserve">There was however, no close analysis and for the reasons given below I </w:t>
      </w:r>
      <w:r w:rsidR="00A50CFB" w:rsidRPr="00F26850">
        <w:rPr>
          <w:rFonts w:ascii="Book Antiqua" w:hAnsi="Book Antiqua" w:cs="Arial"/>
          <w:sz w:val="24"/>
          <w:szCs w:val="24"/>
        </w:rPr>
        <w:t xml:space="preserve">find the Rule does not import a discretion. </w:t>
      </w:r>
    </w:p>
    <w:p w14:paraId="0DFFA296" w14:textId="38429665" w:rsidR="00FD1F50" w:rsidRPr="00F26850" w:rsidRDefault="00B4215C" w:rsidP="00B70E5D">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The </w:t>
      </w:r>
      <w:r w:rsidR="00AE3E12" w:rsidRPr="00F26850">
        <w:rPr>
          <w:rFonts w:ascii="Book Antiqua" w:hAnsi="Book Antiqua" w:cs="Arial"/>
          <w:sz w:val="24"/>
          <w:szCs w:val="24"/>
        </w:rPr>
        <w:t>r</w:t>
      </w:r>
      <w:r w:rsidRPr="00F26850">
        <w:rPr>
          <w:rFonts w:ascii="Book Antiqua" w:hAnsi="Book Antiqua" w:cs="Arial"/>
          <w:sz w:val="24"/>
          <w:szCs w:val="24"/>
        </w:rPr>
        <w:t>ule</w:t>
      </w:r>
      <w:r w:rsidR="00B12070" w:rsidRPr="00F26850">
        <w:rPr>
          <w:rFonts w:ascii="Book Antiqua" w:hAnsi="Book Antiqua" w:cs="Arial"/>
          <w:sz w:val="24"/>
          <w:szCs w:val="24"/>
        </w:rPr>
        <w:t xml:space="preserve"> </w:t>
      </w:r>
      <w:r w:rsidRPr="00F26850">
        <w:rPr>
          <w:rFonts w:ascii="Book Antiqua" w:hAnsi="Book Antiqua" w:cs="Arial"/>
          <w:sz w:val="24"/>
          <w:szCs w:val="24"/>
        </w:rPr>
        <w:t xml:space="preserve">is that </w:t>
      </w:r>
      <w:r w:rsidR="003072A6" w:rsidRPr="00F26850">
        <w:rPr>
          <w:rFonts w:ascii="Book Antiqua" w:hAnsi="Book Antiqua" w:cs="Arial"/>
          <w:sz w:val="24"/>
          <w:szCs w:val="24"/>
        </w:rPr>
        <w:t>there should be continuous residence for an unbroken period</w:t>
      </w:r>
      <w:r w:rsidR="00D96DF8" w:rsidRPr="00F26850">
        <w:rPr>
          <w:rFonts w:ascii="Book Antiqua" w:hAnsi="Book Antiqua" w:cs="Arial"/>
          <w:sz w:val="24"/>
          <w:szCs w:val="24"/>
        </w:rPr>
        <w:t>:</w:t>
      </w:r>
      <w:r w:rsidR="0062765B" w:rsidRPr="00F26850">
        <w:rPr>
          <w:rFonts w:ascii="Book Antiqua" w:hAnsi="Book Antiqua" w:cs="Arial"/>
          <w:sz w:val="24"/>
          <w:szCs w:val="24"/>
        </w:rPr>
        <w:t xml:space="preserve"> </w:t>
      </w:r>
    </w:p>
    <w:p w14:paraId="43E0DED2" w14:textId="3A1FF025" w:rsidR="00FD1F50" w:rsidRPr="00F26850" w:rsidRDefault="00EF2326" w:rsidP="00477BAA">
      <w:pPr>
        <w:spacing w:before="120" w:after="0" w:line="240" w:lineRule="auto"/>
        <w:ind w:left="567"/>
        <w:jc w:val="both"/>
        <w:rPr>
          <w:rFonts w:ascii="Book Antiqua" w:hAnsi="Book Antiqua" w:cs="Arial"/>
          <w:sz w:val="24"/>
          <w:szCs w:val="24"/>
        </w:rPr>
      </w:pPr>
      <w:proofErr w:type="gramStart"/>
      <w:r w:rsidRPr="00F26850">
        <w:rPr>
          <w:rFonts w:ascii="Book Antiqua" w:hAnsi="Book Antiqua" w:cs="Arial"/>
          <w:i/>
          <w:sz w:val="24"/>
          <w:szCs w:val="24"/>
        </w:rPr>
        <w:t>‘”</w:t>
      </w:r>
      <w:r w:rsidRPr="00F26850">
        <w:rPr>
          <w:rFonts w:ascii="Book Antiqua" w:eastAsia="Times New Roman" w:hAnsi="Book Antiqua"/>
          <w:i/>
          <w:color w:val="0B0C0C"/>
          <w:sz w:val="24"/>
          <w:szCs w:val="24"/>
          <w:lang w:eastAsia="en-GB"/>
        </w:rPr>
        <w:t>continuous</w:t>
      </w:r>
      <w:proofErr w:type="gramEnd"/>
      <w:r w:rsidR="0062765B" w:rsidRPr="00F26850">
        <w:rPr>
          <w:rFonts w:ascii="Book Antiqua" w:eastAsia="Times New Roman" w:hAnsi="Book Antiqua"/>
          <w:i/>
          <w:color w:val="0B0C0C"/>
          <w:sz w:val="24"/>
          <w:szCs w:val="24"/>
          <w:lang w:eastAsia="en-GB"/>
        </w:rPr>
        <w:t xml:space="preserve"> residence” means residence in the United Kingdom for an unbroken period’</w:t>
      </w:r>
      <w:r w:rsidR="003072A6" w:rsidRPr="00F26850">
        <w:rPr>
          <w:rFonts w:ascii="Book Antiqua" w:hAnsi="Book Antiqua" w:cs="Arial"/>
          <w:sz w:val="24"/>
          <w:szCs w:val="24"/>
        </w:rPr>
        <w:t>.</w:t>
      </w:r>
    </w:p>
    <w:p w14:paraId="2A89D914" w14:textId="77777777" w:rsidR="00FD1F50" w:rsidRPr="00F26850" w:rsidRDefault="003072A6" w:rsidP="00FD1F50">
      <w:pPr>
        <w:spacing w:before="240" w:after="0" w:line="240" w:lineRule="auto"/>
        <w:ind w:left="567"/>
        <w:jc w:val="both"/>
        <w:rPr>
          <w:rFonts w:ascii="Book Antiqua" w:hAnsi="Book Antiqua" w:cs="Arial"/>
          <w:sz w:val="24"/>
          <w:szCs w:val="24"/>
        </w:rPr>
      </w:pPr>
      <w:r w:rsidRPr="00F26850">
        <w:rPr>
          <w:rFonts w:ascii="Book Antiqua" w:hAnsi="Book Antiqua" w:cs="Arial"/>
          <w:sz w:val="24"/>
          <w:szCs w:val="24"/>
        </w:rPr>
        <w:t xml:space="preserve">That is the </w:t>
      </w:r>
      <w:r w:rsidR="005657C0" w:rsidRPr="00F26850">
        <w:rPr>
          <w:rFonts w:ascii="Book Antiqua" w:hAnsi="Book Antiqua" w:cs="Arial"/>
          <w:sz w:val="24"/>
          <w:szCs w:val="24"/>
        </w:rPr>
        <w:t xml:space="preserve">underlying rule. There is added to that basic rule that </w:t>
      </w:r>
    </w:p>
    <w:p w14:paraId="585A22F1" w14:textId="77777777" w:rsidR="00FD1F50" w:rsidRPr="00F26850" w:rsidRDefault="005657C0" w:rsidP="00477BAA">
      <w:pPr>
        <w:spacing w:before="120" w:after="0" w:line="240" w:lineRule="auto"/>
        <w:ind w:left="567"/>
        <w:jc w:val="both"/>
        <w:rPr>
          <w:rFonts w:ascii="Book Antiqua" w:hAnsi="Book Antiqua" w:cs="Arial"/>
          <w:sz w:val="24"/>
          <w:szCs w:val="24"/>
        </w:rPr>
      </w:pPr>
      <w:r w:rsidRPr="00F26850">
        <w:rPr>
          <w:rFonts w:ascii="Book Antiqua" w:hAnsi="Book Antiqua" w:cs="Arial"/>
          <w:sz w:val="24"/>
          <w:szCs w:val="24"/>
        </w:rPr>
        <w:t>‘</w:t>
      </w:r>
      <w:r w:rsidRPr="00F26850">
        <w:rPr>
          <w:rFonts w:ascii="Book Antiqua" w:hAnsi="Book Antiqua" w:cs="Arial"/>
          <w:i/>
          <w:sz w:val="24"/>
          <w:szCs w:val="24"/>
        </w:rPr>
        <w:t>for these purposes</w:t>
      </w:r>
      <w:r w:rsidR="00E57CB1" w:rsidRPr="00F26850">
        <w:rPr>
          <w:rFonts w:ascii="Book Antiqua" w:hAnsi="Book Antiqua" w:cs="Arial"/>
          <w:i/>
          <w:sz w:val="24"/>
          <w:szCs w:val="24"/>
        </w:rPr>
        <w:t xml:space="preserve"> a period shall not be considered to have been broken where an applicant is absent from the UK for a period of 6 months or less at any one time</w:t>
      </w:r>
      <w:r w:rsidR="00492022" w:rsidRPr="00F26850">
        <w:rPr>
          <w:rFonts w:ascii="Book Antiqua" w:hAnsi="Book Antiqua" w:cs="Arial"/>
          <w:sz w:val="24"/>
          <w:szCs w:val="24"/>
        </w:rPr>
        <w:t xml:space="preserve">’.  </w:t>
      </w:r>
    </w:p>
    <w:p w14:paraId="4DBB2AC9" w14:textId="0559929C" w:rsidR="00266694" w:rsidRPr="00F26850" w:rsidRDefault="00492022" w:rsidP="00FD1F50">
      <w:pPr>
        <w:spacing w:before="240" w:after="0" w:line="240" w:lineRule="auto"/>
        <w:ind w:left="567"/>
        <w:jc w:val="both"/>
        <w:rPr>
          <w:rFonts w:ascii="Book Antiqua" w:hAnsi="Book Antiqua" w:cs="Arial"/>
          <w:sz w:val="24"/>
          <w:szCs w:val="24"/>
        </w:rPr>
      </w:pPr>
      <w:r w:rsidRPr="00F26850">
        <w:rPr>
          <w:rFonts w:ascii="Book Antiqua" w:hAnsi="Book Antiqua" w:cs="Arial"/>
          <w:sz w:val="24"/>
          <w:szCs w:val="24"/>
        </w:rPr>
        <w:lastRenderedPageBreak/>
        <w:t xml:space="preserve">That sets out the position in relation to periods of </w:t>
      </w:r>
      <w:r w:rsidR="00A60F70" w:rsidRPr="00F26850">
        <w:rPr>
          <w:rFonts w:ascii="Book Antiqua" w:hAnsi="Book Antiqua" w:cs="Arial"/>
          <w:sz w:val="24"/>
          <w:szCs w:val="24"/>
        </w:rPr>
        <w:t xml:space="preserve">absence of </w:t>
      </w:r>
      <w:r w:rsidRPr="00F26850">
        <w:rPr>
          <w:rFonts w:ascii="Book Antiqua" w:hAnsi="Book Antiqua" w:cs="Arial"/>
          <w:sz w:val="24"/>
          <w:szCs w:val="24"/>
        </w:rPr>
        <w:t>6 months</w:t>
      </w:r>
      <w:r w:rsidR="00A60F70" w:rsidRPr="00F26850">
        <w:rPr>
          <w:rFonts w:ascii="Book Antiqua" w:hAnsi="Book Antiqua" w:cs="Arial"/>
          <w:sz w:val="24"/>
          <w:szCs w:val="24"/>
        </w:rPr>
        <w:t xml:space="preserve"> or under</w:t>
      </w:r>
      <w:r w:rsidRPr="00F26850">
        <w:rPr>
          <w:rFonts w:ascii="Book Antiqua" w:hAnsi="Book Antiqua" w:cs="Arial"/>
          <w:sz w:val="24"/>
          <w:szCs w:val="24"/>
        </w:rPr>
        <w:t xml:space="preserve">. The underlying rule is not </w:t>
      </w:r>
      <w:r w:rsidR="00754725" w:rsidRPr="00F26850">
        <w:rPr>
          <w:rFonts w:ascii="Book Antiqua" w:hAnsi="Book Antiqua" w:cs="Arial"/>
          <w:sz w:val="24"/>
          <w:szCs w:val="24"/>
        </w:rPr>
        <w:t xml:space="preserve">disturbed </w:t>
      </w:r>
      <w:r w:rsidR="00B70E5D" w:rsidRPr="00F26850">
        <w:rPr>
          <w:rFonts w:ascii="Book Antiqua" w:hAnsi="Book Antiqua" w:cs="Arial"/>
          <w:sz w:val="24"/>
          <w:szCs w:val="24"/>
        </w:rPr>
        <w:t xml:space="preserve">by that qualification </w:t>
      </w:r>
      <w:r w:rsidR="00754725" w:rsidRPr="00F26850">
        <w:rPr>
          <w:rFonts w:ascii="Book Antiqua" w:hAnsi="Book Antiqua" w:cs="Arial"/>
          <w:sz w:val="24"/>
          <w:szCs w:val="24"/>
        </w:rPr>
        <w:t>and</w:t>
      </w:r>
      <w:r w:rsidR="008F2A04" w:rsidRPr="00F26850">
        <w:rPr>
          <w:rFonts w:ascii="Book Antiqua" w:hAnsi="Book Antiqua" w:cs="Arial"/>
          <w:sz w:val="24"/>
          <w:szCs w:val="24"/>
        </w:rPr>
        <w:t>,</w:t>
      </w:r>
      <w:r w:rsidR="00754725" w:rsidRPr="00F26850">
        <w:rPr>
          <w:rFonts w:ascii="Book Antiqua" w:hAnsi="Book Antiqua" w:cs="Arial"/>
          <w:sz w:val="24"/>
          <w:szCs w:val="24"/>
        </w:rPr>
        <w:t xml:space="preserve"> therefore for the purposes of construction, the rule is not ‘silent’ because it is axiomatic that the rule</w:t>
      </w:r>
      <w:r w:rsidR="00B85769" w:rsidRPr="00F26850">
        <w:rPr>
          <w:rFonts w:ascii="Book Antiqua" w:hAnsi="Book Antiqua" w:cs="Arial"/>
          <w:sz w:val="24"/>
          <w:szCs w:val="24"/>
        </w:rPr>
        <w:t>, of unbroken residence,</w:t>
      </w:r>
      <w:r w:rsidR="00754725" w:rsidRPr="00F26850">
        <w:rPr>
          <w:rFonts w:ascii="Book Antiqua" w:hAnsi="Book Antiqua" w:cs="Arial"/>
          <w:sz w:val="24"/>
          <w:szCs w:val="24"/>
        </w:rPr>
        <w:t xml:space="preserve"> should be complied with. </w:t>
      </w:r>
      <w:r w:rsidR="00DB4D23" w:rsidRPr="00F26850">
        <w:rPr>
          <w:rFonts w:ascii="Book Antiqua" w:hAnsi="Book Antiqua" w:cs="Arial"/>
          <w:sz w:val="24"/>
          <w:szCs w:val="24"/>
        </w:rPr>
        <w:t xml:space="preserve"> </w:t>
      </w:r>
      <w:r w:rsidR="00B85769" w:rsidRPr="00F26850">
        <w:rPr>
          <w:rFonts w:ascii="Book Antiqua" w:hAnsi="Book Antiqua" w:cs="Arial"/>
          <w:sz w:val="24"/>
          <w:szCs w:val="24"/>
        </w:rPr>
        <w:t xml:space="preserve">That is consistent with </w:t>
      </w:r>
      <w:r w:rsidR="001C5B67" w:rsidRPr="00F26850">
        <w:rPr>
          <w:rFonts w:ascii="Book Antiqua" w:hAnsi="Book Antiqua" w:cs="Arial"/>
          <w:sz w:val="24"/>
          <w:szCs w:val="24"/>
        </w:rPr>
        <w:t xml:space="preserve">interpreting </w:t>
      </w:r>
      <w:r w:rsidR="00B85769" w:rsidRPr="00F26850">
        <w:rPr>
          <w:rFonts w:ascii="Book Antiqua" w:hAnsi="Book Antiqua" w:cs="Arial"/>
          <w:sz w:val="24"/>
          <w:szCs w:val="24"/>
        </w:rPr>
        <w:t xml:space="preserve">the </w:t>
      </w:r>
      <w:r w:rsidR="001C5B67" w:rsidRPr="00F26850">
        <w:rPr>
          <w:rFonts w:ascii="Book Antiqua" w:hAnsi="Book Antiqua" w:cs="Arial"/>
          <w:sz w:val="24"/>
          <w:szCs w:val="24"/>
        </w:rPr>
        <w:t xml:space="preserve">Rule in a sensible fashion. </w:t>
      </w:r>
      <w:r w:rsidR="00DB4D23" w:rsidRPr="00F26850">
        <w:rPr>
          <w:rFonts w:ascii="Book Antiqua" w:hAnsi="Book Antiqua" w:cs="Arial"/>
          <w:sz w:val="24"/>
          <w:szCs w:val="24"/>
        </w:rPr>
        <w:t xml:space="preserve"> In this instance the applicant accepts that </w:t>
      </w:r>
      <w:r w:rsidR="00A25B48" w:rsidRPr="00F26850">
        <w:rPr>
          <w:rFonts w:ascii="Book Antiqua" w:hAnsi="Book Antiqua" w:cs="Arial"/>
          <w:sz w:val="24"/>
          <w:szCs w:val="24"/>
        </w:rPr>
        <w:t xml:space="preserve">he was absent from the United Kingdom for a period of over six months albeit for a matter of 14 days. </w:t>
      </w:r>
    </w:p>
    <w:p w14:paraId="38B22178" w14:textId="2DAFB78F" w:rsidR="00A25B48" w:rsidRPr="00F26850" w:rsidRDefault="00171843" w:rsidP="008D61B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Nor does this rule import a discretion</w:t>
      </w:r>
      <w:r w:rsidR="00965E5F" w:rsidRPr="00F26850">
        <w:rPr>
          <w:rFonts w:ascii="Book Antiqua" w:hAnsi="Book Antiqua" w:cs="Arial"/>
          <w:sz w:val="24"/>
          <w:szCs w:val="24"/>
        </w:rPr>
        <w:t xml:space="preserve">. It spells out </w:t>
      </w:r>
      <w:r w:rsidR="006351C5" w:rsidRPr="00F26850">
        <w:rPr>
          <w:rFonts w:ascii="Book Antiqua" w:hAnsi="Book Antiqua" w:cs="Arial"/>
          <w:sz w:val="24"/>
          <w:szCs w:val="24"/>
        </w:rPr>
        <w:t xml:space="preserve">clearly when periods </w:t>
      </w:r>
      <w:r w:rsidR="00561F0B" w:rsidRPr="00F26850">
        <w:rPr>
          <w:rFonts w:ascii="Book Antiqua" w:hAnsi="Book Antiqua" w:cs="Arial"/>
          <w:sz w:val="24"/>
          <w:szCs w:val="24"/>
        </w:rPr>
        <w:t xml:space="preserve">of absence </w:t>
      </w:r>
      <w:r w:rsidR="006351C5" w:rsidRPr="00F26850">
        <w:rPr>
          <w:rFonts w:ascii="Book Antiqua" w:hAnsi="Book Antiqua" w:cs="Arial"/>
          <w:sz w:val="24"/>
          <w:szCs w:val="24"/>
        </w:rPr>
        <w:t>will or wil</w:t>
      </w:r>
      <w:r w:rsidR="00A3229F" w:rsidRPr="00F26850">
        <w:rPr>
          <w:rFonts w:ascii="Book Antiqua" w:hAnsi="Book Antiqua" w:cs="Arial"/>
          <w:sz w:val="24"/>
          <w:szCs w:val="24"/>
        </w:rPr>
        <w:t>l</w:t>
      </w:r>
      <w:r w:rsidR="006351C5" w:rsidRPr="00F26850">
        <w:rPr>
          <w:rFonts w:ascii="Book Antiqua" w:hAnsi="Book Antiqua" w:cs="Arial"/>
          <w:sz w:val="24"/>
          <w:szCs w:val="24"/>
        </w:rPr>
        <w:t xml:space="preserve"> not be characterised as having broken leave. </w:t>
      </w:r>
      <w:r w:rsidR="00965E5F" w:rsidRPr="00F26850">
        <w:rPr>
          <w:rFonts w:ascii="Book Antiqua" w:hAnsi="Book Antiqua" w:cs="Arial"/>
          <w:sz w:val="24"/>
          <w:szCs w:val="24"/>
        </w:rPr>
        <w:t xml:space="preserve"> The element of discretion</w:t>
      </w:r>
      <w:r w:rsidR="006351C5" w:rsidRPr="00F26850">
        <w:rPr>
          <w:rFonts w:ascii="Book Antiqua" w:hAnsi="Book Antiqua" w:cs="Arial"/>
          <w:sz w:val="24"/>
          <w:szCs w:val="24"/>
        </w:rPr>
        <w:t xml:space="preserve"> referred above</w:t>
      </w:r>
      <w:r w:rsidR="00965E5F" w:rsidRPr="00F26850">
        <w:rPr>
          <w:rFonts w:ascii="Book Antiqua" w:hAnsi="Book Antiqua" w:cs="Arial"/>
          <w:sz w:val="24"/>
          <w:szCs w:val="24"/>
        </w:rPr>
        <w:t xml:space="preserve"> is</w:t>
      </w:r>
      <w:r w:rsidR="002F2C4B" w:rsidRPr="00F26850">
        <w:rPr>
          <w:rFonts w:ascii="Book Antiqua" w:hAnsi="Book Antiqua" w:cs="Arial"/>
          <w:sz w:val="24"/>
          <w:szCs w:val="24"/>
        </w:rPr>
        <w:t xml:space="preserve">, in my view, merely the discretion that the Secretary of State retains in all decision making. </w:t>
      </w:r>
      <w:r w:rsidR="00883B5A" w:rsidRPr="00F26850">
        <w:rPr>
          <w:rFonts w:ascii="Book Antiqua" w:hAnsi="Book Antiqua" w:cs="Arial"/>
          <w:sz w:val="24"/>
          <w:szCs w:val="24"/>
        </w:rPr>
        <w:t xml:space="preserve">  As such the </w:t>
      </w:r>
      <w:r w:rsidR="00593FE4" w:rsidRPr="00F26850">
        <w:rPr>
          <w:rFonts w:ascii="Book Antiqua" w:hAnsi="Book Antiqua" w:cs="Arial"/>
          <w:sz w:val="24"/>
          <w:szCs w:val="24"/>
        </w:rPr>
        <w:t>J</w:t>
      </w:r>
      <w:r w:rsidR="001B0F3A" w:rsidRPr="00F26850">
        <w:rPr>
          <w:rFonts w:ascii="Book Antiqua" w:hAnsi="Book Antiqua" w:cs="Arial"/>
          <w:sz w:val="24"/>
          <w:szCs w:val="24"/>
        </w:rPr>
        <w:t>udge</w:t>
      </w:r>
      <w:r w:rsidR="00593FE4" w:rsidRPr="00F26850">
        <w:rPr>
          <w:rFonts w:ascii="Book Antiqua" w:hAnsi="Book Antiqua" w:cs="Arial"/>
          <w:sz w:val="24"/>
          <w:szCs w:val="24"/>
        </w:rPr>
        <w:t xml:space="preserve"> </w:t>
      </w:r>
      <w:proofErr w:type="spellStart"/>
      <w:r w:rsidR="00593FE4" w:rsidRPr="00F26850">
        <w:rPr>
          <w:rFonts w:ascii="Book Antiqua" w:hAnsi="Book Antiqua" w:cs="Arial"/>
          <w:sz w:val="24"/>
          <w:szCs w:val="24"/>
        </w:rPr>
        <w:t>Eban’s</w:t>
      </w:r>
      <w:proofErr w:type="spellEnd"/>
      <w:r w:rsidR="00883B5A" w:rsidRPr="00F26850">
        <w:rPr>
          <w:rFonts w:ascii="Book Antiqua" w:hAnsi="Book Antiqua" w:cs="Arial"/>
          <w:sz w:val="24"/>
          <w:szCs w:val="24"/>
        </w:rPr>
        <w:t xml:space="preserve"> interpretation </w:t>
      </w:r>
      <w:r w:rsidR="00593FE4" w:rsidRPr="00F26850">
        <w:rPr>
          <w:rFonts w:ascii="Book Antiqua" w:hAnsi="Book Antiqua" w:cs="Arial"/>
          <w:sz w:val="24"/>
          <w:szCs w:val="24"/>
        </w:rPr>
        <w:t xml:space="preserve">at [11] and [12] </w:t>
      </w:r>
      <w:r w:rsidR="00883B5A" w:rsidRPr="00F26850">
        <w:rPr>
          <w:rFonts w:ascii="Book Antiqua" w:hAnsi="Book Antiqua" w:cs="Arial"/>
          <w:sz w:val="24"/>
          <w:szCs w:val="24"/>
        </w:rPr>
        <w:t xml:space="preserve">that the </w:t>
      </w:r>
      <w:r w:rsidR="003069D7" w:rsidRPr="00F26850">
        <w:rPr>
          <w:rFonts w:ascii="Book Antiqua" w:hAnsi="Book Antiqua" w:cs="Arial"/>
          <w:sz w:val="24"/>
          <w:szCs w:val="24"/>
        </w:rPr>
        <w:t>absence for</w:t>
      </w:r>
      <w:r w:rsidR="00561F0B" w:rsidRPr="00F26850">
        <w:rPr>
          <w:rFonts w:ascii="Book Antiqua" w:hAnsi="Book Antiqua" w:cs="Arial"/>
          <w:sz w:val="24"/>
          <w:szCs w:val="24"/>
        </w:rPr>
        <w:t xml:space="preserve"> </w:t>
      </w:r>
      <w:r w:rsidR="00561F0B" w:rsidRPr="00F26850">
        <w:rPr>
          <w:rFonts w:ascii="Book Antiqua" w:hAnsi="Book Antiqua" w:cs="Arial"/>
          <w:i/>
          <w:sz w:val="24"/>
          <w:szCs w:val="24"/>
        </w:rPr>
        <w:t>‘</w:t>
      </w:r>
      <w:r w:rsidR="003069D7" w:rsidRPr="00F26850">
        <w:rPr>
          <w:rFonts w:ascii="Book Antiqua" w:hAnsi="Book Antiqua" w:cs="Arial"/>
          <w:i/>
          <w:sz w:val="24"/>
          <w:szCs w:val="24"/>
        </w:rPr>
        <w:t>a period of six months or more at any one time, as in this case, the period is broken’</w:t>
      </w:r>
      <w:r w:rsidR="003069D7" w:rsidRPr="00F26850">
        <w:rPr>
          <w:rFonts w:ascii="Book Antiqua" w:hAnsi="Book Antiqua" w:cs="Arial"/>
          <w:sz w:val="24"/>
          <w:szCs w:val="24"/>
        </w:rPr>
        <w:t xml:space="preserve"> must be correct.  </w:t>
      </w:r>
    </w:p>
    <w:p w14:paraId="6AD1B65E" w14:textId="4FFF5083" w:rsidR="00E4262D" w:rsidRPr="00F26850" w:rsidRDefault="007657F1" w:rsidP="008D61B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In effect </w:t>
      </w:r>
      <w:r w:rsidR="001B0F3A" w:rsidRPr="00F26850">
        <w:rPr>
          <w:rFonts w:ascii="Book Antiqua" w:hAnsi="Book Antiqua" w:cs="Arial"/>
          <w:sz w:val="24"/>
          <w:szCs w:val="24"/>
        </w:rPr>
        <w:t>counsel’s</w:t>
      </w:r>
      <w:r w:rsidRPr="00F26850">
        <w:rPr>
          <w:rFonts w:ascii="Book Antiqua" w:hAnsi="Book Antiqua" w:cs="Arial"/>
          <w:sz w:val="24"/>
          <w:szCs w:val="24"/>
        </w:rPr>
        <w:t xml:space="preserve"> </w:t>
      </w:r>
      <w:r w:rsidR="001B0F3A" w:rsidRPr="00F26850">
        <w:rPr>
          <w:rFonts w:ascii="Book Antiqua" w:hAnsi="Book Antiqua" w:cs="Arial"/>
          <w:sz w:val="24"/>
          <w:szCs w:val="24"/>
        </w:rPr>
        <w:t>submission</w:t>
      </w:r>
      <w:r w:rsidR="007331D1" w:rsidRPr="00F26850">
        <w:rPr>
          <w:rFonts w:ascii="Book Antiqua" w:hAnsi="Book Antiqua" w:cs="Arial"/>
          <w:sz w:val="24"/>
          <w:szCs w:val="24"/>
        </w:rPr>
        <w:t>s</w:t>
      </w:r>
      <w:r w:rsidRPr="00F26850">
        <w:rPr>
          <w:rFonts w:ascii="Book Antiqua" w:hAnsi="Book Antiqua" w:cs="Arial"/>
          <w:sz w:val="24"/>
          <w:szCs w:val="24"/>
        </w:rPr>
        <w:t xml:space="preserve"> </w:t>
      </w:r>
      <w:r w:rsidR="009D753F" w:rsidRPr="00F26850">
        <w:rPr>
          <w:rFonts w:ascii="Book Antiqua" w:hAnsi="Book Antiqua" w:cs="Arial"/>
          <w:sz w:val="24"/>
          <w:szCs w:val="24"/>
        </w:rPr>
        <w:t xml:space="preserve">before the First-tier Tribunal and before me, </w:t>
      </w:r>
      <w:r w:rsidRPr="00F26850">
        <w:rPr>
          <w:rFonts w:ascii="Book Antiqua" w:hAnsi="Book Antiqua" w:cs="Arial"/>
          <w:sz w:val="24"/>
          <w:szCs w:val="24"/>
        </w:rPr>
        <w:t xml:space="preserve">relied on the </w:t>
      </w:r>
      <w:r w:rsidR="00AC5A85" w:rsidRPr="00F26850">
        <w:rPr>
          <w:rFonts w:ascii="Book Antiqua" w:hAnsi="Book Antiqua" w:cs="Arial"/>
          <w:sz w:val="24"/>
          <w:szCs w:val="24"/>
        </w:rPr>
        <w:t>Long Residence G</w:t>
      </w:r>
      <w:r w:rsidRPr="00F26850">
        <w:rPr>
          <w:rFonts w:ascii="Book Antiqua" w:hAnsi="Book Antiqua" w:cs="Arial"/>
          <w:sz w:val="24"/>
          <w:szCs w:val="24"/>
        </w:rPr>
        <w:t>uidance which stated that it may be appropriate to exercise discretion</w:t>
      </w:r>
      <w:r w:rsidR="00704D8C" w:rsidRPr="00F26850">
        <w:rPr>
          <w:rFonts w:ascii="Book Antiqua" w:hAnsi="Book Antiqua" w:cs="Arial"/>
          <w:sz w:val="24"/>
          <w:szCs w:val="24"/>
        </w:rPr>
        <w:t xml:space="preserve"> over excess</w:t>
      </w:r>
      <w:r w:rsidR="00490A8E" w:rsidRPr="00F26850">
        <w:rPr>
          <w:rFonts w:ascii="Book Antiqua" w:hAnsi="Book Antiqua" w:cs="Arial"/>
          <w:sz w:val="24"/>
          <w:szCs w:val="24"/>
        </w:rPr>
        <w:t>ive</w:t>
      </w:r>
      <w:r w:rsidR="00704D8C" w:rsidRPr="00F26850">
        <w:rPr>
          <w:rFonts w:ascii="Book Antiqua" w:hAnsi="Book Antiqua" w:cs="Arial"/>
          <w:sz w:val="24"/>
          <w:szCs w:val="24"/>
        </w:rPr>
        <w:t xml:space="preserve"> absences in compelling or compassionate circumstances.  </w:t>
      </w:r>
      <w:r w:rsidR="00FB1E48" w:rsidRPr="00F26850">
        <w:rPr>
          <w:rFonts w:ascii="Book Antiqua" w:hAnsi="Book Antiqua" w:cs="Arial"/>
          <w:sz w:val="24"/>
          <w:szCs w:val="24"/>
        </w:rPr>
        <w:t xml:space="preserve">That guidance relates to the wider discretion of the Secretary of State, outside the Rules and as identified above.  </w:t>
      </w:r>
      <w:r w:rsidR="00704D8C" w:rsidRPr="00F26850">
        <w:rPr>
          <w:rFonts w:ascii="Book Antiqua" w:hAnsi="Book Antiqua" w:cs="Arial"/>
          <w:sz w:val="24"/>
          <w:szCs w:val="24"/>
        </w:rPr>
        <w:t xml:space="preserve">As the judge stated </w:t>
      </w:r>
    </w:p>
    <w:p w14:paraId="41A85E83" w14:textId="4A48EDA5" w:rsidR="008D61B2" w:rsidRPr="00F26850" w:rsidRDefault="004C7487" w:rsidP="00477BAA">
      <w:pPr>
        <w:spacing w:before="120" w:after="0" w:line="240" w:lineRule="auto"/>
        <w:ind w:left="1134"/>
        <w:jc w:val="both"/>
        <w:rPr>
          <w:rFonts w:ascii="Book Antiqua" w:hAnsi="Book Antiqua" w:cs="Arial"/>
          <w:sz w:val="24"/>
          <w:szCs w:val="24"/>
        </w:rPr>
      </w:pPr>
      <w:r w:rsidRPr="00F26850">
        <w:rPr>
          <w:rFonts w:ascii="Book Antiqua" w:hAnsi="Book Antiqua" w:cs="Arial"/>
          <w:sz w:val="24"/>
          <w:szCs w:val="24"/>
        </w:rPr>
        <w:t>‘</w:t>
      </w:r>
      <w:r w:rsidR="00704D8C" w:rsidRPr="00F26850">
        <w:rPr>
          <w:rFonts w:ascii="Book Antiqua" w:hAnsi="Book Antiqua" w:cs="Arial"/>
          <w:i/>
          <w:sz w:val="24"/>
          <w:szCs w:val="24"/>
        </w:rPr>
        <w:t>the Secretary of State</w:t>
      </w:r>
      <w:r w:rsidR="00CB6A3E" w:rsidRPr="00F26850">
        <w:rPr>
          <w:rFonts w:ascii="Book Antiqua" w:hAnsi="Book Antiqua" w:cs="Arial"/>
          <w:i/>
          <w:sz w:val="24"/>
          <w:szCs w:val="24"/>
        </w:rPr>
        <w:t xml:space="preserve"> did consider the reasons for the appellant’s absence and undertook an informal interview and that she was aware that the purpose of the absence was acade</w:t>
      </w:r>
      <w:r w:rsidRPr="00F26850">
        <w:rPr>
          <w:rFonts w:ascii="Book Antiqua" w:hAnsi="Book Antiqua" w:cs="Arial"/>
          <w:i/>
          <w:sz w:val="24"/>
          <w:szCs w:val="24"/>
        </w:rPr>
        <w:t>mic and was to complete a comparative study of software houses</w:t>
      </w:r>
      <w:r w:rsidRPr="00F26850">
        <w:rPr>
          <w:rFonts w:ascii="Book Antiqua" w:hAnsi="Book Antiqua" w:cs="Arial"/>
          <w:sz w:val="24"/>
          <w:szCs w:val="24"/>
        </w:rPr>
        <w:t>’.</w:t>
      </w:r>
    </w:p>
    <w:p w14:paraId="18FB9198" w14:textId="335B15AB" w:rsidR="00FB1E48" w:rsidRPr="00F26850" w:rsidRDefault="00601225" w:rsidP="008D61B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The appeal was made on human rights grounds.  At the hearing before me the parties were reminded that the appeal rights </w:t>
      </w:r>
      <w:r w:rsidR="00337EA8" w:rsidRPr="00F26850">
        <w:rPr>
          <w:rFonts w:ascii="Book Antiqua" w:hAnsi="Book Antiqua" w:cs="Arial"/>
          <w:sz w:val="24"/>
          <w:szCs w:val="24"/>
        </w:rPr>
        <w:t xml:space="preserve">had been restricted </w:t>
      </w:r>
      <w:r w:rsidRPr="00F26850">
        <w:rPr>
          <w:rFonts w:ascii="Book Antiqua" w:hAnsi="Book Antiqua" w:cs="Arial"/>
          <w:sz w:val="24"/>
          <w:szCs w:val="24"/>
        </w:rPr>
        <w:t xml:space="preserve">since the </w:t>
      </w:r>
      <w:r w:rsidR="0000357E" w:rsidRPr="00F26850">
        <w:rPr>
          <w:rFonts w:ascii="Book Antiqua" w:hAnsi="Book Antiqua" w:cs="Arial"/>
          <w:sz w:val="24"/>
          <w:szCs w:val="24"/>
        </w:rPr>
        <w:t xml:space="preserve">introduction of the Immigration Act 2014. </w:t>
      </w:r>
      <w:r w:rsidR="00BC6EB7">
        <w:rPr>
          <w:rFonts w:ascii="Book Antiqua" w:hAnsi="Book Antiqua" w:cs="Arial"/>
          <w:sz w:val="24"/>
          <w:szCs w:val="24"/>
        </w:rPr>
        <w:t>It appeared that b</w:t>
      </w:r>
      <w:r w:rsidR="00384351" w:rsidRPr="00F26850">
        <w:rPr>
          <w:rFonts w:ascii="Book Antiqua" w:hAnsi="Book Antiqua" w:cs="Arial"/>
          <w:sz w:val="24"/>
          <w:szCs w:val="24"/>
        </w:rPr>
        <w:t>oth unreported</w:t>
      </w:r>
      <w:r w:rsidR="00753763" w:rsidRPr="00F26850">
        <w:rPr>
          <w:rFonts w:ascii="Book Antiqua" w:hAnsi="Book Antiqua" w:cs="Arial"/>
          <w:sz w:val="24"/>
          <w:szCs w:val="24"/>
        </w:rPr>
        <w:t xml:space="preserve"> decisions related to appeals prior to the amendments.</w:t>
      </w:r>
      <w:r w:rsidR="0000357E" w:rsidRPr="00F26850">
        <w:rPr>
          <w:rFonts w:ascii="Book Antiqua" w:hAnsi="Book Antiqua" w:cs="Arial"/>
          <w:sz w:val="24"/>
          <w:szCs w:val="24"/>
        </w:rPr>
        <w:t xml:space="preserve"> An appeal </w:t>
      </w:r>
      <w:r w:rsidR="00F54601" w:rsidRPr="00F26850">
        <w:rPr>
          <w:rFonts w:ascii="Book Antiqua" w:hAnsi="Book Antiqua" w:cs="Arial"/>
          <w:sz w:val="24"/>
          <w:szCs w:val="24"/>
        </w:rPr>
        <w:t xml:space="preserve">right under Section 84 of the </w:t>
      </w:r>
      <w:r w:rsidR="00B43D60" w:rsidRPr="00F26850">
        <w:rPr>
          <w:rFonts w:ascii="Book Antiqua" w:hAnsi="Book Antiqua" w:cs="Arial"/>
          <w:sz w:val="24"/>
          <w:szCs w:val="24"/>
        </w:rPr>
        <w:t>Nationality Immigration and Asylum Act 2002,</w:t>
      </w:r>
      <w:r w:rsidR="00F54601" w:rsidRPr="00F26850">
        <w:rPr>
          <w:rFonts w:ascii="Book Antiqua" w:hAnsi="Book Antiqua" w:cs="Arial"/>
          <w:sz w:val="24"/>
          <w:szCs w:val="24"/>
        </w:rPr>
        <w:t xml:space="preserve"> no</w:t>
      </w:r>
      <w:r w:rsidR="00281C52" w:rsidRPr="00F26850">
        <w:rPr>
          <w:rFonts w:ascii="Book Antiqua" w:hAnsi="Book Antiqua" w:cs="Arial"/>
          <w:sz w:val="24"/>
          <w:szCs w:val="24"/>
        </w:rPr>
        <w:t>w no</w:t>
      </w:r>
      <w:r w:rsidR="00F54601" w:rsidRPr="00F26850">
        <w:rPr>
          <w:rFonts w:ascii="Book Antiqua" w:hAnsi="Book Antiqua" w:cs="Arial"/>
          <w:sz w:val="24"/>
          <w:szCs w:val="24"/>
        </w:rPr>
        <w:t xml:space="preserve"> longer includes</w:t>
      </w:r>
      <w:r w:rsidR="00902B3D" w:rsidRPr="00F26850">
        <w:rPr>
          <w:rFonts w:ascii="Book Antiqua" w:hAnsi="Book Antiqua" w:cs="Arial"/>
          <w:sz w:val="24"/>
          <w:szCs w:val="24"/>
        </w:rPr>
        <w:t xml:space="preserve"> a ground that the decision is not in accordance with the immigration rules or that the decision is not in accordance with the law. </w:t>
      </w:r>
      <w:r w:rsidR="00403A69" w:rsidRPr="00F26850">
        <w:rPr>
          <w:rFonts w:ascii="Book Antiqua" w:hAnsi="Book Antiqua" w:cs="Arial"/>
          <w:sz w:val="24"/>
          <w:szCs w:val="24"/>
        </w:rPr>
        <w:t xml:space="preserve"> Nor is there a ground of appeal </w:t>
      </w:r>
      <w:r w:rsidR="00CE2A74" w:rsidRPr="00F26850">
        <w:rPr>
          <w:rFonts w:ascii="Book Antiqua" w:hAnsi="Book Antiqua" w:cs="Arial"/>
          <w:sz w:val="24"/>
          <w:szCs w:val="24"/>
        </w:rPr>
        <w:t xml:space="preserve">on the basis that the person taking the decision should have exercised differently a discretion conferred by the immigration rules.  </w:t>
      </w:r>
      <w:r w:rsidR="000D43E8" w:rsidRPr="00F26850">
        <w:rPr>
          <w:rFonts w:ascii="Book Antiqua" w:hAnsi="Book Antiqua" w:cs="Arial"/>
          <w:sz w:val="24"/>
          <w:szCs w:val="24"/>
        </w:rPr>
        <w:t>As indicated I do not accept that there is a</w:t>
      </w:r>
      <w:r w:rsidR="00DF66D4" w:rsidRPr="00F26850">
        <w:rPr>
          <w:rFonts w:ascii="Book Antiqua" w:hAnsi="Book Antiqua" w:cs="Arial"/>
          <w:sz w:val="24"/>
          <w:szCs w:val="24"/>
        </w:rPr>
        <w:t>ny</w:t>
      </w:r>
      <w:r w:rsidR="000D43E8" w:rsidRPr="00F26850">
        <w:rPr>
          <w:rFonts w:ascii="Book Antiqua" w:hAnsi="Book Antiqua" w:cs="Arial"/>
          <w:sz w:val="24"/>
          <w:szCs w:val="24"/>
        </w:rPr>
        <w:t xml:space="preserve"> discretion conferred by the immigration rules under paragraph 276</w:t>
      </w:r>
      <w:r w:rsidR="003A269A" w:rsidRPr="00F26850">
        <w:rPr>
          <w:rFonts w:ascii="Book Antiqua" w:hAnsi="Book Antiqua" w:cs="Arial"/>
          <w:sz w:val="24"/>
          <w:szCs w:val="24"/>
        </w:rPr>
        <w:t>A.</w:t>
      </w:r>
      <w:r w:rsidR="005C5F1D" w:rsidRPr="00F26850">
        <w:rPr>
          <w:rFonts w:ascii="Book Antiqua" w:hAnsi="Book Antiqua" w:cs="Arial"/>
          <w:sz w:val="24"/>
          <w:szCs w:val="24"/>
        </w:rPr>
        <w:t xml:space="preserve"> </w:t>
      </w:r>
    </w:p>
    <w:p w14:paraId="6E7119AC" w14:textId="1595EC05" w:rsidR="00C26980" w:rsidRPr="00F26850" w:rsidRDefault="00B03733" w:rsidP="003A705F">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How was the judge to approach the question of the exercise of </w:t>
      </w:r>
      <w:r w:rsidR="002F0BBB" w:rsidRPr="00F26850">
        <w:rPr>
          <w:rFonts w:ascii="Book Antiqua" w:hAnsi="Book Antiqua" w:cs="Arial"/>
          <w:sz w:val="24"/>
          <w:szCs w:val="24"/>
        </w:rPr>
        <w:t>discretion?</w:t>
      </w:r>
      <w:r w:rsidRPr="00F26850">
        <w:rPr>
          <w:rFonts w:ascii="Book Antiqua" w:hAnsi="Book Antiqua" w:cs="Arial"/>
          <w:sz w:val="24"/>
          <w:szCs w:val="24"/>
        </w:rPr>
        <w:t xml:space="preserve">  Mrs de Souza submitted that </w:t>
      </w:r>
      <w:r w:rsidR="006341FC" w:rsidRPr="00F26850">
        <w:rPr>
          <w:rFonts w:ascii="Book Antiqua" w:hAnsi="Book Antiqua" w:cs="Arial"/>
          <w:sz w:val="24"/>
          <w:szCs w:val="24"/>
        </w:rPr>
        <w:t xml:space="preserve">it was open to the judge to exercise her discretion whilst Ms Isherwood argued that </w:t>
      </w:r>
      <w:proofErr w:type="spellStart"/>
      <w:r w:rsidR="005C5F1D" w:rsidRPr="00F26850">
        <w:rPr>
          <w:rFonts w:ascii="Book Antiqua" w:hAnsi="Book Antiqua"/>
          <w:b/>
          <w:sz w:val="24"/>
          <w:szCs w:val="24"/>
          <w:u w:val="single"/>
        </w:rPr>
        <w:t>Ukus</w:t>
      </w:r>
      <w:proofErr w:type="spellEnd"/>
      <w:r w:rsidR="005C5F1D" w:rsidRPr="00F26850">
        <w:rPr>
          <w:rFonts w:ascii="Book Antiqua" w:hAnsi="Book Antiqua"/>
          <w:b/>
          <w:sz w:val="24"/>
          <w:szCs w:val="24"/>
          <w:u w:val="single"/>
        </w:rPr>
        <w:t xml:space="preserve"> (discretion: when reviewable)</w:t>
      </w:r>
      <w:r w:rsidR="005C5F1D" w:rsidRPr="00F26850">
        <w:rPr>
          <w:rFonts w:ascii="Book Antiqua" w:hAnsi="Book Antiqua"/>
          <w:sz w:val="24"/>
          <w:szCs w:val="24"/>
        </w:rPr>
        <w:t xml:space="preserve"> </w:t>
      </w:r>
      <w:hyperlink r:id="rId9" w:history="1">
        <w:r w:rsidR="005C5F1D" w:rsidRPr="0046558C">
          <w:rPr>
            <w:rStyle w:val="Hyperlink"/>
            <w:rFonts w:ascii="Book Antiqua" w:hAnsi="Book Antiqua"/>
            <w:color w:val="auto"/>
            <w:sz w:val="24"/>
            <w:szCs w:val="24"/>
            <w:u w:val="none"/>
          </w:rPr>
          <w:t>[2012] UKUT 00307</w:t>
        </w:r>
      </w:hyperlink>
      <w:r w:rsidR="0046558C">
        <w:rPr>
          <w:rFonts w:ascii="Book Antiqua" w:hAnsi="Book Antiqua"/>
          <w:sz w:val="24"/>
          <w:szCs w:val="24"/>
        </w:rPr>
        <w:t xml:space="preserve"> </w:t>
      </w:r>
      <w:r w:rsidR="005C5F1D" w:rsidRPr="00F26850">
        <w:rPr>
          <w:rFonts w:ascii="Book Antiqua" w:hAnsi="Book Antiqua"/>
          <w:sz w:val="24"/>
          <w:szCs w:val="24"/>
        </w:rPr>
        <w:t>(IAC)</w:t>
      </w:r>
      <w:r w:rsidR="006341FC" w:rsidRPr="00F26850">
        <w:rPr>
          <w:rFonts w:ascii="Book Antiqua" w:hAnsi="Book Antiqua" w:cs="Arial"/>
          <w:sz w:val="24"/>
          <w:szCs w:val="24"/>
        </w:rPr>
        <w:t xml:space="preserve"> applied.</w:t>
      </w:r>
      <w:r w:rsidR="00A71CA5" w:rsidRPr="00F26850">
        <w:rPr>
          <w:rFonts w:ascii="Book Antiqua" w:hAnsi="Book Antiqua" w:cs="Arial"/>
          <w:sz w:val="24"/>
          <w:szCs w:val="24"/>
        </w:rPr>
        <w:t xml:space="preserve"> </w:t>
      </w:r>
      <w:r w:rsidR="005528D9" w:rsidRPr="00F26850">
        <w:rPr>
          <w:rFonts w:ascii="Book Antiqua" w:hAnsi="Book Antiqua" w:cs="Arial"/>
          <w:sz w:val="24"/>
          <w:szCs w:val="24"/>
        </w:rPr>
        <w:t xml:space="preserve"> I do not accept Mrs de Souza’s submission</w:t>
      </w:r>
      <w:r w:rsidR="00CC3B67" w:rsidRPr="00F26850">
        <w:rPr>
          <w:rFonts w:ascii="Book Antiqua" w:hAnsi="Book Antiqua" w:cs="Arial"/>
          <w:sz w:val="24"/>
          <w:szCs w:val="24"/>
        </w:rPr>
        <w:t>, that is</w:t>
      </w:r>
      <w:r w:rsidR="005528D9" w:rsidRPr="00F26850">
        <w:rPr>
          <w:rFonts w:ascii="Book Antiqua" w:hAnsi="Book Antiqua" w:cs="Arial"/>
          <w:sz w:val="24"/>
          <w:szCs w:val="24"/>
        </w:rPr>
        <w:t xml:space="preserve"> because </w:t>
      </w:r>
      <w:r w:rsidR="00300B64" w:rsidRPr="00F26850">
        <w:rPr>
          <w:rFonts w:ascii="Book Antiqua" w:hAnsi="Book Antiqua" w:cs="Arial"/>
          <w:sz w:val="24"/>
          <w:szCs w:val="24"/>
        </w:rPr>
        <w:t xml:space="preserve">the appeal does not </w:t>
      </w:r>
      <w:r w:rsidR="005448B8" w:rsidRPr="00F26850">
        <w:rPr>
          <w:rFonts w:ascii="Book Antiqua" w:hAnsi="Book Antiqua" w:cs="Arial"/>
          <w:sz w:val="24"/>
          <w:szCs w:val="24"/>
        </w:rPr>
        <w:t>encompass the</w:t>
      </w:r>
      <w:r w:rsidR="00A03979" w:rsidRPr="00F26850">
        <w:rPr>
          <w:rFonts w:ascii="Book Antiqua" w:hAnsi="Book Antiqua" w:cs="Arial"/>
          <w:sz w:val="24"/>
          <w:szCs w:val="24"/>
        </w:rPr>
        <w:t xml:space="preserve"> exercise of a discretionary power</w:t>
      </w:r>
      <w:r w:rsidR="009D4BBB" w:rsidRPr="00F26850">
        <w:rPr>
          <w:rFonts w:ascii="Book Antiqua" w:hAnsi="Book Antiqua" w:cs="Arial"/>
          <w:sz w:val="24"/>
          <w:szCs w:val="24"/>
        </w:rPr>
        <w:t xml:space="preserve">.  </w:t>
      </w:r>
      <w:r w:rsidR="00EE4CD1" w:rsidRPr="00F26850">
        <w:rPr>
          <w:rFonts w:ascii="Book Antiqua" w:hAnsi="Book Antiqua" w:cs="Arial"/>
          <w:sz w:val="24"/>
          <w:szCs w:val="24"/>
        </w:rPr>
        <w:t xml:space="preserve">  </w:t>
      </w:r>
      <w:r w:rsidR="00AB5B9F" w:rsidRPr="00F26850">
        <w:rPr>
          <w:rFonts w:ascii="Book Antiqua" w:hAnsi="Book Antiqua" w:cs="Arial"/>
          <w:sz w:val="24"/>
          <w:szCs w:val="24"/>
        </w:rPr>
        <w:t>In this appeal t</w:t>
      </w:r>
      <w:r w:rsidR="00A62311" w:rsidRPr="00F26850">
        <w:rPr>
          <w:rFonts w:ascii="Book Antiqua" w:hAnsi="Book Antiqua" w:cs="Arial"/>
          <w:sz w:val="24"/>
          <w:szCs w:val="24"/>
        </w:rPr>
        <w:t xml:space="preserve">he </w:t>
      </w:r>
      <w:r w:rsidR="00705DCF" w:rsidRPr="00F26850">
        <w:rPr>
          <w:rFonts w:ascii="Book Antiqua" w:hAnsi="Book Antiqua" w:cs="Arial"/>
          <w:sz w:val="24"/>
          <w:szCs w:val="24"/>
        </w:rPr>
        <w:t xml:space="preserve">Tribunal has no power or jurisdiction to </w:t>
      </w:r>
      <w:r w:rsidR="00905BD8" w:rsidRPr="00F26850">
        <w:rPr>
          <w:rFonts w:ascii="Book Antiqua" w:hAnsi="Book Antiqua" w:cs="Arial"/>
          <w:sz w:val="24"/>
          <w:szCs w:val="24"/>
        </w:rPr>
        <w:t>intervene in that decision</w:t>
      </w:r>
      <w:r w:rsidR="00D11B85" w:rsidRPr="00F26850">
        <w:rPr>
          <w:rFonts w:ascii="Book Antiqua" w:hAnsi="Book Antiqua" w:cs="Arial"/>
          <w:sz w:val="24"/>
          <w:szCs w:val="24"/>
        </w:rPr>
        <w:t xml:space="preserve"> in relation to the </w:t>
      </w:r>
      <w:r w:rsidR="00D11B85" w:rsidRPr="00F26850">
        <w:rPr>
          <w:rFonts w:ascii="Book Antiqua" w:hAnsi="Book Antiqua" w:cs="Arial"/>
          <w:sz w:val="24"/>
          <w:szCs w:val="24"/>
        </w:rPr>
        <w:lastRenderedPageBreak/>
        <w:t>Immigration Rules</w:t>
      </w:r>
      <w:r w:rsidR="00905BD8" w:rsidRPr="00F26850">
        <w:rPr>
          <w:rFonts w:ascii="Book Antiqua" w:hAnsi="Book Antiqua" w:cs="Arial"/>
          <w:sz w:val="24"/>
          <w:szCs w:val="24"/>
        </w:rPr>
        <w:t>.</w:t>
      </w:r>
      <w:r w:rsidR="00D11B85" w:rsidRPr="00F26850">
        <w:rPr>
          <w:rFonts w:ascii="Book Antiqua" w:hAnsi="Book Antiqua" w:cs="Arial"/>
          <w:sz w:val="24"/>
          <w:szCs w:val="24"/>
        </w:rPr>
        <w:t xml:space="preserve">  There is no appeal on that basis.</w:t>
      </w:r>
      <w:r w:rsidR="00905BD8" w:rsidRPr="00F26850">
        <w:rPr>
          <w:rFonts w:ascii="Book Antiqua" w:hAnsi="Book Antiqua" w:cs="Arial"/>
          <w:sz w:val="24"/>
          <w:szCs w:val="24"/>
        </w:rPr>
        <w:t xml:space="preserve">  The most that can be achieved is </w:t>
      </w:r>
      <w:r w:rsidR="001E697F" w:rsidRPr="00F26850">
        <w:rPr>
          <w:rFonts w:ascii="Book Antiqua" w:hAnsi="Book Antiqua" w:cs="Arial"/>
          <w:sz w:val="24"/>
          <w:szCs w:val="24"/>
        </w:rPr>
        <w:t>consideration of the Policy</w:t>
      </w:r>
      <w:r w:rsidR="00CA73E0" w:rsidRPr="00F26850">
        <w:rPr>
          <w:rFonts w:ascii="Book Antiqua" w:hAnsi="Book Antiqua" w:cs="Arial"/>
          <w:sz w:val="24"/>
          <w:szCs w:val="24"/>
        </w:rPr>
        <w:t xml:space="preserve"> or Guidance</w:t>
      </w:r>
      <w:r w:rsidR="001E697F" w:rsidRPr="00F26850">
        <w:rPr>
          <w:rFonts w:ascii="Book Antiqua" w:hAnsi="Book Antiqua" w:cs="Arial"/>
          <w:sz w:val="24"/>
          <w:szCs w:val="24"/>
        </w:rPr>
        <w:t xml:space="preserve"> as a relevant factor under Article 8.  </w:t>
      </w:r>
    </w:p>
    <w:p w14:paraId="1246BC0F" w14:textId="211CED43" w:rsidR="00A9238F" w:rsidRPr="00F26850" w:rsidRDefault="00A9238F" w:rsidP="00A9238F">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With regard</w:t>
      </w:r>
      <w:r w:rsidR="00460D6A" w:rsidRPr="00F26850">
        <w:rPr>
          <w:rFonts w:ascii="Book Antiqua" w:hAnsi="Book Antiqua" w:cs="Arial"/>
          <w:sz w:val="24"/>
          <w:szCs w:val="24"/>
        </w:rPr>
        <w:t xml:space="preserve"> to</w:t>
      </w:r>
      <w:r w:rsidRPr="00F26850">
        <w:rPr>
          <w:rFonts w:ascii="Book Antiqua" w:hAnsi="Book Antiqua" w:cs="Arial"/>
          <w:sz w:val="24"/>
          <w:szCs w:val="24"/>
        </w:rPr>
        <w:t xml:space="preserve"> the unreported decision of IA/00094/2015</w:t>
      </w:r>
      <w:r w:rsidR="00186DD9" w:rsidRPr="00F26850">
        <w:rPr>
          <w:rFonts w:ascii="Book Antiqua" w:hAnsi="Book Antiqua" w:cs="Arial"/>
          <w:sz w:val="24"/>
          <w:szCs w:val="24"/>
        </w:rPr>
        <w:t xml:space="preserve"> </w:t>
      </w:r>
      <w:r w:rsidR="00FD211C" w:rsidRPr="00F26850">
        <w:rPr>
          <w:rFonts w:ascii="Book Antiqua" w:hAnsi="Book Antiqua" w:cs="Arial"/>
          <w:sz w:val="24"/>
          <w:szCs w:val="24"/>
        </w:rPr>
        <w:t>that does not assist the appellant here.  T</w:t>
      </w:r>
      <w:r w:rsidR="00186DD9" w:rsidRPr="00F26850">
        <w:rPr>
          <w:rFonts w:ascii="Book Antiqua" w:hAnsi="Book Antiqua" w:cs="Arial"/>
          <w:sz w:val="24"/>
          <w:szCs w:val="24"/>
        </w:rPr>
        <w:t xml:space="preserve">he Upper Tribunal Judge in that </w:t>
      </w:r>
      <w:r w:rsidR="00FD211C" w:rsidRPr="00F26850">
        <w:rPr>
          <w:rFonts w:ascii="Book Antiqua" w:hAnsi="Book Antiqua" w:cs="Arial"/>
          <w:sz w:val="24"/>
          <w:szCs w:val="24"/>
        </w:rPr>
        <w:t>appeal</w:t>
      </w:r>
      <w:r w:rsidR="00186DD9" w:rsidRPr="00F26850">
        <w:rPr>
          <w:rFonts w:ascii="Book Antiqua" w:hAnsi="Book Antiqua" w:cs="Arial"/>
          <w:sz w:val="24"/>
          <w:szCs w:val="24"/>
        </w:rPr>
        <w:t xml:space="preserve"> noted that the judge was unaware of the Policy Guidance</w:t>
      </w:r>
      <w:r w:rsidR="00ED2A99" w:rsidRPr="00F26850">
        <w:rPr>
          <w:rFonts w:ascii="Book Antiqua" w:hAnsi="Book Antiqua" w:cs="Arial"/>
          <w:sz w:val="24"/>
          <w:szCs w:val="24"/>
        </w:rPr>
        <w:t xml:space="preserve"> and ‘</w:t>
      </w:r>
      <w:r w:rsidR="00ED2A99" w:rsidRPr="00F26850">
        <w:rPr>
          <w:rFonts w:ascii="Book Antiqua" w:hAnsi="Book Antiqua" w:cs="Arial"/>
          <w:i/>
          <w:sz w:val="24"/>
          <w:szCs w:val="24"/>
        </w:rPr>
        <w:t xml:space="preserve">he </w:t>
      </w:r>
      <w:r w:rsidR="00E85742" w:rsidRPr="00F26850">
        <w:rPr>
          <w:rFonts w:ascii="Book Antiqua" w:hAnsi="Book Antiqua" w:cs="Arial"/>
          <w:i/>
          <w:sz w:val="24"/>
          <w:szCs w:val="24"/>
        </w:rPr>
        <w:t xml:space="preserve">[the judge] </w:t>
      </w:r>
      <w:r w:rsidR="00ED2A99" w:rsidRPr="00F26850">
        <w:rPr>
          <w:rFonts w:ascii="Book Antiqua" w:hAnsi="Book Antiqua" w:cs="Arial"/>
          <w:i/>
          <w:sz w:val="24"/>
          <w:szCs w:val="24"/>
        </w:rPr>
        <w:t>erroneously directed himself that there was no such discretion</w:t>
      </w:r>
      <w:r w:rsidR="00ED2A99" w:rsidRPr="00F26850">
        <w:rPr>
          <w:rFonts w:ascii="Book Antiqua" w:hAnsi="Book Antiqua" w:cs="Arial"/>
          <w:sz w:val="24"/>
          <w:szCs w:val="24"/>
        </w:rPr>
        <w:t xml:space="preserve">’.  The UTJ specifically stated </w:t>
      </w:r>
      <w:r w:rsidR="005C26A1" w:rsidRPr="00F26850">
        <w:rPr>
          <w:rFonts w:ascii="Book Antiqua" w:hAnsi="Book Antiqua" w:cs="Arial"/>
          <w:sz w:val="24"/>
          <w:szCs w:val="24"/>
        </w:rPr>
        <w:t xml:space="preserve">at [11] of that decision that </w:t>
      </w:r>
    </w:p>
    <w:p w14:paraId="5E1FC493" w14:textId="42EFB677" w:rsidR="005C26A1" w:rsidRPr="00F26850" w:rsidRDefault="005C26A1" w:rsidP="00477BAA">
      <w:pPr>
        <w:spacing w:before="120" w:after="0" w:line="240" w:lineRule="auto"/>
        <w:ind w:left="1134"/>
        <w:jc w:val="both"/>
        <w:rPr>
          <w:rFonts w:ascii="Book Antiqua" w:hAnsi="Book Antiqua" w:cs="Arial"/>
          <w:sz w:val="24"/>
          <w:szCs w:val="24"/>
        </w:rPr>
      </w:pPr>
      <w:r w:rsidRPr="00F26850">
        <w:rPr>
          <w:rFonts w:ascii="Book Antiqua" w:hAnsi="Book Antiqua" w:cs="Arial"/>
          <w:i/>
          <w:sz w:val="24"/>
          <w:szCs w:val="24"/>
        </w:rPr>
        <w:t xml:space="preserve">‘On the basis of the </w:t>
      </w:r>
      <w:r w:rsidRPr="00F26850">
        <w:rPr>
          <w:rFonts w:ascii="Book Antiqua" w:hAnsi="Book Antiqua" w:cs="Arial"/>
          <w:i/>
          <w:sz w:val="24"/>
          <w:szCs w:val="24"/>
          <w:u w:val="single"/>
        </w:rPr>
        <w:t>Guidance</w:t>
      </w:r>
      <w:r w:rsidRPr="00F26850">
        <w:rPr>
          <w:rFonts w:ascii="Book Antiqua" w:hAnsi="Book Antiqua" w:cs="Arial"/>
          <w:i/>
          <w:sz w:val="24"/>
          <w:szCs w:val="24"/>
        </w:rPr>
        <w:t xml:space="preserve"> the respondent’s caseworkers do have a discretion and the judge’s finding to the contrary </w:t>
      </w:r>
      <w:r w:rsidR="005C7143" w:rsidRPr="00F26850">
        <w:rPr>
          <w:rFonts w:ascii="Book Antiqua" w:hAnsi="Book Antiqua" w:cs="Arial"/>
          <w:i/>
          <w:sz w:val="24"/>
          <w:szCs w:val="24"/>
        </w:rPr>
        <w:t>is wrong’</w:t>
      </w:r>
      <w:r w:rsidR="005C7143" w:rsidRPr="00F26850">
        <w:rPr>
          <w:rFonts w:ascii="Book Antiqua" w:hAnsi="Book Antiqua" w:cs="Arial"/>
          <w:sz w:val="24"/>
          <w:szCs w:val="24"/>
        </w:rPr>
        <w:t>.</w:t>
      </w:r>
    </w:p>
    <w:p w14:paraId="0137D833" w14:textId="1F17B2C0" w:rsidR="005C7143" w:rsidRPr="00F26850" w:rsidRDefault="005C7143" w:rsidP="00A9238F">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That is a different matter.  </w:t>
      </w:r>
      <w:r w:rsidR="00D473E3" w:rsidRPr="00F26850">
        <w:rPr>
          <w:rFonts w:ascii="Book Antiqua" w:hAnsi="Book Antiqua" w:cs="Arial"/>
          <w:sz w:val="24"/>
          <w:szCs w:val="24"/>
        </w:rPr>
        <w:t>The caseworker does have a discretion but as noted in that decision the Guidance specifically stated</w:t>
      </w:r>
      <w:r w:rsidR="00DC6FE2" w:rsidRPr="00F26850">
        <w:rPr>
          <w:rFonts w:ascii="Book Antiqua" w:hAnsi="Book Antiqua" w:cs="Arial"/>
          <w:sz w:val="24"/>
          <w:szCs w:val="24"/>
        </w:rPr>
        <w:t xml:space="preserve"> (and recorded at [8] of IA/00094/2015) </w:t>
      </w:r>
    </w:p>
    <w:p w14:paraId="6B312F23" w14:textId="3CE9C403" w:rsidR="00DC6FE2" w:rsidRPr="00F26850" w:rsidRDefault="00DC6FE2" w:rsidP="00477BAA">
      <w:pPr>
        <w:spacing w:before="120" w:after="0" w:line="240" w:lineRule="auto"/>
        <w:ind w:left="1134"/>
        <w:jc w:val="both"/>
        <w:rPr>
          <w:rFonts w:ascii="Book Antiqua" w:hAnsi="Book Antiqua" w:cs="Arial"/>
          <w:i/>
          <w:sz w:val="24"/>
          <w:szCs w:val="24"/>
        </w:rPr>
      </w:pPr>
      <w:r w:rsidRPr="00F26850">
        <w:rPr>
          <w:rFonts w:ascii="Book Antiqua" w:hAnsi="Book Antiqua" w:cs="Arial"/>
          <w:sz w:val="24"/>
          <w:szCs w:val="24"/>
        </w:rPr>
        <w:t>‘</w:t>
      </w:r>
      <w:r w:rsidR="00AF1579" w:rsidRPr="00F26850">
        <w:rPr>
          <w:rFonts w:ascii="Book Antiqua" w:hAnsi="Book Antiqua" w:cs="Arial"/>
          <w:i/>
          <w:sz w:val="24"/>
          <w:szCs w:val="24"/>
        </w:rPr>
        <w:t xml:space="preserve">Absences of more than 180 days in each consecutive 12-month period before the date of application (in all categories will mean the continuous period has been </w:t>
      </w:r>
      <w:r w:rsidR="00F21C5B" w:rsidRPr="00F26850">
        <w:rPr>
          <w:rFonts w:ascii="Book Antiqua" w:hAnsi="Book Antiqua" w:cs="Arial"/>
          <w:i/>
          <w:sz w:val="24"/>
          <w:szCs w:val="24"/>
        </w:rPr>
        <w:t>broken</w:t>
      </w:r>
      <w:r w:rsidR="00AF1579" w:rsidRPr="00F26850">
        <w:rPr>
          <w:rFonts w:ascii="Book Antiqua" w:hAnsi="Book Antiqua" w:cs="Arial"/>
          <w:i/>
          <w:sz w:val="24"/>
          <w:szCs w:val="24"/>
        </w:rPr>
        <w:t xml:space="preserve">.  </w:t>
      </w:r>
      <w:r w:rsidR="00F21C5B" w:rsidRPr="00F26850">
        <w:rPr>
          <w:rFonts w:ascii="Book Antiqua" w:hAnsi="Book Antiqua" w:cs="Arial"/>
          <w:i/>
          <w:sz w:val="24"/>
          <w:szCs w:val="24"/>
        </w:rPr>
        <w:t>However,</w:t>
      </w:r>
      <w:r w:rsidR="00AF1579" w:rsidRPr="00F26850">
        <w:rPr>
          <w:rFonts w:ascii="Book Antiqua" w:hAnsi="Book Antiqua" w:cs="Arial"/>
          <w:i/>
          <w:sz w:val="24"/>
          <w:szCs w:val="24"/>
        </w:rPr>
        <w:t xml:space="preserve"> you may consider the grant of </w:t>
      </w:r>
      <w:r w:rsidR="00F21C5B" w:rsidRPr="00F26850">
        <w:rPr>
          <w:rFonts w:ascii="Book Antiqua" w:hAnsi="Book Antiqua" w:cs="Arial"/>
          <w:i/>
          <w:sz w:val="24"/>
          <w:szCs w:val="24"/>
        </w:rPr>
        <w:t>indefinite</w:t>
      </w:r>
      <w:r w:rsidR="00AF1579" w:rsidRPr="00F26850">
        <w:rPr>
          <w:rFonts w:ascii="Book Antiqua" w:hAnsi="Book Antiqua" w:cs="Arial"/>
          <w:i/>
          <w:sz w:val="24"/>
          <w:szCs w:val="24"/>
        </w:rPr>
        <w:t xml:space="preserve"> </w:t>
      </w:r>
      <w:r w:rsidR="008C0BED" w:rsidRPr="00F26850">
        <w:rPr>
          <w:rFonts w:ascii="Book Antiqua" w:hAnsi="Book Antiqua" w:cs="Arial"/>
          <w:i/>
          <w:sz w:val="24"/>
          <w:szCs w:val="24"/>
        </w:rPr>
        <w:t xml:space="preserve">leave to remain (ILR) </w:t>
      </w:r>
      <w:r w:rsidR="008C0BED" w:rsidRPr="00F26850">
        <w:rPr>
          <w:rFonts w:ascii="Book Antiqua" w:hAnsi="Book Antiqua" w:cs="Arial"/>
          <w:i/>
          <w:sz w:val="24"/>
          <w:szCs w:val="24"/>
          <w:u w:val="single"/>
        </w:rPr>
        <w:t>outside the Rules</w:t>
      </w:r>
      <w:r w:rsidR="008C0BED" w:rsidRPr="00F26850">
        <w:rPr>
          <w:rFonts w:ascii="Book Antiqua" w:hAnsi="Book Antiqua" w:cs="Arial"/>
          <w:i/>
          <w:sz w:val="24"/>
          <w:szCs w:val="24"/>
        </w:rPr>
        <w:t xml:space="preserve"> if the applicant provides evidence to show the excessive absence was due to serious or compelling reasons’.</w:t>
      </w:r>
    </w:p>
    <w:p w14:paraId="20E261DE" w14:textId="77777777" w:rsidR="006B2C21" w:rsidRPr="00F26850" w:rsidRDefault="004B4127" w:rsidP="00FA699E">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In this instance the judge found that the respondent had engaged with the reasons given by the appellant for </w:t>
      </w:r>
      <w:r w:rsidR="005A7DF3" w:rsidRPr="00F26850">
        <w:rPr>
          <w:rFonts w:ascii="Book Antiqua" w:hAnsi="Book Antiqua" w:cs="Arial"/>
          <w:sz w:val="24"/>
          <w:szCs w:val="24"/>
        </w:rPr>
        <w:t xml:space="preserve">his excessive absence. </w:t>
      </w:r>
      <w:r w:rsidR="00627079" w:rsidRPr="00F26850">
        <w:rPr>
          <w:rFonts w:ascii="Book Antiqua" w:hAnsi="Book Antiqua" w:cs="Arial"/>
          <w:sz w:val="24"/>
          <w:szCs w:val="24"/>
        </w:rPr>
        <w:t xml:space="preserve">The appeal was allowed by the UTJ on the basis that it was found not to be in accordance with the law.  That avenue of appeal is no longer available to the appellant as I have explained.  </w:t>
      </w:r>
      <w:r w:rsidR="00927062" w:rsidRPr="00F26850">
        <w:rPr>
          <w:rFonts w:ascii="Book Antiqua" w:hAnsi="Book Antiqua" w:cs="Arial"/>
          <w:sz w:val="24"/>
          <w:szCs w:val="24"/>
        </w:rPr>
        <w:t>I note the UTJ did not allow the appeal outright and declined to make a decision on Article 8 grounds.</w:t>
      </w:r>
    </w:p>
    <w:p w14:paraId="0F5409D0" w14:textId="206369E6" w:rsidR="00FA699E" w:rsidRPr="00F26850" w:rsidRDefault="00FA699E" w:rsidP="00FA699E">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At paragraph 13 Judge </w:t>
      </w:r>
      <w:proofErr w:type="spellStart"/>
      <w:r w:rsidRPr="00F26850">
        <w:rPr>
          <w:rFonts w:ascii="Book Antiqua" w:hAnsi="Book Antiqua" w:cs="Arial"/>
          <w:sz w:val="24"/>
          <w:szCs w:val="24"/>
        </w:rPr>
        <w:t>Eban</w:t>
      </w:r>
      <w:proofErr w:type="spellEnd"/>
      <w:r w:rsidRPr="00F26850">
        <w:rPr>
          <w:rFonts w:ascii="Book Antiqua" w:hAnsi="Book Antiqua" w:cs="Arial"/>
          <w:sz w:val="24"/>
          <w:szCs w:val="24"/>
        </w:rPr>
        <w:t xml:space="preserve"> found</w:t>
      </w:r>
    </w:p>
    <w:p w14:paraId="26091D4C" w14:textId="77777777" w:rsidR="00FA699E" w:rsidRPr="00F26850" w:rsidRDefault="00FA699E" w:rsidP="00477BAA">
      <w:pPr>
        <w:spacing w:before="120" w:after="0" w:line="240" w:lineRule="auto"/>
        <w:ind w:left="1134"/>
        <w:jc w:val="both"/>
        <w:rPr>
          <w:rFonts w:ascii="Book Antiqua" w:hAnsi="Book Antiqua" w:cs="Arial"/>
          <w:sz w:val="24"/>
          <w:szCs w:val="24"/>
        </w:rPr>
      </w:pPr>
      <w:r w:rsidRPr="00F26850">
        <w:rPr>
          <w:rFonts w:ascii="Book Antiqua" w:hAnsi="Book Antiqua" w:cs="Arial"/>
          <w:sz w:val="24"/>
          <w:szCs w:val="24"/>
        </w:rPr>
        <w:t>‘</w:t>
      </w:r>
      <w:r w:rsidRPr="00F26850">
        <w:rPr>
          <w:rFonts w:ascii="Book Antiqua" w:hAnsi="Book Antiqua" w:cs="Arial"/>
          <w:i/>
          <w:sz w:val="24"/>
          <w:szCs w:val="24"/>
        </w:rPr>
        <w:t>Mr Karim referred me to the Long Residence Guidance dated 3 April 2017 which confirms that if the applicant has been absent from the UK for more than 6 months in one period, the application should normally be refused.  The guidance states that it may be appropriate to exercise discretion over excess absences in compelling or compassionate circumstances, for example where the applicant was prevented from returning to the UK through unavoidable circumstances.  It is clear from the refusal letter that the respondent considered the reasons for the appellant’s absence and undertook an informal interview, and that she was aware that the purpose of the absence was academic and was to complete a comparative study of software houses.  On the basis of this information the respondent exercised her discretion and decided to refuse the appellant’s application’</w:t>
      </w:r>
      <w:r w:rsidRPr="00F26850">
        <w:rPr>
          <w:rFonts w:ascii="Book Antiqua" w:hAnsi="Book Antiqua" w:cs="Arial"/>
          <w:sz w:val="24"/>
          <w:szCs w:val="24"/>
        </w:rPr>
        <w:t>.</w:t>
      </w:r>
    </w:p>
    <w:p w14:paraId="7B4A719F" w14:textId="0697867D" w:rsidR="004B4127" w:rsidRPr="00F26850" w:rsidRDefault="00FA699E" w:rsidP="00FA699E">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The judge found</w:t>
      </w:r>
      <w:r w:rsidR="001903DC">
        <w:rPr>
          <w:rFonts w:ascii="Book Antiqua" w:hAnsi="Book Antiqua" w:cs="Arial"/>
          <w:sz w:val="24"/>
          <w:szCs w:val="24"/>
        </w:rPr>
        <w:t>,</w:t>
      </w:r>
      <w:r w:rsidRPr="00F26850">
        <w:rPr>
          <w:rFonts w:ascii="Book Antiqua" w:hAnsi="Book Antiqua" w:cs="Arial"/>
          <w:sz w:val="24"/>
          <w:szCs w:val="24"/>
        </w:rPr>
        <w:t xml:space="preserve"> therefore</w:t>
      </w:r>
      <w:r w:rsidR="001903DC">
        <w:rPr>
          <w:rFonts w:ascii="Book Antiqua" w:hAnsi="Book Antiqua" w:cs="Arial"/>
          <w:sz w:val="24"/>
          <w:szCs w:val="24"/>
        </w:rPr>
        <w:t>, that</w:t>
      </w:r>
      <w:r w:rsidRPr="00F26850">
        <w:rPr>
          <w:rFonts w:ascii="Book Antiqua" w:hAnsi="Book Antiqua" w:cs="Arial"/>
          <w:sz w:val="24"/>
          <w:szCs w:val="24"/>
        </w:rPr>
        <w:t xml:space="preserve"> the Secretary of State had exercised her discretion with regards her guidance or policy and it was clearly not accepted that she had been shown to have departed from that guidance.  </w:t>
      </w:r>
      <w:r w:rsidR="00927062" w:rsidRPr="00F26850">
        <w:rPr>
          <w:rFonts w:ascii="Book Antiqua" w:hAnsi="Book Antiqua" w:cs="Arial"/>
          <w:sz w:val="24"/>
          <w:szCs w:val="24"/>
        </w:rPr>
        <w:t xml:space="preserve">I do not find that failure to refer to IA/00094/2015 was a material error by Judge </w:t>
      </w:r>
      <w:proofErr w:type="spellStart"/>
      <w:r w:rsidR="00927062" w:rsidRPr="00F26850">
        <w:rPr>
          <w:rFonts w:ascii="Book Antiqua" w:hAnsi="Book Antiqua" w:cs="Arial"/>
          <w:sz w:val="24"/>
          <w:szCs w:val="24"/>
        </w:rPr>
        <w:t>Eban</w:t>
      </w:r>
      <w:proofErr w:type="spellEnd"/>
      <w:r w:rsidR="00927062" w:rsidRPr="00F26850">
        <w:rPr>
          <w:rFonts w:ascii="Book Antiqua" w:hAnsi="Book Antiqua" w:cs="Arial"/>
          <w:sz w:val="24"/>
          <w:szCs w:val="24"/>
        </w:rPr>
        <w:t>.</w:t>
      </w:r>
    </w:p>
    <w:p w14:paraId="55C1614F" w14:textId="35E0FD50" w:rsidR="003622FD" w:rsidRPr="00F26850" w:rsidRDefault="004C24C8" w:rsidP="00942111">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lastRenderedPageBreak/>
        <w:t xml:space="preserve">Ground (iii) of the application for permission is thus misconceived. </w:t>
      </w:r>
      <w:r w:rsidR="00B02283" w:rsidRPr="00F26850">
        <w:rPr>
          <w:rFonts w:ascii="Book Antiqua" w:hAnsi="Book Antiqua" w:cs="Arial"/>
          <w:sz w:val="24"/>
          <w:szCs w:val="24"/>
        </w:rPr>
        <w:t>Had</w:t>
      </w:r>
      <w:r w:rsidR="00947086" w:rsidRPr="00F26850">
        <w:rPr>
          <w:rFonts w:ascii="Book Antiqua" w:hAnsi="Book Antiqua" w:cs="Arial"/>
          <w:sz w:val="24"/>
          <w:szCs w:val="24"/>
        </w:rPr>
        <w:t xml:space="preserve"> the Secretary of State exercised the discretion in favour of the </w:t>
      </w:r>
      <w:r w:rsidR="008260A3" w:rsidRPr="00F26850">
        <w:rPr>
          <w:rFonts w:ascii="Book Antiqua" w:hAnsi="Book Antiqua" w:cs="Arial"/>
          <w:sz w:val="24"/>
          <w:szCs w:val="24"/>
        </w:rPr>
        <w:t>appellant, the</w:t>
      </w:r>
      <w:r w:rsidR="00C925DA" w:rsidRPr="00F26850">
        <w:rPr>
          <w:rFonts w:ascii="Book Antiqua" w:hAnsi="Book Antiqua" w:cs="Arial"/>
          <w:sz w:val="24"/>
          <w:szCs w:val="24"/>
        </w:rPr>
        <w:t xml:space="preserve"> appellant </w:t>
      </w:r>
      <w:r w:rsidR="008260A3" w:rsidRPr="00F26850">
        <w:rPr>
          <w:rFonts w:ascii="Book Antiqua" w:hAnsi="Book Antiqua" w:cs="Arial"/>
          <w:sz w:val="24"/>
          <w:szCs w:val="24"/>
        </w:rPr>
        <w:t>c</w:t>
      </w:r>
      <w:r w:rsidR="00B24E6B" w:rsidRPr="00F26850">
        <w:rPr>
          <w:rFonts w:ascii="Book Antiqua" w:hAnsi="Book Antiqua" w:cs="Arial"/>
          <w:sz w:val="24"/>
          <w:szCs w:val="24"/>
        </w:rPr>
        <w:t xml:space="preserve">ould </w:t>
      </w:r>
      <w:r w:rsidR="008260A3" w:rsidRPr="00F26850">
        <w:rPr>
          <w:rFonts w:ascii="Book Antiqua" w:hAnsi="Book Antiqua" w:cs="Arial"/>
          <w:sz w:val="24"/>
          <w:szCs w:val="24"/>
        </w:rPr>
        <w:t>still not</w:t>
      </w:r>
      <w:r w:rsidR="00C925DA" w:rsidRPr="00F26850">
        <w:rPr>
          <w:rFonts w:ascii="Book Antiqua" w:hAnsi="Book Antiqua" w:cs="Arial"/>
          <w:sz w:val="24"/>
          <w:szCs w:val="24"/>
        </w:rPr>
        <w:t xml:space="preserve"> </w:t>
      </w:r>
      <w:r w:rsidR="00B24E6B" w:rsidRPr="00F26850">
        <w:rPr>
          <w:rFonts w:ascii="Book Antiqua" w:hAnsi="Book Antiqua" w:cs="Arial"/>
          <w:sz w:val="24"/>
          <w:szCs w:val="24"/>
        </w:rPr>
        <w:t xml:space="preserve">have </w:t>
      </w:r>
      <w:r w:rsidR="00C925DA" w:rsidRPr="00F26850">
        <w:rPr>
          <w:rFonts w:ascii="Book Antiqua" w:hAnsi="Book Antiqua" w:cs="Arial"/>
          <w:sz w:val="24"/>
          <w:szCs w:val="24"/>
        </w:rPr>
        <w:t xml:space="preserve">been successful </w:t>
      </w:r>
      <w:r w:rsidR="00C925DA" w:rsidRPr="00F26850">
        <w:rPr>
          <w:rFonts w:ascii="Book Antiqua" w:hAnsi="Book Antiqua" w:cs="Arial"/>
          <w:i/>
          <w:sz w:val="24"/>
          <w:szCs w:val="24"/>
        </w:rPr>
        <w:t>under the rules</w:t>
      </w:r>
      <w:r w:rsidR="009D7763" w:rsidRPr="00F26850">
        <w:rPr>
          <w:rFonts w:ascii="Book Antiqua" w:hAnsi="Book Antiqua" w:cs="Arial"/>
          <w:sz w:val="24"/>
          <w:szCs w:val="24"/>
        </w:rPr>
        <w:t xml:space="preserve"> </w:t>
      </w:r>
      <w:r w:rsidR="008260A3" w:rsidRPr="00F26850">
        <w:rPr>
          <w:rFonts w:ascii="Book Antiqua" w:hAnsi="Book Antiqua" w:cs="Arial"/>
          <w:sz w:val="24"/>
          <w:szCs w:val="24"/>
        </w:rPr>
        <w:t>because there</w:t>
      </w:r>
      <w:r w:rsidR="00233EA9" w:rsidRPr="00F26850">
        <w:rPr>
          <w:rFonts w:ascii="Book Antiqua" w:hAnsi="Book Antiqua" w:cs="Arial"/>
          <w:sz w:val="24"/>
          <w:szCs w:val="24"/>
        </w:rPr>
        <w:t xml:space="preserve"> is no discretionary element </w:t>
      </w:r>
      <w:r w:rsidR="00947086" w:rsidRPr="00F26850">
        <w:rPr>
          <w:rFonts w:ascii="Book Antiqua" w:hAnsi="Book Antiqua" w:cs="Arial"/>
          <w:sz w:val="24"/>
          <w:szCs w:val="24"/>
        </w:rPr>
        <w:t>within the immigration rule</w:t>
      </w:r>
      <w:r w:rsidR="00233EA9" w:rsidRPr="00F26850">
        <w:rPr>
          <w:rFonts w:ascii="Book Antiqua" w:hAnsi="Book Antiqua" w:cs="Arial"/>
          <w:sz w:val="24"/>
          <w:szCs w:val="24"/>
        </w:rPr>
        <w:t>. It is not within</w:t>
      </w:r>
      <w:r w:rsidR="00580998" w:rsidRPr="00F26850">
        <w:rPr>
          <w:rFonts w:ascii="Book Antiqua" w:hAnsi="Book Antiqua" w:cs="Arial"/>
          <w:sz w:val="24"/>
          <w:szCs w:val="24"/>
        </w:rPr>
        <w:t xml:space="preserve"> the gift of the judge to consider it in those terms</w:t>
      </w:r>
      <w:r w:rsidR="009D7763" w:rsidRPr="00F26850">
        <w:rPr>
          <w:rFonts w:ascii="Book Antiqua" w:hAnsi="Book Antiqua" w:cs="Arial"/>
          <w:sz w:val="24"/>
          <w:szCs w:val="24"/>
        </w:rPr>
        <w:t>.</w:t>
      </w:r>
      <w:r w:rsidR="00580998" w:rsidRPr="00F26850">
        <w:rPr>
          <w:rFonts w:ascii="Book Antiqua" w:hAnsi="Book Antiqua" w:cs="Arial"/>
          <w:sz w:val="24"/>
          <w:szCs w:val="24"/>
        </w:rPr>
        <w:t xml:space="preserve"> </w:t>
      </w:r>
      <w:r w:rsidR="0078235F" w:rsidRPr="00F26850">
        <w:rPr>
          <w:rFonts w:ascii="Book Antiqua" w:hAnsi="Book Antiqua" w:cs="Arial"/>
          <w:sz w:val="24"/>
          <w:szCs w:val="24"/>
        </w:rPr>
        <w:t>It is incumbent upon the judge to consider the rules as an expression of the position of the Secretary</w:t>
      </w:r>
      <w:r w:rsidR="00B05625" w:rsidRPr="00F26850">
        <w:rPr>
          <w:rFonts w:ascii="Book Antiqua" w:hAnsi="Book Antiqua" w:cs="Arial"/>
          <w:sz w:val="24"/>
          <w:szCs w:val="24"/>
        </w:rPr>
        <w:t xml:space="preserve"> of State</w:t>
      </w:r>
      <w:r w:rsidR="0078235F" w:rsidRPr="00F26850">
        <w:rPr>
          <w:rFonts w:ascii="Book Antiqua" w:hAnsi="Book Antiqua" w:cs="Arial"/>
          <w:sz w:val="24"/>
          <w:szCs w:val="24"/>
        </w:rPr>
        <w:t xml:space="preserve"> and</w:t>
      </w:r>
      <w:r w:rsidR="009440CD" w:rsidRPr="00F26850">
        <w:rPr>
          <w:rFonts w:ascii="Book Antiqua" w:hAnsi="Book Antiqua" w:cs="Arial"/>
          <w:sz w:val="24"/>
          <w:szCs w:val="24"/>
        </w:rPr>
        <w:t xml:space="preserve">, </w:t>
      </w:r>
      <w:r w:rsidR="0078235F" w:rsidRPr="00F26850">
        <w:rPr>
          <w:rFonts w:ascii="Book Antiqua" w:hAnsi="Book Antiqua" w:cs="Arial"/>
          <w:sz w:val="24"/>
          <w:szCs w:val="24"/>
        </w:rPr>
        <w:t>in this matter the appellant not only failed under the rules but also discretion was not exercised in his favour</w:t>
      </w:r>
      <w:r w:rsidR="00B81273" w:rsidRPr="00F26850">
        <w:rPr>
          <w:rFonts w:ascii="Book Antiqua" w:hAnsi="Book Antiqua" w:cs="Arial"/>
          <w:sz w:val="24"/>
          <w:szCs w:val="24"/>
        </w:rPr>
        <w:t xml:space="preserve"> outside the rules</w:t>
      </w:r>
      <w:r w:rsidR="0078235F" w:rsidRPr="00F26850">
        <w:rPr>
          <w:rFonts w:ascii="Book Antiqua" w:hAnsi="Book Antiqua" w:cs="Arial"/>
          <w:sz w:val="24"/>
          <w:szCs w:val="24"/>
        </w:rPr>
        <w:t xml:space="preserve">. </w:t>
      </w:r>
      <w:r w:rsidR="00580998" w:rsidRPr="00F26850">
        <w:rPr>
          <w:rFonts w:ascii="Book Antiqua" w:hAnsi="Book Antiqua" w:cs="Arial"/>
          <w:sz w:val="24"/>
          <w:szCs w:val="24"/>
        </w:rPr>
        <w:t xml:space="preserve"> </w:t>
      </w:r>
    </w:p>
    <w:p w14:paraId="643CC90F" w14:textId="3990CA20" w:rsidR="00947086" w:rsidRPr="00F26850" w:rsidRDefault="009A7E6A" w:rsidP="00942111">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That</w:t>
      </w:r>
      <w:r w:rsidR="009371F1">
        <w:rPr>
          <w:rFonts w:ascii="Book Antiqua" w:hAnsi="Book Antiqua" w:cs="Arial"/>
          <w:sz w:val="24"/>
          <w:szCs w:val="24"/>
        </w:rPr>
        <w:t>,</w:t>
      </w:r>
      <w:r w:rsidRPr="00F26850">
        <w:rPr>
          <w:rFonts w:ascii="Book Antiqua" w:hAnsi="Book Antiqua" w:cs="Arial"/>
          <w:sz w:val="24"/>
          <w:szCs w:val="24"/>
        </w:rPr>
        <w:t xml:space="preserve"> </w:t>
      </w:r>
      <w:r w:rsidR="009371F1">
        <w:rPr>
          <w:rFonts w:ascii="Book Antiqua" w:hAnsi="Book Antiqua" w:cs="Arial"/>
          <w:sz w:val="24"/>
          <w:szCs w:val="24"/>
        </w:rPr>
        <w:t>however,</w:t>
      </w:r>
      <w:r w:rsidRPr="00F26850">
        <w:rPr>
          <w:rFonts w:ascii="Book Antiqua" w:hAnsi="Book Antiqua" w:cs="Arial"/>
          <w:sz w:val="24"/>
          <w:szCs w:val="24"/>
        </w:rPr>
        <w:t xml:space="preserve"> is not the end of the matter because the task for</w:t>
      </w:r>
      <w:r w:rsidR="00580998" w:rsidRPr="00F26850">
        <w:rPr>
          <w:rFonts w:ascii="Book Antiqua" w:hAnsi="Book Antiqua" w:cs="Arial"/>
          <w:sz w:val="24"/>
          <w:szCs w:val="24"/>
        </w:rPr>
        <w:t xml:space="preserve"> the judge was </w:t>
      </w:r>
      <w:r w:rsidRPr="00F26850">
        <w:rPr>
          <w:rFonts w:ascii="Book Antiqua" w:hAnsi="Book Antiqua" w:cs="Arial"/>
          <w:sz w:val="24"/>
          <w:szCs w:val="24"/>
        </w:rPr>
        <w:t xml:space="preserve">to </w:t>
      </w:r>
      <w:r w:rsidR="00580998" w:rsidRPr="00F26850">
        <w:rPr>
          <w:rFonts w:ascii="Book Antiqua" w:hAnsi="Book Antiqua" w:cs="Arial"/>
          <w:sz w:val="24"/>
          <w:szCs w:val="24"/>
        </w:rPr>
        <w:t xml:space="preserve">factor the </w:t>
      </w:r>
      <w:r w:rsidR="00085E77" w:rsidRPr="00F26850">
        <w:rPr>
          <w:rFonts w:ascii="Book Antiqua" w:hAnsi="Book Antiqua" w:cs="Arial"/>
          <w:sz w:val="24"/>
          <w:szCs w:val="24"/>
        </w:rPr>
        <w:t xml:space="preserve">considerations </w:t>
      </w:r>
      <w:r w:rsidR="00D54E7E" w:rsidRPr="00F26850">
        <w:rPr>
          <w:rFonts w:ascii="Book Antiqua" w:hAnsi="Book Antiqua" w:cs="Arial"/>
          <w:sz w:val="24"/>
          <w:szCs w:val="24"/>
        </w:rPr>
        <w:t xml:space="preserve">regarding </w:t>
      </w:r>
      <w:r w:rsidR="009432BF" w:rsidRPr="00F26850">
        <w:rPr>
          <w:rFonts w:ascii="Book Antiqua" w:hAnsi="Book Antiqua" w:cs="Arial"/>
          <w:sz w:val="24"/>
          <w:szCs w:val="24"/>
        </w:rPr>
        <w:t xml:space="preserve">the application of the Policy on Long residence </w:t>
      </w:r>
      <w:r w:rsidR="00580998" w:rsidRPr="00F26850">
        <w:rPr>
          <w:rFonts w:ascii="Book Antiqua" w:hAnsi="Book Antiqua" w:cs="Arial"/>
          <w:sz w:val="24"/>
          <w:szCs w:val="24"/>
        </w:rPr>
        <w:t xml:space="preserve">into the </w:t>
      </w:r>
      <w:r w:rsidR="00D54E7E" w:rsidRPr="00F26850">
        <w:rPr>
          <w:rFonts w:ascii="Book Antiqua" w:hAnsi="Book Antiqua" w:cs="Arial"/>
          <w:sz w:val="24"/>
          <w:szCs w:val="24"/>
        </w:rPr>
        <w:t xml:space="preserve">Article 8 </w:t>
      </w:r>
      <w:r w:rsidR="00580998" w:rsidRPr="00F26850">
        <w:rPr>
          <w:rFonts w:ascii="Book Antiqua" w:hAnsi="Book Antiqua" w:cs="Arial"/>
          <w:sz w:val="24"/>
          <w:szCs w:val="24"/>
        </w:rPr>
        <w:t>proportionality exercise.</w:t>
      </w:r>
      <w:r w:rsidR="009D7763" w:rsidRPr="00F26850">
        <w:rPr>
          <w:rFonts w:ascii="Book Antiqua" w:hAnsi="Book Antiqua" w:cs="Arial"/>
          <w:sz w:val="24"/>
          <w:szCs w:val="24"/>
        </w:rPr>
        <w:t xml:space="preserve"> </w:t>
      </w:r>
    </w:p>
    <w:p w14:paraId="7711C5EC" w14:textId="769E48D7" w:rsidR="00330621" w:rsidRPr="00F26850" w:rsidRDefault="00B5353F" w:rsidP="00B12BC8">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The judge</w:t>
      </w:r>
      <w:r w:rsidR="003622FD" w:rsidRPr="00F26850">
        <w:rPr>
          <w:rFonts w:ascii="Book Antiqua" w:hAnsi="Book Antiqua" w:cs="Arial"/>
          <w:sz w:val="24"/>
          <w:szCs w:val="24"/>
        </w:rPr>
        <w:t>, in this instance,</w:t>
      </w:r>
      <w:r w:rsidRPr="00F26850">
        <w:rPr>
          <w:rFonts w:ascii="Book Antiqua" w:hAnsi="Book Antiqua" w:cs="Arial"/>
          <w:sz w:val="24"/>
          <w:szCs w:val="24"/>
        </w:rPr>
        <w:t xml:space="preserve"> addressed</w:t>
      </w:r>
      <w:r w:rsidR="00D54E7E" w:rsidRPr="00F26850">
        <w:rPr>
          <w:rFonts w:ascii="Book Antiqua" w:hAnsi="Book Antiqua" w:cs="Arial"/>
          <w:sz w:val="24"/>
          <w:szCs w:val="24"/>
        </w:rPr>
        <w:t xml:space="preserve"> </w:t>
      </w:r>
      <w:r w:rsidRPr="00F26850">
        <w:rPr>
          <w:rFonts w:ascii="Book Antiqua" w:hAnsi="Book Antiqua" w:cs="Arial"/>
          <w:sz w:val="24"/>
          <w:szCs w:val="24"/>
        </w:rPr>
        <w:t xml:space="preserve">the question of the immigration rules and then proceeded to </w:t>
      </w:r>
      <w:r w:rsidR="00323D88" w:rsidRPr="00F26850">
        <w:rPr>
          <w:rFonts w:ascii="Book Antiqua" w:hAnsi="Book Antiqua" w:cs="Arial"/>
          <w:sz w:val="24"/>
          <w:szCs w:val="24"/>
        </w:rPr>
        <w:t xml:space="preserve">consider article 8 citing </w:t>
      </w:r>
      <w:proofErr w:type="spellStart"/>
      <w:r w:rsidR="00323D88" w:rsidRPr="00F26850">
        <w:rPr>
          <w:rFonts w:ascii="Book Antiqua" w:hAnsi="Book Antiqua" w:cs="Arial"/>
          <w:b/>
          <w:sz w:val="24"/>
          <w:szCs w:val="24"/>
          <w:u w:val="single"/>
        </w:rPr>
        <w:t>Razgar</w:t>
      </w:r>
      <w:proofErr w:type="spellEnd"/>
      <w:r w:rsidR="00323D88" w:rsidRPr="00F26850">
        <w:rPr>
          <w:rFonts w:ascii="Book Antiqua" w:hAnsi="Book Antiqua" w:cs="Arial"/>
          <w:sz w:val="24"/>
          <w:szCs w:val="24"/>
        </w:rPr>
        <w:t xml:space="preserve">, and whether refusal would result in unjustifiably harsh consequences. </w:t>
      </w:r>
      <w:r w:rsidR="00771BFA" w:rsidRPr="00F26850">
        <w:rPr>
          <w:rFonts w:ascii="Book Antiqua" w:hAnsi="Book Antiqua" w:cs="Arial"/>
          <w:sz w:val="24"/>
          <w:szCs w:val="24"/>
        </w:rPr>
        <w:t xml:space="preserve">The judge made a detailed assessment of the best interests of the child born in 2015 but found </w:t>
      </w:r>
      <w:r w:rsidR="008A1E49" w:rsidRPr="00F26850">
        <w:rPr>
          <w:rFonts w:ascii="Book Antiqua" w:hAnsi="Book Antiqua" w:cs="Arial"/>
          <w:sz w:val="24"/>
          <w:szCs w:val="24"/>
        </w:rPr>
        <w:t xml:space="preserve">the child should be with her parents in view of her age and adaptability. </w:t>
      </w:r>
      <w:r w:rsidR="00C70096" w:rsidRPr="00F26850">
        <w:rPr>
          <w:rFonts w:ascii="Book Antiqua" w:hAnsi="Book Antiqua" w:cs="Arial"/>
          <w:sz w:val="24"/>
          <w:szCs w:val="24"/>
        </w:rPr>
        <w:t xml:space="preserve">  There was no challenge on that basis. The judge clearly enlisted the test of ‘proporti</w:t>
      </w:r>
      <w:r w:rsidR="00CA2D5F" w:rsidRPr="00F26850">
        <w:rPr>
          <w:rFonts w:ascii="Book Antiqua" w:hAnsi="Book Antiqua" w:cs="Arial"/>
          <w:sz w:val="24"/>
          <w:szCs w:val="24"/>
        </w:rPr>
        <w:t>o</w:t>
      </w:r>
      <w:r w:rsidR="00C70096" w:rsidRPr="00F26850">
        <w:rPr>
          <w:rFonts w:ascii="Book Antiqua" w:hAnsi="Book Antiqua" w:cs="Arial"/>
          <w:sz w:val="24"/>
          <w:szCs w:val="24"/>
        </w:rPr>
        <w:t xml:space="preserve">nality’ and reference to exceptional </w:t>
      </w:r>
      <w:r w:rsidR="008260A3" w:rsidRPr="00F26850">
        <w:rPr>
          <w:rFonts w:ascii="Book Antiqua" w:hAnsi="Book Antiqua" w:cs="Arial"/>
          <w:sz w:val="24"/>
          <w:szCs w:val="24"/>
        </w:rPr>
        <w:t>circumstances</w:t>
      </w:r>
      <w:r w:rsidR="00C70096" w:rsidRPr="00F26850">
        <w:rPr>
          <w:rFonts w:ascii="Book Antiqua" w:hAnsi="Book Antiqua" w:cs="Arial"/>
          <w:sz w:val="24"/>
          <w:szCs w:val="24"/>
        </w:rPr>
        <w:t xml:space="preserve"> was merely a short hand.  Throughout the decision it is clear as to the </w:t>
      </w:r>
      <w:r w:rsidR="00D0623E" w:rsidRPr="00F26850">
        <w:rPr>
          <w:rFonts w:ascii="Book Antiqua" w:hAnsi="Book Antiqua" w:cs="Arial"/>
          <w:sz w:val="24"/>
          <w:szCs w:val="24"/>
        </w:rPr>
        <w:t xml:space="preserve">approach the judge took which was that of whether the decision was proportionate [21]. </w:t>
      </w:r>
    </w:p>
    <w:p w14:paraId="315D5DE9" w14:textId="4C6D99D6" w:rsidR="00A72581" w:rsidRPr="00F26850" w:rsidRDefault="00A72581" w:rsidP="00A72581">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Mrs de Souza submitted that the Secretary of State had not appreciated that the appellant was not merely exercising a choice as to whether to study in the UK or India but was obliged to undertake his comparative study in India and she referred to the permission being granted by the University.  Ms Isherwood responded that nothing in the evidence indicated that the appellant was forced to undertake his research for this length of time in India. </w:t>
      </w:r>
    </w:p>
    <w:p w14:paraId="7B6F8DD8" w14:textId="59810E27" w:rsidR="004245D2" w:rsidRPr="00F26850" w:rsidRDefault="00485DBB" w:rsidP="000806F0">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The appellant before me stated that he was a student and could not afford to return to the UK when he was in India merely to satisfy the </w:t>
      </w:r>
      <w:r w:rsidR="008260A3" w:rsidRPr="00F26850">
        <w:rPr>
          <w:rFonts w:ascii="Book Antiqua" w:hAnsi="Book Antiqua" w:cs="Arial"/>
          <w:sz w:val="24"/>
          <w:szCs w:val="24"/>
        </w:rPr>
        <w:t>rules,</w:t>
      </w:r>
      <w:r w:rsidRPr="00F26850">
        <w:rPr>
          <w:rFonts w:ascii="Book Antiqua" w:hAnsi="Book Antiqua" w:cs="Arial"/>
          <w:sz w:val="24"/>
          <w:szCs w:val="24"/>
        </w:rPr>
        <w:t xml:space="preserve"> but </w:t>
      </w:r>
      <w:r w:rsidR="00AB20BC" w:rsidRPr="00F26850">
        <w:rPr>
          <w:rFonts w:ascii="Book Antiqua" w:hAnsi="Book Antiqua" w:cs="Arial"/>
          <w:sz w:val="24"/>
          <w:szCs w:val="24"/>
        </w:rPr>
        <w:t xml:space="preserve">that evidence seems something of a shift and </w:t>
      </w:r>
      <w:r w:rsidR="007311D5" w:rsidRPr="00F26850">
        <w:rPr>
          <w:rFonts w:ascii="Book Antiqua" w:hAnsi="Book Antiqua" w:cs="Arial"/>
          <w:sz w:val="24"/>
          <w:szCs w:val="24"/>
        </w:rPr>
        <w:t xml:space="preserve">fresh evidence cannot sustain criticism </w:t>
      </w:r>
      <w:r w:rsidR="00AB20BC" w:rsidRPr="00F26850">
        <w:rPr>
          <w:rFonts w:ascii="Book Antiqua" w:hAnsi="Book Antiqua" w:cs="Arial"/>
          <w:sz w:val="24"/>
          <w:szCs w:val="24"/>
        </w:rPr>
        <w:t xml:space="preserve">of </w:t>
      </w:r>
      <w:r w:rsidR="001D0A44" w:rsidRPr="00F26850">
        <w:rPr>
          <w:rFonts w:ascii="Book Antiqua" w:hAnsi="Book Antiqua" w:cs="Arial"/>
          <w:sz w:val="24"/>
          <w:szCs w:val="24"/>
        </w:rPr>
        <w:t xml:space="preserve">the judge </w:t>
      </w:r>
      <w:r w:rsidR="00AB20BC" w:rsidRPr="00F26850">
        <w:rPr>
          <w:rFonts w:ascii="Book Antiqua" w:hAnsi="Book Antiqua" w:cs="Arial"/>
          <w:sz w:val="24"/>
          <w:szCs w:val="24"/>
        </w:rPr>
        <w:t xml:space="preserve">who </w:t>
      </w:r>
      <w:r w:rsidR="00A26E55" w:rsidRPr="00F26850">
        <w:rPr>
          <w:rFonts w:ascii="Book Antiqua" w:hAnsi="Book Antiqua" w:cs="Arial"/>
          <w:sz w:val="24"/>
          <w:szCs w:val="24"/>
        </w:rPr>
        <w:t>recorded</w:t>
      </w:r>
      <w:r w:rsidR="001D0A44" w:rsidRPr="00F26850">
        <w:rPr>
          <w:rFonts w:ascii="Book Antiqua" w:hAnsi="Book Antiqua" w:cs="Arial"/>
          <w:sz w:val="24"/>
          <w:szCs w:val="24"/>
        </w:rPr>
        <w:t xml:space="preserve"> </w:t>
      </w:r>
      <w:r w:rsidR="000806F0" w:rsidRPr="00F26850">
        <w:rPr>
          <w:rFonts w:ascii="Book Antiqua" w:hAnsi="Book Antiqua" w:cs="Arial"/>
          <w:sz w:val="24"/>
          <w:szCs w:val="24"/>
        </w:rPr>
        <w:t xml:space="preserve">at [21(4)], </w:t>
      </w:r>
      <w:r w:rsidR="001D0A44" w:rsidRPr="00F26850">
        <w:rPr>
          <w:rFonts w:ascii="Book Antiqua" w:hAnsi="Book Antiqua" w:cs="Arial"/>
          <w:sz w:val="24"/>
          <w:szCs w:val="24"/>
        </w:rPr>
        <w:t xml:space="preserve">that </w:t>
      </w:r>
    </w:p>
    <w:p w14:paraId="1FF1D681" w14:textId="71F8B357" w:rsidR="00C71A84" w:rsidRPr="00F26850" w:rsidRDefault="00C71A84" w:rsidP="00477BAA">
      <w:pPr>
        <w:spacing w:before="120" w:after="0" w:line="240" w:lineRule="auto"/>
        <w:ind w:left="1134"/>
        <w:jc w:val="both"/>
        <w:rPr>
          <w:rFonts w:ascii="Book Antiqua" w:hAnsi="Book Antiqua" w:cs="Arial"/>
          <w:sz w:val="24"/>
          <w:szCs w:val="24"/>
        </w:rPr>
      </w:pPr>
      <w:r w:rsidRPr="00F26850">
        <w:rPr>
          <w:rFonts w:ascii="Book Antiqua" w:hAnsi="Book Antiqua" w:cs="Arial"/>
          <w:sz w:val="24"/>
          <w:szCs w:val="24"/>
        </w:rPr>
        <w:t>‘</w:t>
      </w:r>
      <w:r w:rsidRPr="00F26850">
        <w:rPr>
          <w:rFonts w:ascii="Book Antiqua" w:hAnsi="Book Antiqua" w:cs="Arial"/>
          <w:i/>
          <w:sz w:val="24"/>
          <w:szCs w:val="24"/>
        </w:rPr>
        <w:t>T</w:t>
      </w:r>
      <w:r w:rsidR="001D0A44" w:rsidRPr="00F26850">
        <w:rPr>
          <w:rFonts w:ascii="Book Antiqua" w:hAnsi="Book Antiqua" w:cs="Arial"/>
          <w:i/>
          <w:sz w:val="24"/>
          <w:szCs w:val="24"/>
        </w:rPr>
        <w:t xml:space="preserve">here </w:t>
      </w:r>
      <w:r w:rsidR="008260A3" w:rsidRPr="00F26850">
        <w:rPr>
          <w:rFonts w:ascii="Book Antiqua" w:hAnsi="Book Antiqua" w:cs="Arial"/>
          <w:i/>
          <w:sz w:val="24"/>
          <w:szCs w:val="24"/>
        </w:rPr>
        <w:t>were</w:t>
      </w:r>
      <w:r w:rsidR="001D0A44" w:rsidRPr="00F26850">
        <w:rPr>
          <w:rFonts w:ascii="Book Antiqua" w:hAnsi="Book Antiqua" w:cs="Arial"/>
          <w:i/>
          <w:sz w:val="24"/>
          <w:szCs w:val="24"/>
        </w:rPr>
        <w:t xml:space="preserve"> no exceptional or compassionate circumstances which prevented the appellant from returning during his 194 </w:t>
      </w:r>
      <w:r w:rsidR="00391820" w:rsidRPr="00F26850">
        <w:rPr>
          <w:rFonts w:ascii="Book Antiqua" w:hAnsi="Book Antiqua" w:cs="Arial"/>
          <w:i/>
          <w:sz w:val="24"/>
          <w:szCs w:val="24"/>
        </w:rPr>
        <w:t>[days] study absence abroad</w:t>
      </w:r>
      <w:r w:rsidR="00580499" w:rsidRPr="00F26850">
        <w:rPr>
          <w:rFonts w:ascii="Book Antiqua" w:hAnsi="Book Antiqua" w:cs="Arial"/>
          <w:sz w:val="24"/>
          <w:szCs w:val="24"/>
        </w:rPr>
        <w:t xml:space="preserve">.  </w:t>
      </w:r>
      <w:r w:rsidR="00580499" w:rsidRPr="00F26850">
        <w:rPr>
          <w:rFonts w:ascii="Book Antiqua" w:hAnsi="Book Antiqua" w:cs="Arial"/>
          <w:i/>
          <w:sz w:val="24"/>
          <w:szCs w:val="24"/>
          <w:u w:val="single"/>
        </w:rPr>
        <w:t>He was</w:t>
      </w:r>
      <w:r w:rsidR="00580499" w:rsidRPr="00F26850">
        <w:rPr>
          <w:rFonts w:ascii="Book Antiqua" w:hAnsi="Book Antiqua" w:cs="Arial"/>
          <w:sz w:val="24"/>
          <w:szCs w:val="24"/>
          <w:u w:val="single"/>
        </w:rPr>
        <w:t xml:space="preserve"> </w:t>
      </w:r>
      <w:r w:rsidR="009001E8" w:rsidRPr="00F26850">
        <w:rPr>
          <w:rFonts w:ascii="Book Antiqua" w:hAnsi="Book Antiqua" w:cs="Arial"/>
          <w:i/>
          <w:sz w:val="24"/>
          <w:szCs w:val="24"/>
          <w:u w:val="single"/>
        </w:rPr>
        <w:t>simply unaware that a period</w:t>
      </w:r>
      <w:r w:rsidR="009001E8" w:rsidRPr="00F26850">
        <w:rPr>
          <w:rFonts w:ascii="Book Antiqua" w:hAnsi="Book Antiqua" w:cs="Arial"/>
          <w:i/>
          <w:sz w:val="24"/>
          <w:szCs w:val="24"/>
        </w:rPr>
        <w:t xml:space="preserve"> </w:t>
      </w:r>
      <w:r w:rsidR="009001E8" w:rsidRPr="004A41A3">
        <w:rPr>
          <w:rFonts w:ascii="Book Antiqua" w:hAnsi="Book Antiqua" w:cs="Arial"/>
          <w:i/>
          <w:sz w:val="24"/>
          <w:szCs w:val="24"/>
          <w:u w:val="single"/>
        </w:rPr>
        <w:t>of absence in excess of six months would break his continuous leave</w:t>
      </w:r>
      <w:r w:rsidR="009001E8" w:rsidRPr="00F26850">
        <w:rPr>
          <w:rFonts w:ascii="Book Antiqua" w:hAnsi="Book Antiqua" w:cs="Arial"/>
          <w:sz w:val="24"/>
          <w:szCs w:val="24"/>
        </w:rPr>
        <w:t xml:space="preserve">’ [21(4)].  </w:t>
      </w:r>
      <w:r w:rsidR="00A90C3B" w:rsidRPr="00F26850">
        <w:rPr>
          <w:rFonts w:ascii="Book Antiqua" w:hAnsi="Book Antiqua" w:cs="Arial"/>
          <w:sz w:val="24"/>
          <w:szCs w:val="24"/>
        </w:rPr>
        <w:t xml:space="preserve"> </w:t>
      </w:r>
    </w:p>
    <w:p w14:paraId="3492F5FE" w14:textId="2CC97F17" w:rsidR="00B12BC8" w:rsidRPr="00F26850" w:rsidRDefault="00B12BC8" w:rsidP="0086035A">
      <w:pPr>
        <w:spacing w:before="240" w:after="0" w:line="240" w:lineRule="auto"/>
        <w:ind w:left="567"/>
        <w:jc w:val="both"/>
        <w:rPr>
          <w:rFonts w:ascii="Book Antiqua" w:hAnsi="Book Antiqua" w:cs="Arial"/>
          <w:sz w:val="24"/>
          <w:szCs w:val="24"/>
        </w:rPr>
      </w:pPr>
      <w:r w:rsidRPr="00F26850">
        <w:rPr>
          <w:rFonts w:ascii="Book Antiqua" w:hAnsi="Book Antiqua" w:cs="Arial"/>
          <w:sz w:val="24"/>
          <w:szCs w:val="24"/>
        </w:rPr>
        <w:t xml:space="preserve">A careful reading of the decision demonstrates that the judge did consider the </w:t>
      </w:r>
      <w:r w:rsidR="00C028A3" w:rsidRPr="00F26850">
        <w:rPr>
          <w:rFonts w:ascii="Book Antiqua" w:hAnsi="Book Antiqua" w:cs="Arial"/>
          <w:sz w:val="24"/>
          <w:szCs w:val="24"/>
        </w:rPr>
        <w:t xml:space="preserve">relevant </w:t>
      </w:r>
      <w:r w:rsidRPr="00F26850">
        <w:rPr>
          <w:rFonts w:ascii="Book Antiqua" w:hAnsi="Book Antiqua" w:cs="Arial"/>
          <w:sz w:val="24"/>
          <w:szCs w:val="24"/>
        </w:rPr>
        <w:t>factors</w:t>
      </w:r>
      <w:r w:rsidR="00FD3F2A" w:rsidRPr="00F26850">
        <w:rPr>
          <w:rFonts w:ascii="Book Antiqua" w:hAnsi="Book Antiqua" w:cs="Arial"/>
          <w:sz w:val="24"/>
          <w:szCs w:val="24"/>
        </w:rPr>
        <w:t>, noted the appellant was undertaking a comparative study,</w:t>
      </w:r>
      <w:r w:rsidRPr="00F26850">
        <w:rPr>
          <w:rFonts w:ascii="Book Antiqua" w:hAnsi="Book Antiqua" w:cs="Arial"/>
          <w:sz w:val="24"/>
          <w:szCs w:val="24"/>
        </w:rPr>
        <w:t xml:space="preserve"> and did not confine herself to the examples in the policy.  The judge </w:t>
      </w:r>
      <w:r w:rsidR="00FD3F2A" w:rsidRPr="00F26850">
        <w:rPr>
          <w:rFonts w:ascii="Book Antiqua" w:hAnsi="Book Antiqua" w:cs="Arial"/>
          <w:sz w:val="24"/>
          <w:szCs w:val="24"/>
        </w:rPr>
        <w:t xml:space="preserve">therefore </w:t>
      </w:r>
      <w:r w:rsidRPr="00F26850">
        <w:rPr>
          <w:rFonts w:ascii="Book Antiqua" w:hAnsi="Book Antiqua" w:cs="Arial"/>
          <w:sz w:val="24"/>
          <w:szCs w:val="24"/>
        </w:rPr>
        <w:t xml:space="preserve">did </w:t>
      </w:r>
      <w:r w:rsidR="0081008C" w:rsidRPr="00F26850">
        <w:rPr>
          <w:rFonts w:ascii="Book Antiqua" w:hAnsi="Book Antiqua" w:cs="Arial"/>
          <w:sz w:val="24"/>
          <w:szCs w:val="24"/>
        </w:rPr>
        <w:t xml:space="preserve">consider independently the </w:t>
      </w:r>
      <w:r w:rsidRPr="00F26850">
        <w:rPr>
          <w:rFonts w:ascii="Book Antiqua" w:hAnsi="Book Antiqua" w:cs="Arial"/>
          <w:sz w:val="24"/>
          <w:szCs w:val="24"/>
        </w:rPr>
        <w:t>factors</w:t>
      </w:r>
      <w:r w:rsidR="00761CFB" w:rsidRPr="00F26850">
        <w:rPr>
          <w:rFonts w:ascii="Book Antiqua" w:hAnsi="Book Antiqua" w:cs="Arial"/>
          <w:sz w:val="24"/>
          <w:szCs w:val="24"/>
        </w:rPr>
        <w:t xml:space="preserve"> regarding the ‘absence’</w:t>
      </w:r>
      <w:r w:rsidRPr="00F26850">
        <w:rPr>
          <w:rFonts w:ascii="Book Antiqua" w:hAnsi="Book Antiqua" w:cs="Arial"/>
          <w:sz w:val="24"/>
          <w:szCs w:val="24"/>
        </w:rPr>
        <w:t xml:space="preserve"> and was entitled to attach the weight to </w:t>
      </w:r>
      <w:r w:rsidR="00761CFB" w:rsidRPr="00F26850">
        <w:rPr>
          <w:rFonts w:ascii="Book Antiqua" w:hAnsi="Book Antiqua" w:cs="Arial"/>
          <w:sz w:val="24"/>
          <w:szCs w:val="24"/>
        </w:rPr>
        <w:t xml:space="preserve">the factors </w:t>
      </w:r>
      <w:r w:rsidRPr="00F26850">
        <w:rPr>
          <w:rFonts w:ascii="Book Antiqua" w:hAnsi="Book Antiqua" w:cs="Arial"/>
          <w:sz w:val="24"/>
          <w:szCs w:val="24"/>
        </w:rPr>
        <w:t xml:space="preserve">that she did. </w:t>
      </w:r>
      <w:r w:rsidR="007342DB" w:rsidRPr="00F26850">
        <w:rPr>
          <w:rFonts w:ascii="Book Antiqua" w:hAnsi="Book Antiqua" w:cs="Arial"/>
          <w:sz w:val="24"/>
          <w:szCs w:val="24"/>
        </w:rPr>
        <w:t xml:space="preserve"> Nothing </w:t>
      </w:r>
      <w:r w:rsidR="007342DB" w:rsidRPr="00F26850">
        <w:rPr>
          <w:rFonts w:ascii="Book Antiqua" w:hAnsi="Book Antiqua" w:cs="Arial"/>
          <w:sz w:val="24"/>
          <w:szCs w:val="24"/>
        </w:rPr>
        <w:lastRenderedPageBreak/>
        <w:t xml:space="preserve">in the decision </w:t>
      </w:r>
      <w:r w:rsidR="00270090" w:rsidRPr="00F26850">
        <w:rPr>
          <w:rFonts w:ascii="Book Antiqua" w:hAnsi="Book Antiqua" w:cs="Arial"/>
          <w:sz w:val="24"/>
          <w:szCs w:val="24"/>
        </w:rPr>
        <w:t xml:space="preserve">suggests a departure from the Long Residence </w:t>
      </w:r>
      <w:r w:rsidR="000806F0" w:rsidRPr="00F26850">
        <w:rPr>
          <w:rFonts w:ascii="Book Antiqua" w:hAnsi="Book Antiqua" w:cs="Arial"/>
          <w:sz w:val="24"/>
          <w:szCs w:val="24"/>
        </w:rPr>
        <w:t>G</w:t>
      </w:r>
      <w:r w:rsidR="00270090" w:rsidRPr="00F26850">
        <w:rPr>
          <w:rFonts w:ascii="Book Antiqua" w:hAnsi="Book Antiqua" w:cs="Arial"/>
          <w:sz w:val="24"/>
          <w:szCs w:val="24"/>
        </w:rPr>
        <w:t>uidance which I have read carefully.</w:t>
      </w:r>
    </w:p>
    <w:p w14:paraId="4E8EC86E" w14:textId="5CAD5B3E" w:rsidR="00226E67" w:rsidRPr="00F26850" w:rsidRDefault="00A90C3B" w:rsidP="008D61B2">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The judge </w:t>
      </w:r>
      <w:r w:rsidR="00BB5D02" w:rsidRPr="00F26850">
        <w:rPr>
          <w:rFonts w:ascii="Book Antiqua" w:hAnsi="Book Antiqua" w:cs="Arial"/>
          <w:sz w:val="24"/>
          <w:szCs w:val="24"/>
        </w:rPr>
        <w:t>made reference</w:t>
      </w:r>
      <w:r w:rsidRPr="00F26850">
        <w:rPr>
          <w:rFonts w:ascii="Book Antiqua" w:hAnsi="Book Antiqua" w:cs="Arial"/>
          <w:sz w:val="24"/>
          <w:szCs w:val="24"/>
        </w:rPr>
        <w:t xml:space="preserve"> to the </w:t>
      </w:r>
      <w:r w:rsidR="00831054" w:rsidRPr="00F26850">
        <w:rPr>
          <w:rFonts w:ascii="Book Antiqua" w:hAnsi="Book Antiqua" w:cs="Arial"/>
          <w:sz w:val="24"/>
          <w:szCs w:val="24"/>
        </w:rPr>
        <w:t>28-day</w:t>
      </w:r>
      <w:r w:rsidRPr="00F26850">
        <w:rPr>
          <w:rFonts w:ascii="Book Antiqua" w:hAnsi="Book Antiqua" w:cs="Arial"/>
          <w:sz w:val="24"/>
          <w:szCs w:val="24"/>
        </w:rPr>
        <w:t xml:space="preserve"> leeway given with regard</w:t>
      </w:r>
      <w:r w:rsidR="00BB5D02" w:rsidRPr="00F26850">
        <w:rPr>
          <w:rFonts w:ascii="Book Antiqua" w:hAnsi="Book Antiqua" w:cs="Arial"/>
          <w:sz w:val="24"/>
          <w:szCs w:val="24"/>
        </w:rPr>
        <w:t xml:space="preserve"> to</w:t>
      </w:r>
      <w:r w:rsidRPr="00F26850">
        <w:rPr>
          <w:rFonts w:ascii="Book Antiqua" w:hAnsi="Book Antiqua" w:cs="Arial"/>
          <w:sz w:val="24"/>
          <w:szCs w:val="24"/>
        </w:rPr>
        <w:t xml:space="preserve"> a break in lawful residence but</w:t>
      </w:r>
      <w:r w:rsidR="00F07CAE" w:rsidRPr="00F26850">
        <w:rPr>
          <w:rFonts w:ascii="Book Antiqua" w:hAnsi="Book Antiqua" w:cs="Arial"/>
          <w:sz w:val="24"/>
          <w:szCs w:val="24"/>
        </w:rPr>
        <w:t xml:space="preserve"> that is a different concept.  An applicant must still have achieved the 10 years continuous residence. </w:t>
      </w:r>
      <w:r w:rsidRPr="00F26850">
        <w:rPr>
          <w:rFonts w:ascii="Book Antiqua" w:hAnsi="Book Antiqua" w:cs="Arial"/>
          <w:sz w:val="24"/>
          <w:szCs w:val="24"/>
        </w:rPr>
        <w:t xml:space="preserve"> </w:t>
      </w:r>
      <w:r w:rsidR="00831054" w:rsidRPr="00F26850">
        <w:rPr>
          <w:rFonts w:ascii="Book Antiqua" w:hAnsi="Book Antiqua" w:cs="Arial"/>
          <w:sz w:val="24"/>
          <w:szCs w:val="24"/>
        </w:rPr>
        <w:t>I</w:t>
      </w:r>
      <w:r w:rsidR="00977557" w:rsidRPr="00F26850">
        <w:rPr>
          <w:rFonts w:ascii="Book Antiqua" w:hAnsi="Book Antiqua" w:cs="Arial"/>
          <w:sz w:val="24"/>
          <w:szCs w:val="24"/>
        </w:rPr>
        <w:t>t is clear that the judge factored this into her balancing exercise</w:t>
      </w:r>
      <w:r w:rsidR="004155DE" w:rsidRPr="00F26850">
        <w:rPr>
          <w:rFonts w:ascii="Book Antiqua" w:hAnsi="Book Antiqua" w:cs="Arial"/>
          <w:sz w:val="24"/>
          <w:szCs w:val="24"/>
        </w:rPr>
        <w:t xml:space="preserve"> at [21].  The judge also factored in that the appellant </w:t>
      </w:r>
      <w:r w:rsidR="004155DE" w:rsidRPr="00F26850">
        <w:rPr>
          <w:rFonts w:ascii="Book Antiqua" w:hAnsi="Book Antiqua" w:cs="Arial"/>
          <w:i/>
          <w:sz w:val="24"/>
          <w:szCs w:val="24"/>
        </w:rPr>
        <w:t>did not meet</w:t>
      </w:r>
      <w:r w:rsidR="004155DE" w:rsidRPr="00F26850">
        <w:rPr>
          <w:rFonts w:ascii="Book Antiqua" w:hAnsi="Book Antiqua" w:cs="Arial"/>
          <w:sz w:val="24"/>
          <w:szCs w:val="24"/>
        </w:rPr>
        <w:t xml:space="preserve"> the </w:t>
      </w:r>
      <w:r w:rsidR="00A0221C" w:rsidRPr="00F26850">
        <w:rPr>
          <w:rFonts w:ascii="Book Antiqua" w:hAnsi="Book Antiqua" w:cs="Arial"/>
          <w:sz w:val="24"/>
          <w:szCs w:val="24"/>
        </w:rPr>
        <w:t>requirements</w:t>
      </w:r>
      <w:r w:rsidR="004155DE" w:rsidRPr="00F26850">
        <w:rPr>
          <w:rFonts w:ascii="Book Antiqua" w:hAnsi="Book Antiqua" w:cs="Arial"/>
          <w:sz w:val="24"/>
          <w:szCs w:val="24"/>
        </w:rPr>
        <w:t xml:space="preserve"> of the rules, </w:t>
      </w:r>
      <w:r w:rsidR="006B5D61" w:rsidRPr="00F26850">
        <w:rPr>
          <w:rFonts w:ascii="Book Antiqua" w:hAnsi="Book Antiqua" w:cs="Arial"/>
          <w:sz w:val="24"/>
          <w:szCs w:val="24"/>
        </w:rPr>
        <w:t xml:space="preserve">was not a burden on taxpayers, </w:t>
      </w:r>
      <w:r w:rsidR="00387924" w:rsidRPr="00F26850">
        <w:rPr>
          <w:rFonts w:ascii="Book Antiqua" w:hAnsi="Book Antiqua" w:cs="Arial"/>
          <w:sz w:val="24"/>
          <w:szCs w:val="24"/>
        </w:rPr>
        <w:t xml:space="preserve">and </w:t>
      </w:r>
      <w:r w:rsidR="006B5D61" w:rsidRPr="00F26850">
        <w:rPr>
          <w:rFonts w:ascii="Book Antiqua" w:hAnsi="Book Antiqua" w:cs="Arial"/>
          <w:sz w:val="24"/>
          <w:szCs w:val="24"/>
        </w:rPr>
        <w:t xml:space="preserve">spoke </w:t>
      </w:r>
      <w:r w:rsidR="00A0221C" w:rsidRPr="00F26850">
        <w:rPr>
          <w:rFonts w:ascii="Book Antiqua" w:hAnsi="Book Antiqua" w:cs="Arial"/>
          <w:sz w:val="24"/>
          <w:szCs w:val="24"/>
        </w:rPr>
        <w:t>English</w:t>
      </w:r>
      <w:r w:rsidR="006B5D61" w:rsidRPr="00F26850">
        <w:rPr>
          <w:rFonts w:ascii="Book Antiqua" w:hAnsi="Book Antiqua" w:cs="Arial"/>
          <w:sz w:val="24"/>
          <w:szCs w:val="24"/>
        </w:rPr>
        <w:t xml:space="preserve"> fluently</w:t>
      </w:r>
      <w:r w:rsidR="00331859" w:rsidRPr="00F26850">
        <w:rPr>
          <w:rFonts w:ascii="Book Antiqua" w:hAnsi="Book Antiqua" w:cs="Arial"/>
          <w:sz w:val="24"/>
          <w:szCs w:val="24"/>
        </w:rPr>
        <w:t>.</w:t>
      </w:r>
      <w:r w:rsidR="007A2CE2" w:rsidRPr="00F26850">
        <w:rPr>
          <w:rFonts w:ascii="Book Antiqua" w:hAnsi="Book Antiqua" w:cs="Arial"/>
          <w:sz w:val="24"/>
          <w:szCs w:val="24"/>
        </w:rPr>
        <w:t xml:space="preserve">  </w:t>
      </w:r>
      <w:r w:rsidR="00226E67" w:rsidRPr="00F26850">
        <w:rPr>
          <w:rFonts w:ascii="Book Antiqua" w:hAnsi="Book Antiqua" w:cs="Arial"/>
          <w:sz w:val="24"/>
          <w:szCs w:val="24"/>
        </w:rPr>
        <w:t>I am not persuaded</w:t>
      </w:r>
      <w:r w:rsidR="00EB16FC" w:rsidRPr="00F26850">
        <w:rPr>
          <w:rFonts w:ascii="Book Antiqua" w:hAnsi="Book Antiqua" w:cs="Arial"/>
          <w:sz w:val="24"/>
          <w:szCs w:val="24"/>
        </w:rPr>
        <w:t>, on the facts of this case,</w:t>
      </w:r>
      <w:r w:rsidR="00226E67" w:rsidRPr="00F26850">
        <w:rPr>
          <w:rFonts w:ascii="Book Antiqua" w:hAnsi="Book Antiqua" w:cs="Arial"/>
          <w:sz w:val="24"/>
          <w:szCs w:val="24"/>
        </w:rPr>
        <w:t xml:space="preserve"> there was a </w:t>
      </w:r>
      <w:r w:rsidR="007F265A" w:rsidRPr="00F26850">
        <w:rPr>
          <w:rFonts w:ascii="Book Antiqua" w:hAnsi="Book Antiqua" w:cs="Arial"/>
          <w:sz w:val="24"/>
          <w:szCs w:val="24"/>
        </w:rPr>
        <w:t xml:space="preserve">failure </w:t>
      </w:r>
      <w:r w:rsidR="00226E67" w:rsidRPr="00F26850">
        <w:rPr>
          <w:rFonts w:ascii="Book Antiqua" w:hAnsi="Book Antiqua" w:cs="Arial"/>
          <w:sz w:val="24"/>
          <w:szCs w:val="24"/>
        </w:rPr>
        <w:t xml:space="preserve">to </w:t>
      </w:r>
      <w:r w:rsidR="007F265A" w:rsidRPr="00F26850">
        <w:rPr>
          <w:rFonts w:ascii="Book Antiqua" w:hAnsi="Book Antiqua" w:cs="Arial"/>
          <w:sz w:val="24"/>
          <w:szCs w:val="24"/>
        </w:rPr>
        <w:t>follow</w:t>
      </w:r>
      <w:r w:rsidR="00EB16FC" w:rsidRPr="00F26850">
        <w:rPr>
          <w:rFonts w:ascii="Book Antiqua" w:hAnsi="Book Antiqua" w:cs="Arial"/>
          <w:sz w:val="24"/>
          <w:szCs w:val="24"/>
        </w:rPr>
        <w:t xml:space="preserve"> </w:t>
      </w:r>
      <w:r w:rsidR="00EB16FC" w:rsidRPr="00F26850">
        <w:rPr>
          <w:rFonts w:ascii="Book Antiqua" w:hAnsi="Book Antiqua" w:cs="Arial"/>
          <w:b/>
          <w:sz w:val="24"/>
          <w:szCs w:val="24"/>
          <w:u w:val="single"/>
        </w:rPr>
        <w:t>UE</w:t>
      </w:r>
      <w:r w:rsidR="007F265A" w:rsidRPr="00F26850">
        <w:rPr>
          <w:rFonts w:ascii="Book Antiqua" w:hAnsi="Book Antiqua" w:cs="Arial"/>
          <w:sz w:val="24"/>
          <w:szCs w:val="24"/>
        </w:rPr>
        <w:t xml:space="preserve">.  </w:t>
      </w:r>
      <w:r w:rsidR="008F04AF" w:rsidRPr="00F26850">
        <w:rPr>
          <w:rFonts w:ascii="Book Antiqua" w:hAnsi="Book Antiqua" w:cs="Arial"/>
          <w:sz w:val="24"/>
          <w:szCs w:val="24"/>
        </w:rPr>
        <w:t>That authority he</w:t>
      </w:r>
      <w:r w:rsidR="00226E67" w:rsidRPr="00F26850">
        <w:rPr>
          <w:rFonts w:ascii="Book Antiqua" w:hAnsi="Book Antiqua" w:cs="Arial"/>
          <w:sz w:val="24"/>
          <w:szCs w:val="24"/>
        </w:rPr>
        <w:t xml:space="preserve">ld that </w:t>
      </w:r>
    </w:p>
    <w:p w14:paraId="04546025" w14:textId="4BF61F7E" w:rsidR="00264993" w:rsidRPr="00F26850" w:rsidRDefault="00226E67" w:rsidP="00477BAA">
      <w:pPr>
        <w:spacing w:before="120" w:after="0" w:line="240" w:lineRule="auto"/>
        <w:ind w:left="1134"/>
        <w:jc w:val="both"/>
        <w:rPr>
          <w:rFonts w:ascii="Book Antiqua" w:hAnsi="Book Antiqua" w:cs="Arial"/>
          <w:i/>
          <w:sz w:val="24"/>
          <w:szCs w:val="24"/>
        </w:rPr>
      </w:pPr>
      <w:bookmarkStart w:id="2" w:name="para36"/>
      <w:r w:rsidRPr="00F26850">
        <w:rPr>
          <w:rFonts w:ascii="Book Antiqua" w:hAnsi="Book Antiqua"/>
          <w:i/>
          <w:sz w:val="24"/>
          <w:szCs w:val="24"/>
        </w:rPr>
        <w:t xml:space="preserve">‘while this factor of public value can be relevant in the way which I have described, I would expect it to make a difference to the outcome of immigration cases only in a </w:t>
      </w:r>
      <w:r w:rsidRPr="00F26850">
        <w:rPr>
          <w:rFonts w:ascii="Book Antiqua" w:hAnsi="Book Antiqua"/>
          <w:i/>
          <w:sz w:val="24"/>
          <w:szCs w:val="24"/>
          <w:u w:val="single"/>
        </w:rPr>
        <w:t>relatively few instances where the positive contribution to this country is very significant</w:t>
      </w:r>
      <w:r w:rsidRPr="00F26850">
        <w:rPr>
          <w:rFonts w:ascii="Book Antiqua" w:hAnsi="Book Antiqua"/>
          <w:i/>
          <w:sz w:val="24"/>
          <w:szCs w:val="24"/>
        </w:rPr>
        <w:t xml:space="preserve">, perhaps of the kind referred to by Lord Bridge in </w:t>
      </w:r>
      <w:proofErr w:type="spellStart"/>
      <w:r w:rsidRPr="00F26850">
        <w:rPr>
          <w:rFonts w:ascii="Book Antiqua" w:hAnsi="Book Antiqua"/>
          <w:i/>
          <w:sz w:val="24"/>
          <w:szCs w:val="24"/>
          <w:u w:val="single"/>
        </w:rPr>
        <w:t>Bakhtaur</w:t>
      </w:r>
      <w:proofErr w:type="spellEnd"/>
      <w:r w:rsidRPr="00F26850">
        <w:rPr>
          <w:rFonts w:ascii="Book Antiqua" w:hAnsi="Book Antiqua"/>
          <w:i/>
          <w:sz w:val="24"/>
          <w:szCs w:val="24"/>
          <w:u w:val="single"/>
        </w:rPr>
        <w:t> Singh</w:t>
      </w:r>
      <w:r w:rsidRPr="00F26850">
        <w:rPr>
          <w:rFonts w:ascii="Book Antiqua" w:hAnsi="Book Antiqua"/>
          <w:i/>
          <w:sz w:val="24"/>
          <w:szCs w:val="24"/>
        </w:rPr>
        <w:t xml:space="preserve">. The main element in the public interest will normally consist of the need to maintain a firm policy of immigration control, and little will go to undermine that’. </w:t>
      </w:r>
      <w:bookmarkEnd w:id="2"/>
      <w:r w:rsidR="007A2CE2" w:rsidRPr="00F26850">
        <w:rPr>
          <w:rFonts w:ascii="Book Antiqua" w:hAnsi="Book Antiqua" w:cs="Arial"/>
          <w:i/>
          <w:sz w:val="24"/>
          <w:szCs w:val="24"/>
        </w:rPr>
        <w:t xml:space="preserve">  </w:t>
      </w:r>
    </w:p>
    <w:p w14:paraId="3C22FC97" w14:textId="57F43B16" w:rsidR="00EB16FC" w:rsidRPr="00F26850" w:rsidRDefault="008A424F" w:rsidP="00226E67">
      <w:pPr>
        <w:spacing w:before="240" w:after="0" w:line="240" w:lineRule="auto"/>
        <w:ind w:left="567"/>
        <w:jc w:val="both"/>
        <w:rPr>
          <w:rFonts w:ascii="Book Antiqua" w:hAnsi="Book Antiqua" w:cs="Arial"/>
          <w:sz w:val="24"/>
          <w:szCs w:val="24"/>
        </w:rPr>
      </w:pPr>
      <w:r w:rsidRPr="00F26850">
        <w:rPr>
          <w:rFonts w:ascii="Book Antiqua" w:hAnsi="Book Antiqua" w:cs="Arial"/>
          <w:sz w:val="24"/>
          <w:szCs w:val="24"/>
        </w:rPr>
        <w:t xml:space="preserve">Nothing in the decision of </w:t>
      </w:r>
      <w:r w:rsidR="00152955" w:rsidRPr="00F26850">
        <w:rPr>
          <w:rFonts w:ascii="Book Antiqua" w:hAnsi="Book Antiqua" w:cs="Arial"/>
          <w:sz w:val="24"/>
          <w:szCs w:val="24"/>
        </w:rPr>
        <w:t>J</w:t>
      </w:r>
      <w:r w:rsidRPr="00F26850">
        <w:rPr>
          <w:rFonts w:ascii="Book Antiqua" w:hAnsi="Book Antiqua" w:cs="Arial"/>
          <w:sz w:val="24"/>
          <w:szCs w:val="24"/>
        </w:rPr>
        <w:t xml:space="preserve">udge </w:t>
      </w:r>
      <w:proofErr w:type="spellStart"/>
      <w:r w:rsidRPr="00F26850">
        <w:rPr>
          <w:rFonts w:ascii="Book Antiqua" w:hAnsi="Book Antiqua" w:cs="Arial"/>
          <w:sz w:val="24"/>
          <w:szCs w:val="24"/>
        </w:rPr>
        <w:t>Eban</w:t>
      </w:r>
      <w:proofErr w:type="spellEnd"/>
      <w:r w:rsidRPr="00F26850">
        <w:rPr>
          <w:rFonts w:ascii="Book Antiqua" w:hAnsi="Book Antiqua" w:cs="Arial"/>
          <w:sz w:val="24"/>
          <w:szCs w:val="24"/>
        </w:rPr>
        <w:t xml:space="preserve"> suggests that she failed to recognise and factor in all the relevant facts as presented by the appellant.  </w:t>
      </w:r>
      <w:r w:rsidR="00152955" w:rsidRPr="00F26850">
        <w:rPr>
          <w:rFonts w:ascii="Book Antiqua" w:hAnsi="Book Antiqua" w:cs="Arial"/>
          <w:sz w:val="24"/>
          <w:szCs w:val="24"/>
        </w:rPr>
        <w:t>A</w:t>
      </w:r>
      <w:r w:rsidR="00144D4B" w:rsidRPr="00F26850">
        <w:rPr>
          <w:rFonts w:ascii="Book Antiqua" w:hAnsi="Book Antiqua" w:cs="Arial"/>
          <w:sz w:val="24"/>
          <w:szCs w:val="24"/>
        </w:rPr>
        <w:t xml:space="preserve">lthough there may have been </w:t>
      </w:r>
      <w:r w:rsidR="000E2030" w:rsidRPr="00F26850">
        <w:rPr>
          <w:rFonts w:ascii="Book Antiqua" w:hAnsi="Book Antiqua" w:cs="Arial"/>
          <w:sz w:val="24"/>
          <w:szCs w:val="24"/>
        </w:rPr>
        <w:t xml:space="preserve">no negative </w:t>
      </w:r>
      <w:r w:rsidR="00144D4B" w:rsidRPr="00F26850">
        <w:rPr>
          <w:rFonts w:ascii="Book Antiqua" w:hAnsi="Book Antiqua" w:cs="Arial"/>
          <w:sz w:val="24"/>
          <w:szCs w:val="24"/>
        </w:rPr>
        <w:t>effect of the appellant’s presence</w:t>
      </w:r>
      <w:r w:rsidR="00C9704B" w:rsidRPr="00F26850">
        <w:rPr>
          <w:rFonts w:ascii="Book Antiqua" w:hAnsi="Book Antiqua" w:cs="Arial"/>
          <w:sz w:val="24"/>
          <w:szCs w:val="24"/>
        </w:rPr>
        <w:t xml:space="preserve">, </w:t>
      </w:r>
      <w:r w:rsidR="00152955" w:rsidRPr="00F26850">
        <w:rPr>
          <w:rFonts w:ascii="Book Antiqua" w:hAnsi="Book Antiqua" w:cs="Arial"/>
          <w:sz w:val="24"/>
          <w:szCs w:val="24"/>
        </w:rPr>
        <w:t xml:space="preserve">a </w:t>
      </w:r>
      <w:r w:rsidR="00C9704B" w:rsidRPr="00F26850">
        <w:rPr>
          <w:rFonts w:ascii="Book Antiqua" w:hAnsi="Book Antiqua" w:cs="Arial"/>
          <w:sz w:val="24"/>
          <w:szCs w:val="24"/>
        </w:rPr>
        <w:t xml:space="preserve">very significant contribution </w:t>
      </w:r>
      <w:r w:rsidR="008B4598" w:rsidRPr="00F26850">
        <w:rPr>
          <w:rFonts w:ascii="Book Antiqua" w:hAnsi="Book Antiqua" w:cs="Arial"/>
          <w:sz w:val="24"/>
          <w:szCs w:val="24"/>
        </w:rPr>
        <w:t xml:space="preserve">to the United </w:t>
      </w:r>
      <w:r w:rsidR="00F2311C" w:rsidRPr="00F26850">
        <w:rPr>
          <w:rFonts w:ascii="Book Antiqua" w:hAnsi="Book Antiqua" w:cs="Arial"/>
          <w:sz w:val="24"/>
          <w:szCs w:val="24"/>
        </w:rPr>
        <w:t>Kingdom</w:t>
      </w:r>
      <w:r w:rsidR="008B4598" w:rsidRPr="00F26850">
        <w:rPr>
          <w:rFonts w:ascii="Book Antiqua" w:hAnsi="Book Antiqua" w:cs="Arial"/>
          <w:sz w:val="24"/>
          <w:szCs w:val="24"/>
        </w:rPr>
        <w:t xml:space="preserve"> </w:t>
      </w:r>
      <w:r w:rsidR="00C9704B" w:rsidRPr="00F26850">
        <w:rPr>
          <w:rFonts w:ascii="Book Antiqua" w:hAnsi="Book Antiqua" w:cs="Arial"/>
          <w:sz w:val="24"/>
          <w:szCs w:val="24"/>
        </w:rPr>
        <w:t xml:space="preserve">was not evidenced. </w:t>
      </w:r>
      <w:r w:rsidR="00144D4B" w:rsidRPr="00F26850">
        <w:rPr>
          <w:rFonts w:ascii="Book Antiqua" w:hAnsi="Book Antiqua" w:cs="Arial"/>
          <w:sz w:val="24"/>
          <w:szCs w:val="24"/>
        </w:rPr>
        <w:t xml:space="preserve"> </w:t>
      </w:r>
    </w:p>
    <w:p w14:paraId="30901985" w14:textId="277A37C2" w:rsidR="00CC1D70" w:rsidRPr="00F26850" w:rsidRDefault="00EC16B1" w:rsidP="00F26850">
      <w:pPr>
        <w:numPr>
          <w:ilvl w:val="0"/>
          <w:numId w:val="1"/>
        </w:numPr>
        <w:tabs>
          <w:tab w:val="clear" w:pos="720"/>
        </w:tabs>
        <w:spacing w:before="240" w:after="0" w:line="240" w:lineRule="auto"/>
        <w:ind w:left="567" w:hanging="567"/>
        <w:jc w:val="both"/>
        <w:rPr>
          <w:rFonts w:ascii="Book Antiqua" w:hAnsi="Book Antiqua" w:cs="Arial"/>
          <w:sz w:val="24"/>
          <w:szCs w:val="24"/>
        </w:rPr>
      </w:pPr>
      <w:r w:rsidRPr="00F26850">
        <w:rPr>
          <w:rFonts w:ascii="Book Antiqua" w:hAnsi="Book Antiqua" w:cs="Arial"/>
          <w:sz w:val="24"/>
          <w:szCs w:val="24"/>
        </w:rPr>
        <w:t xml:space="preserve">On the reasoning above I find no material error of law </w:t>
      </w:r>
      <w:r w:rsidR="00B77EE4" w:rsidRPr="00F26850">
        <w:rPr>
          <w:rFonts w:ascii="Book Antiqua" w:hAnsi="Book Antiqua" w:cs="Arial"/>
          <w:sz w:val="24"/>
          <w:szCs w:val="24"/>
        </w:rPr>
        <w:t xml:space="preserve">by </w:t>
      </w:r>
      <w:r w:rsidR="00116174" w:rsidRPr="00F26850">
        <w:rPr>
          <w:rFonts w:ascii="Book Antiqua" w:hAnsi="Book Antiqua" w:cs="Arial"/>
          <w:sz w:val="24"/>
          <w:szCs w:val="24"/>
        </w:rPr>
        <w:t>J</w:t>
      </w:r>
      <w:r w:rsidR="00B77EE4" w:rsidRPr="00F26850">
        <w:rPr>
          <w:rFonts w:ascii="Book Antiqua" w:hAnsi="Book Antiqua" w:cs="Arial"/>
          <w:sz w:val="24"/>
          <w:szCs w:val="24"/>
        </w:rPr>
        <w:t>udge</w:t>
      </w:r>
      <w:r w:rsidR="00430241" w:rsidRPr="00F26850">
        <w:rPr>
          <w:rFonts w:ascii="Book Antiqua" w:hAnsi="Book Antiqua" w:cs="Arial"/>
          <w:sz w:val="24"/>
          <w:szCs w:val="24"/>
        </w:rPr>
        <w:t xml:space="preserve"> </w:t>
      </w:r>
      <w:proofErr w:type="spellStart"/>
      <w:r w:rsidR="00430241" w:rsidRPr="00F26850">
        <w:rPr>
          <w:rFonts w:ascii="Book Antiqua" w:hAnsi="Book Antiqua" w:cs="Arial"/>
          <w:sz w:val="24"/>
          <w:szCs w:val="24"/>
        </w:rPr>
        <w:t>Eban</w:t>
      </w:r>
      <w:proofErr w:type="spellEnd"/>
      <w:r w:rsidR="00B77EE4" w:rsidRPr="00F26850">
        <w:rPr>
          <w:rFonts w:ascii="Book Antiqua" w:hAnsi="Book Antiqua" w:cs="Arial"/>
          <w:sz w:val="24"/>
          <w:szCs w:val="24"/>
        </w:rPr>
        <w:t xml:space="preserve"> </w:t>
      </w:r>
      <w:r w:rsidR="00B37BDB" w:rsidRPr="00F26850">
        <w:rPr>
          <w:rFonts w:ascii="Book Antiqua" w:hAnsi="Book Antiqua" w:cs="Arial"/>
          <w:sz w:val="24"/>
          <w:szCs w:val="24"/>
        </w:rPr>
        <w:t>in her approach to the factors in this case</w:t>
      </w:r>
      <w:r w:rsidR="00C978F9" w:rsidRPr="00F26850">
        <w:rPr>
          <w:rFonts w:ascii="Book Antiqua" w:hAnsi="Book Antiqua" w:cs="Arial"/>
          <w:sz w:val="24"/>
          <w:szCs w:val="24"/>
        </w:rPr>
        <w:t xml:space="preserve">, </w:t>
      </w:r>
      <w:r w:rsidRPr="00F26850">
        <w:rPr>
          <w:rFonts w:ascii="Book Antiqua" w:hAnsi="Book Antiqua" w:cs="Arial"/>
          <w:sz w:val="24"/>
          <w:szCs w:val="24"/>
        </w:rPr>
        <w:t xml:space="preserve">the construction of the rules </w:t>
      </w:r>
      <w:r w:rsidR="00C978F9" w:rsidRPr="00F26850">
        <w:rPr>
          <w:rFonts w:ascii="Book Antiqua" w:hAnsi="Book Antiqua" w:cs="Arial"/>
          <w:sz w:val="24"/>
          <w:szCs w:val="24"/>
        </w:rPr>
        <w:t xml:space="preserve">and the </w:t>
      </w:r>
      <w:r w:rsidR="00430241" w:rsidRPr="00F26850">
        <w:rPr>
          <w:rFonts w:ascii="Book Antiqua" w:hAnsi="Book Antiqua" w:cs="Arial"/>
          <w:sz w:val="24"/>
          <w:szCs w:val="24"/>
        </w:rPr>
        <w:t xml:space="preserve">appellant’s </w:t>
      </w:r>
      <w:r w:rsidR="00AD5E23" w:rsidRPr="00F26850">
        <w:rPr>
          <w:rFonts w:ascii="Book Antiqua" w:hAnsi="Book Antiqua" w:cs="Arial"/>
          <w:sz w:val="24"/>
          <w:szCs w:val="24"/>
        </w:rPr>
        <w:t>human rights</w:t>
      </w:r>
      <w:r w:rsidRPr="00F26850">
        <w:rPr>
          <w:rFonts w:ascii="Book Antiqua" w:hAnsi="Book Antiqua" w:cs="Arial"/>
          <w:sz w:val="24"/>
          <w:szCs w:val="24"/>
        </w:rPr>
        <w:t xml:space="preserve">. </w:t>
      </w:r>
      <w:r w:rsidR="0005604A">
        <w:rPr>
          <w:rFonts w:ascii="Book Antiqua" w:hAnsi="Book Antiqua" w:cs="Arial"/>
          <w:sz w:val="24"/>
          <w:szCs w:val="24"/>
        </w:rPr>
        <w:t>The decision will stand.</w:t>
      </w:r>
      <w:r w:rsidR="005D7EB6">
        <w:rPr>
          <w:rFonts w:ascii="Book Antiqua" w:hAnsi="Book Antiqua" w:cs="Arial"/>
          <w:sz w:val="24"/>
          <w:szCs w:val="24"/>
        </w:rPr>
        <w:t xml:space="preserve">  The appellant’s appeal is dismissed.</w:t>
      </w:r>
    </w:p>
    <w:p w14:paraId="0420FD1F" w14:textId="77777777" w:rsidR="00F26850" w:rsidRDefault="00F26850" w:rsidP="00477BAA">
      <w:pPr>
        <w:ind w:left="540" w:hanging="540"/>
        <w:rPr>
          <w:rFonts w:ascii="Book Antiqua" w:hAnsi="Book Antiqua" w:cs="Arial"/>
          <w:sz w:val="24"/>
          <w:szCs w:val="24"/>
        </w:rPr>
      </w:pPr>
    </w:p>
    <w:p w14:paraId="3CC8ADA1" w14:textId="125C11A5" w:rsidR="00CC1D70" w:rsidRPr="00F26850" w:rsidRDefault="00CC1D70" w:rsidP="00477BAA">
      <w:pPr>
        <w:tabs>
          <w:tab w:val="left" w:pos="1134"/>
          <w:tab w:val="right" w:pos="8358"/>
        </w:tabs>
        <w:rPr>
          <w:rFonts w:ascii="Book Antiqua" w:hAnsi="Book Antiqua" w:cs="Arial"/>
          <w:sz w:val="24"/>
          <w:szCs w:val="24"/>
        </w:rPr>
      </w:pPr>
      <w:r w:rsidRPr="00F26850">
        <w:rPr>
          <w:rFonts w:ascii="Book Antiqua" w:hAnsi="Book Antiqua" w:cs="Arial"/>
          <w:sz w:val="24"/>
          <w:szCs w:val="24"/>
        </w:rPr>
        <w:t>Signed</w:t>
      </w:r>
      <w:r w:rsidR="00477BAA">
        <w:rPr>
          <w:rFonts w:ascii="Book Antiqua" w:hAnsi="Book Antiqua" w:cs="Arial"/>
          <w:sz w:val="24"/>
          <w:szCs w:val="24"/>
        </w:rPr>
        <w:tab/>
      </w:r>
      <w:r w:rsidR="00F26850" w:rsidRPr="00F26850">
        <w:rPr>
          <w:rFonts w:ascii="Blackadder ITC" w:hAnsi="Blackadder ITC" w:cs="Arial"/>
          <w:sz w:val="24"/>
          <w:szCs w:val="24"/>
        </w:rPr>
        <w:t>Helen</w:t>
      </w:r>
      <w:r w:rsidR="00477BAA">
        <w:rPr>
          <w:rFonts w:ascii="Blackadder ITC" w:hAnsi="Blackadder ITC" w:cs="Arial"/>
          <w:sz w:val="24"/>
          <w:szCs w:val="24"/>
        </w:rPr>
        <w:t xml:space="preserve"> </w:t>
      </w:r>
      <w:proofErr w:type="spellStart"/>
      <w:r w:rsidR="00F26850" w:rsidRPr="00F26850">
        <w:rPr>
          <w:rFonts w:ascii="Blackadder ITC" w:hAnsi="Blackadder ITC" w:cs="Arial"/>
          <w:sz w:val="24"/>
          <w:szCs w:val="24"/>
        </w:rPr>
        <w:t>Rimington</w:t>
      </w:r>
      <w:proofErr w:type="spellEnd"/>
      <w:r w:rsidR="00477BAA">
        <w:rPr>
          <w:rFonts w:ascii="Blackadder ITC" w:hAnsi="Blackadder ITC" w:cs="Arial"/>
          <w:sz w:val="24"/>
          <w:szCs w:val="24"/>
        </w:rPr>
        <w:tab/>
      </w:r>
      <w:r w:rsidRPr="00F26850">
        <w:rPr>
          <w:rFonts w:ascii="Book Antiqua" w:hAnsi="Book Antiqua" w:cs="Arial"/>
          <w:sz w:val="24"/>
          <w:szCs w:val="24"/>
        </w:rPr>
        <w:t xml:space="preserve">Date </w:t>
      </w:r>
      <w:r w:rsidR="00124650" w:rsidRPr="00F26850">
        <w:rPr>
          <w:rFonts w:ascii="Book Antiqua" w:hAnsi="Book Antiqua" w:cs="Arial"/>
          <w:sz w:val="24"/>
          <w:szCs w:val="24"/>
        </w:rPr>
        <w:t>31</w:t>
      </w:r>
      <w:r w:rsidR="00124650" w:rsidRPr="00F26850">
        <w:rPr>
          <w:rFonts w:ascii="Book Antiqua" w:hAnsi="Book Antiqua" w:cs="Arial"/>
          <w:sz w:val="24"/>
          <w:szCs w:val="24"/>
          <w:vertAlign w:val="superscript"/>
        </w:rPr>
        <w:t>st</w:t>
      </w:r>
      <w:r w:rsidR="00124650" w:rsidRPr="00F26850">
        <w:rPr>
          <w:rFonts w:ascii="Book Antiqua" w:hAnsi="Book Antiqua" w:cs="Arial"/>
          <w:sz w:val="24"/>
          <w:szCs w:val="24"/>
        </w:rPr>
        <w:t xml:space="preserve"> August 2018</w:t>
      </w:r>
    </w:p>
    <w:p w14:paraId="01F8B817" w14:textId="27CF6ABC" w:rsidR="0035378C" w:rsidRPr="00F26850" w:rsidRDefault="00CC1D70" w:rsidP="00477BAA">
      <w:pPr>
        <w:tabs>
          <w:tab w:val="left" w:pos="2520"/>
        </w:tabs>
        <w:rPr>
          <w:sz w:val="24"/>
          <w:szCs w:val="24"/>
        </w:rPr>
      </w:pPr>
      <w:r w:rsidRPr="00F26850">
        <w:rPr>
          <w:rFonts w:ascii="Book Antiqua" w:hAnsi="Book Antiqua" w:cs="Arial"/>
          <w:color w:val="000000"/>
          <w:sz w:val="24"/>
          <w:szCs w:val="24"/>
        </w:rPr>
        <w:t xml:space="preserve">Upper Tribunal Judge </w:t>
      </w:r>
      <w:proofErr w:type="spellStart"/>
      <w:r w:rsidRPr="00F26850">
        <w:rPr>
          <w:rFonts w:ascii="Book Antiqua" w:hAnsi="Book Antiqua" w:cs="Arial"/>
          <w:color w:val="000000"/>
          <w:sz w:val="24"/>
          <w:szCs w:val="24"/>
        </w:rPr>
        <w:t>Rimington</w:t>
      </w:r>
      <w:proofErr w:type="spellEnd"/>
      <w:r w:rsidRPr="00F26850">
        <w:rPr>
          <w:rFonts w:ascii="Book Antiqua" w:hAnsi="Book Antiqua" w:cs="Arial"/>
          <w:color w:val="000000"/>
          <w:sz w:val="24"/>
          <w:szCs w:val="24"/>
        </w:rPr>
        <w:t xml:space="preserve"> </w:t>
      </w:r>
    </w:p>
    <w:sectPr w:rsidR="0035378C" w:rsidRPr="00F26850" w:rsidSect="003F2DED">
      <w:headerReference w:type="default" r:id="rId10"/>
      <w:footerReference w:type="default" r:id="rId11"/>
      <w:headerReference w:type="first" r:id="rId12"/>
      <w:footerReference w:type="first" r:id="rId13"/>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327B4" w14:textId="77777777" w:rsidR="00C374F4" w:rsidRDefault="00C374F4" w:rsidP="00033D7D">
      <w:pPr>
        <w:spacing w:after="0" w:line="240" w:lineRule="auto"/>
      </w:pPr>
      <w:r>
        <w:separator/>
      </w:r>
    </w:p>
  </w:endnote>
  <w:endnote w:type="continuationSeparator" w:id="0">
    <w:p w14:paraId="5034F036" w14:textId="77777777" w:rsidR="00C374F4" w:rsidRDefault="00C374F4" w:rsidP="0003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C963" w14:textId="609DD98C" w:rsidR="003639B1" w:rsidRPr="00C4371F" w:rsidRDefault="00270090" w:rsidP="003639B1">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116246">
      <w:rPr>
        <w:rStyle w:val="PageNumber"/>
        <w:rFonts w:ascii="Book Antiqua" w:hAnsi="Book Antiqua" w:cs="Arial"/>
        <w:noProof/>
        <w:sz w:val="16"/>
        <w:szCs w:val="16"/>
      </w:rPr>
      <w:t>9</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89A81" w14:textId="77777777" w:rsidR="003639B1" w:rsidRPr="00C4371F" w:rsidRDefault="00270090" w:rsidP="003639B1">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565BA" w14:textId="77777777" w:rsidR="00C374F4" w:rsidRDefault="00C374F4" w:rsidP="00033D7D">
      <w:pPr>
        <w:spacing w:after="0" w:line="240" w:lineRule="auto"/>
      </w:pPr>
      <w:r>
        <w:separator/>
      </w:r>
    </w:p>
  </w:footnote>
  <w:footnote w:type="continuationSeparator" w:id="0">
    <w:p w14:paraId="273DA325" w14:textId="77777777" w:rsidR="00C374F4" w:rsidRDefault="00C374F4" w:rsidP="0003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326B9" w14:textId="3B846A52" w:rsidR="003639B1" w:rsidRPr="00C4371F" w:rsidRDefault="00270090" w:rsidP="00033D7D">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w:t>
    </w:r>
    <w:r w:rsidR="00033D7D">
      <w:rPr>
        <w:rFonts w:ascii="Book Antiqua" w:hAnsi="Book Antiqua" w:cs="Arial"/>
        <w:sz w:val="16"/>
        <w:szCs w:val="16"/>
      </w:rPr>
      <w:t>HU/20738/2016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BA53" w14:textId="77777777" w:rsidR="003639B1" w:rsidRPr="00C4371F" w:rsidRDefault="00270090">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4404B"/>
    <w:multiLevelType w:val="multilevel"/>
    <w:tmpl w:val="6E901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C59CC"/>
    <w:multiLevelType w:val="hybridMultilevel"/>
    <w:tmpl w:val="DC763B30"/>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3E524B5E">
      <w:start w:val="1"/>
      <w:numFmt w:val="lowerRoman"/>
      <w:suff w:val="space"/>
      <w:lvlText w:val="(%6)"/>
      <w:lvlJc w:val="left"/>
      <w:pPr>
        <w:ind w:left="1701" w:firstLine="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525AC75-129D-4295-9D4A-200152271AE7}"/>
    <w:docVar w:name="dgnword-eventsink" w:val="783252856"/>
  </w:docVars>
  <w:rsids>
    <w:rsidRoot w:val="00CC1D70"/>
    <w:rsid w:val="0000357E"/>
    <w:rsid w:val="00006B78"/>
    <w:rsid w:val="00015120"/>
    <w:rsid w:val="00015218"/>
    <w:rsid w:val="00024C3E"/>
    <w:rsid w:val="00027476"/>
    <w:rsid w:val="0003086D"/>
    <w:rsid w:val="00032E90"/>
    <w:rsid w:val="00033D7D"/>
    <w:rsid w:val="00044ADC"/>
    <w:rsid w:val="000473B6"/>
    <w:rsid w:val="00051D28"/>
    <w:rsid w:val="0005604A"/>
    <w:rsid w:val="00065F3F"/>
    <w:rsid w:val="000806F0"/>
    <w:rsid w:val="00085E77"/>
    <w:rsid w:val="000878C8"/>
    <w:rsid w:val="000A196A"/>
    <w:rsid w:val="000A413B"/>
    <w:rsid w:val="000B2A9A"/>
    <w:rsid w:val="000D1AF6"/>
    <w:rsid w:val="000D43E8"/>
    <w:rsid w:val="000E0B68"/>
    <w:rsid w:val="000E1D98"/>
    <w:rsid w:val="000E1DA7"/>
    <w:rsid w:val="000E2030"/>
    <w:rsid w:val="000E27E2"/>
    <w:rsid w:val="000F77CC"/>
    <w:rsid w:val="00100D83"/>
    <w:rsid w:val="0010109D"/>
    <w:rsid w:val="00103CF9"/>
    <w:rsid w:val="0010482B"/>
    <w:rsid w:val="00116174"/>
    <w:rsid w:val="00116246"/>
    <w:rsid w:val="0011781A"/>
    <w:rsid w:val="00124650"/>
    <w:rsid w:val="00133839"/>
    <w:rsid w:val="00144D4B"/>
    <w:rsid w:val="00147E09"/>
    <w:rsid w:val="00152955"/>
    <w:rsid w:val="00157294"/>
    <w:rsid w:val="00171843"/>
    <w:rsid w:val="0017214E"/>
    <w:rsid w:val="00186DD9"/>
    <w:rsid w:val="001903DC"/>
    <w:rsid w:val="00195FEF"/>
    <w:rsid w:val="001B0F3A"/>
    <w:rsid w:val="001B7559"/>
    <w:rsid w:val="001C4B3D"/>
    <w:rsid w:val="001C5B67"/>
    <w:rsid w:val="001D0A44"/>
    <w:rsid w:val="001D7CA4"/>
    <w:rsid w:val="001E3C85"/>
    <w:rsid w:val="001E697F"/>
    <w:rsid w:val="001F634B"/>
    <w:rsid w:val="0020094B"/>
    <w:rsid w:val="00214D25"/>
    <w:rsid w:val="00226E67"/>
    <w:rsid w:val="00233EA9"/>
    <w:rsid w:val="002634D7"/>
    <w:rsid w:val="00264993"/>
    <w:rsid w:val="00266694"/>
    <w:rsid w:val="00270090"/>
    <w:rsid w:val="002807D8"/>
    <w:rsid w:val="00281C52"/>
    <w:rsid w:val="00290BD3"/>
    <w:rsid w:val="00295B33"/>
    <w:rsid w:val="002A67F6"/>
    <w:rsid w:val="002A710C"/>
    <w:rsid w:val="002C4F71"/>
    <w:rsid w:val="002C704E"/>
    <w:rsid w:val="002D06BC"/>
    <w:rsid w:val="002D2F9A"/>
    <w:rsid w:val="002E22D0"/>
    <w:rsid w:val="002F0BBB"/>
    <w:rsid w:val="002F2C4B"/>
    <w:rsid w:val="002F4A8B"/>
    <w:rsid w:val="00300B64"/>
    <w:rsid w:val="00303ED7"/>
    <w:rsid w:val="003047AE"/>
    <w:rsid w:val="00306414"/>
    <w:rsid w:val="003069D7"/>
    <w:rsid w:val="003072A6"/>
    <w:rsid w:val="00307C75"/>
    <w:rsid w:val="00311720"/>
    <w:rsid w:val="003172FF"/>
    <w:rsid w:val="00323D88"/>
    <w:rsid w:val="00325238"/>
    <w:rsid w:val="00327532"/>
    <w:rsid w:val="00330621"/>
    <w:rsid w:val="00331859"/>
    <w:rsid w:val="00337EA8"/>
    <w:rsid w:val="00345CB4"/>
    <w:rsid w:val="00347D0C"/>
    <w:rsid w:val="0035247A"/>
    <w:rsid w:val="0035378C"/>
    <w:rsid w:val="003600C2"/>
    <w:rsid w:val="003622FD"/>
    <w:rsid w:val="003659CF"/>
    <w:rsid w:val="003676EF"/>
    <w:rsid w:val="00381185"/>
    <w:rsid w:val="00384351"/>
    <w:rsid w:val="00385DCA"/>
    <w:rsid w:val="00387924"/>
    <w:rsid w:val="00390B9E"/>
    <w:rsid w:val="00391820"/>
    <w:rsid w:val="00391F26"/>
    <w:rsid w:val="003959B5"/>
    <w:rsid w:val="003A1725"/>
    <w:rsid w:val="003A269A"/>
    <w:rsid w:val="003A705F"/>
    <w:rsid w:val="003B47D2"/>
    <w:rsid w:val="003C27C0"/>
    <w:rsid w:val="003D2C44"/>
    <w:rsid w:val="003D2DA7"/>
    <w:rsid w:val="003D3267"/>
    <w:rsid w:val="003F2DED"/>
    <w:rsid w:val="00403A69"/>
    <w:rsid w:val="0041276B"/>
    <w:rsid w:val="004155DE"/>
    <w:rsid w:val="004245D2"/>
    <w:rsid w:val="00424A7E"/>
    <w:rsid w:val="00430241"/>
    <w:rsid w:val="00434B45"/>
    <w:rsid w:val="00435E3D"/>
    <w:rsid w:val="00437A27"/>
    <w:rsid w:val="00453294"/>
    <w:rsid w:val="00454A0E"/>
    <w:rsid w:val="00460D6A"/>
    <w:rsid w:val="0046558C"/>
    <w:rsid w:val="00472899"/>
    <w:rsid w:val="00477AD4"/>
    <w:rsid w:val="00477BAA"/>
    <w:rsid w:val="00485DBB"/>
    <w:rsid w:val="00490A8E"/>
    <w:rsid w:val="00492022"/>
    <w:rsid w:val="004A16F5"/>
    <w:rsid w:val="004A2B96"/>
    <w:rsid w:val="004A3545"/>
    <w:rsid w:val="004A3781"/>
    <w:rsid w:val="004A41A3"/>
    <w:rsid w:val="004B4127"/>
    <w:rsid w:val="004C24C8"/>
    <w:rsid w:val="004C48B6"/>
    <w:rsid w:val="004C7487"/>
    <w:rsid w:val="004D3313"/>
    <w:rsid w:val="004E4081"/>
    <w:rsid w:val="004E7137"/>
    <w:rsid w:val="00504063"/>
    <w:rsid w:val="00507C25"/>
    <w:rsid w:val="00515334"/>
    <w:rsid w:val="005448B8"/>
    <w:rsid w:val="005528D9"/>
    <w:rsid w:val="00561F0B"/>
    <w:rsid w:val="005657C0"/>
    <w:rsid w:val="00571105"/>
    <w:rsid w:val="0057195F"/>
    <w:rsid w:val="00571CE5"/>
    <w:rsid w:val="005754EB"/>
    <w:rsid w:val="00580499"/>
    <w:rsid w:val="00580998"/>
    <w:rsid w:val="00584558"/>
    <w:rsid w:val="00593FE4"/>
    <w:rsid w:val="00596266"/>
    <w:rsid w:val="005A7DF3"/>
    <w:rsid w:val="005B15B6"/>
    <w:rsid w:val="005B5567"/>
    <w:rsid w:val="005C26A1"/>
    <w:rsid w:val="005C5F1D"/>
    <w:rsid w:val="005C7143"/>
    <w:rsid w:val="005C75DE"/>
    <w:rsid w:val="005D2A22"/>
    <w:rsid w:val="005D64F3"/>
    <w:rsid w:val="005D6850"/>
    <w:rsid w:val="005D6F15"/>
    <w:rsid w:val="005D7936"/>
    <w:rsid w:val="005D7EB6"/>
    <w:rsid w:val="00601225"/>
    <w:rsid w:val="00614A59"/>
    <w:rsid w:val="00616CF2"/>
    <w:rsid w:val="00627079"/>
    <w:rsid w:val="0062765B"/>
    <w:rsid w:val="00631733"/>
    <w:rsid w:val="0063176F"/>
    <w:rsid w:val="006341FC"/>
    <w:rsid w:val="006351C5"/>
    <w:rsid w:val="00640B3F"/>
    <w:rsid w:val="00644AA6"/>
    <w:rsid w:val="00670EFE"/>
    <w:rsid w:val="00673CDB"/>
    <w:rsid w:val="00680631"/>
    <w:rsid w:val="0068132A"/>
    <w:rsid w:val="00692FC5"/>
    <w:rsid w:val="006A234D"/>
    <w:rsid w:val="006B2C21"/>
    <w:rsid w:val="006B5D61"/>
    <w:rsid w:val="006B7BE0"/>
    <w:rsid w:val="006D3E26"/>
    <w:rsid w:val="006E048C"/>
    <w:rsid w:val="006F3438"/>
    <w:rsid w:val="006F5EE7"/>
    <w:rsid w:val="00704D8C"/>
    <w:rsid w:val="00705DCF"/>
    <w:rsid w:val="00721A3F"/>
    <w:rsid w:val="007311D5"/>
    <w:rsid w:val="00732107"/>
    <w:rsid w:val="00732658"/>
    <w:rsid w:val="0073314E"/>
    <w:rsid w:val="007331D1"/>
    <w:rsid w:val="007342DB"/>
    <w:rsid w:val="007358C6"/>
    <w:rsid w:val="00753763"/>
    <w:rsid w:val="00753CE2"/>
    <w:rsid w:val="00754725"/>
    <w:rsid w:val="00761CFB"/>
    <w:rsid w:val="007657F1"/>
    <w:rsid w:val="0076740B"/>
    <w:rsid w:val="00771BFA"/>
    <w:rsid w:val="007736B1"/>
    <w:rsid w:val="0078235F"/>
    <w:rsid w:val="00784164"/>
    <w:rsid w:val="007A2CE2"/>
    <w:rsid w:val="007B1D32"/>
    <w:rsid w:val="007E3DE2"/>
    <w:rsid w:val="007F0EEB"/>
    <w:rsid w:val="007F265A"/>
    <w:rsid w:val="007F59A9"/>
    <w:rsid w:val="008031C2"/>
    <w:rsid w:val="0081008C"/>
    <w:rsid w:val="008128C4"/>
    <w:rsid w:val="00815A1C"/>
    <w:rsid w:val="008260A3"/>
    <w:rsid w:val="00831054"/>
    <w:rsid w:val="008343EE"/>
    <w:rsid w:val="00836386"/>
    <w:rsid w:val="0086035A"/>
    <w:rsid w:val="008775A2"/>
    <w:rsid w:val="00883A67"/>
    <w:rsid w:val="00883B5A"/>
    <w:rsid w:val="008951BE"/>
    <w:rsid w:val="0089759E"/>
    <w:rsid w:val="008A06A1"/>
    <w:rsid w:val="008A0DC4"/>
    <w:rsid w:val="008A122B"/>
    <w:rsid w:val="008A1E49"/>
    <w:rsid w:val="008A424F"/>
    <w:rsid w:val="008B00FC"/>
    <w:rsid w:val="008B4598"/>
    <w:rsid w:val="008C0BED"/>
    <w:rsid w:val="008C1A18"/>
    <w:rsid w:val="008D46EA"/>
    <w:rsid w:val="008D61B2"/>
    <w:rsid w:val="008E4DB3"/>
    <w:rsid w:val="008F04AF"/>
    <w:rsid w:val="008F2A04"/>
    <w:rsid w:val="009001E8"/>
    <w:rsid w:val="00902B3D"/>
    <w:rsid w:val="00905BD8"/>
    <w:rsid w:val="00910B0D"/>
    <w:rsid w:val="00914DB2"/>
    <w:rsid w:val="0091643A"/>
    <w:rsid w:val="00927062"/>
    <w:rsid w:val="00935A94"/>
    <w:rsid w:val="009371F1"/>
    <w:rsid w:val="00942111"/>
    <w:rsid w:val="009432BF"/>
    <w:rsid w:val="009440CD"/>
    <w:rsid w:val="00947086"/>
    <w:rsid w:val="00947610"/>
    <w:rsid w:val="00963A6B"/>
    <w:rsid w:val="009657F2"/>
    <w:rsid w:val="00965E5F"/>
    <w:rsid w:val="00977557"/>
    <w:rsid w:val="00982840"/>
    <w:rsid w:val="009A7E6A"/>
    <w:rsid w:val="009D4BBB"/>
    <w:rsid w:val="009D753F"/>
    <w:rsid w:val="009D7763"/>
    <w:rsid w:val="009F09CE"/>
    <w:rsid w:val="009F3609"/>
    <w:rsid w:val="009F4E31"/>
    <w:rsid w:val="009F508A"/>
    <w:rsid w:val="00A0221C"/>
    <w:rsid w:val="00A03979"/>
    <w:rsid w:val="00A17F24"/>
    <w:rsid w:val="00A22CA1"/>
    <w:rsid w:val="00A25B48"/>
    <w:rsid w:val="00A268C1"/>
    <w:rsid w:val="00A26E55"/>
    <w:rsid w:val="00A3229F"/>
    <w:rsid w:val="00A3381D"/>
    <w:rsid w:val="00A43D33"/>
    <w:rsid w:val="00A47803"/>
    <w:rsid w:val="00A50CFB"/>
    <w:rsid w:val="00A60F70"/>
    <w:rsid w:val="00A62311"/>
    <w:rsid w:val="00A66F2D"/>
    <w:rsid w:val="00A71CA5"/>
    <w:rsid w:val="00A72581"/>
    <w:rsid w:val="00A7388C"/>
    <w:rsid w:val="00A9080B"/>
    <w:rsid w:val="00A90C3B"/>
    <w:rsid w:val="00A9238F"/>
    <w:rsid w:val="00AB20BC"/>
    <w:rsid w:val="00AB5B9F"/>
    <w:rsid w:val="00AB7564"/>
    <w:rsid w:val="00AC5A85"/>
    <w:rsid w:val="00AD5E23"/>
    <w:rsid w:val="00AE3E12"/>
    <w:rsid w:val="00AF0E17"/>
    <w:rsid w:val="00AF1579"/>
    <w:rsid w:val="00AF164F"/>
    <w:rsid w:val="00B009D2"/>
    <w:rsid w:val="00B02283"/>
    <w:rsid w:val="00B03733"/>
    <w:rsid w:val="00B05625"/>
    <w:rsid w:val="00B0620D"/>
    <w:rsid w:val="00B06846"/>
    <w:rsid w:val="00B12070"/>
    <w:rsid w:val="00B12BC8"/>
    <w:rsid w:val="00B147D8"/>
    <w:rsid w:val="00B1495A"/>
    <w:rsid w:val="00B2341F"/>
    <w:rsid w:val="00B24E6B"/>
    <w:rsid w:val="00B252E0"/>
    <w:rsid w:val="00B3028F"/>
    <w:rsid w:val="00B37BDB"/>
    <w:rsid w:val="00B4215C"/>
    <w:rsid w:val="00B422EB"/>
    <w:rsid w:val="00B43D60"/>
    <w:rsid w:val="00B5353F"/>
    <w:rsid w:val="00B61C19"/>
    <w:rsid w:val="00B70E5D"/>
    <w:rsid w:val="00B77EE4"/>
    <w:rsid w:val="00B81273"/>
    <w:rsid w:val="00B834BA"/>
    <w:rsid w:val="00B848E7"/>
    <w:rsid w:val="00B85769"/>
    <w:rsid w:val="00B90918"/>
    <w:rsid w:val="00B90FF6"/>
    <w:rsid w:val="00BB5D02"/>
    <w:rsid w:val="00BB71C7"/>
    <w:rsid w:val="00BB7A52"/>
    <w:rsid w:val="00BC4942"/>
    <w:rsid w:val="00BC6EB7"/>
    <w:rsid w:val="00BE0D25"/>
    <w:rsid w:val="00BE5928"/>
    <w:rsid w:val="00BF31FC"/>
    <w:rsid w:val="00C028A3"/>
    <w:rsid w:val="00C25C39"/>
    <w:rsid w:val="00C26980"/>
    <w:rsid w:val="00C30DF5"/>
    <w:rsid w:val="00C30F32"/>
    <w:rsid w:val="00C33B90"/>
    <w:rsid w:val="00C374F4"/>
    <w:rsid w:val="00C40101"/>
    <w:rsid w:val="00C42535"/>
    <w:rsid w:val="00C43DA9"/>
    <w:rsid w:val="00C70096"/>
    <w:rsid w:val="00C71A84"/>
    <w:rsid w:val="00C86251"/>
    <w:rsid w:val="00C919EC"/>
    <w:rsid w:val="00C925DA"/>
    <w:rsid w:val="00C9704B"/>
    <w:rsid w:val="00C978F9"/>
    <w:rsid w:val="00CA2D5F"/>
    <w:rsid w:val="00CA73E0"/>
    <w:rsid w:val="00CB6A3E"/>
    <w:rsid w:val="00CC1D70"/>
    <w:rsid w:val="00CC3B67"/>
    <w:rsid w:val="00CD42B8"/>
    <w:rsid w:val="00CD708B"/>
    <w:rsid w:val="00CE2A74"/>
    <w:rsid w:val="00D0623E"/>
    <w:rsid w:val="00D07F25"/>
    <w:rsid w:val="00D11B85"/>
    <w:rsid w:val="00D219C0"/>
    <w:rsid w:val="00D33544"/>
    <w:rsid w:val="00D341BE"/>
    <w:rsid w:val="00D37F33"/>
    <w:rsid w:val="00D46033"/>
    <w:rsid w:val="00D473E3"/>
    <w:rsid w:val="00D54E7E"/>
    <w:rsid w:val="00D7198D"/>
    <w:rsid w:val="00D96DF8"/>
    <w:rsid w:val="00DB0F9E"/>
    <w:rsid w:val="00DB4D23"/>
    <w:rsid w:val="00DC66EF"/>
    <w:rsid w:val="00DC6FE2"/>
    <w:rsid w:val="00DD2684"/>
    <w:rsid w:val="00DD7A15"/>
    <w:rsid w:val="00DF66D4"/>
    <w:rsid w:val="00E00D0C"/>
    <w:rsid w:val="00E06631"/>
    <w:rsid w:val="00E24151"/>
    <w:rsid w:val="00E31F74"/>
    <w:rsid w:val="00E33EC8"/>
    <w:rsid w:val="00E4262D"/>
    <w:rsid w:val="00E5165B"/>
    <w:rsid w:val="00E54204"/>
    <w:rsid w:val="00E57CB1"/>
    <w:rsid w:val="00E64A04"/>
    <w:rsid w:val="00E710EF"/>
    <w:rsid w:val="00E7184D"/>
    <w:rsid w:val="00E853E1"/>
    <w:rsid w:val="00E85742"/>
    <w:rsid w:val="00E96B4A"/>
    <w:rsid w:val="00EA3C4D"/>
    <w:rsid w:val="00EA3DAC"/>
    <w:rsid w:val="00EA52A2"/>
    <w:rsid w:val="00EA6E1D"/>
    <w:rsid w:val="00EB0B32"/>
    <w:rsid w:val="00EB16FC"/>
    <w:rsid w:val="00EB2118"/>
    <w:rsid w:val="00EB5EC4"/>
    <w:rsid w:val="00EC16B1"/>
    <w:rsid w:val="00ED18CB"/>
    <w:rsid w:val="00ED2A99"/>
    <w:rsid w:val="00EE0882"/>
    <w:rsid w:val="00EE274E"/>
    <w:rsid w:val="00EE4CD1"/>
    <w:rsid w:val="00EF2326"/>
    <w:rsid w:val="00F00A3F"/>
    <w:rsid w:val="00F03F70"/>
    <w:rsid w:val="00F07CAE"/>
    <w:rsid w:val="00F1306A"/>
    <w:rsid w:val="00F20CE7"/>
    <w:rsid w:val="00F21C5B"/>
    <w:rsid w:val="00F2311C"/>
    <w:rsid w:val="00F235B8"/>
    <w:rsid w:val="00F26850"/>
    <w:rsid w:val="00F54601"/>
    <w:rsid w:val="00F7498C"/>
    <w:rsid w:val="00F7503D"/>
    <w:rsid w:val="00F9733B"/>
    <w:rsid w:val="00FA5AE7"/>
    <w:rsid w:val="00FA699E"/>
    <w:rsid w:val="00FB1E48"/>
    <w:rsid w:val="00FC4CB8"/>
    <w:rsid w:val="00FD1F50"/>
    <w:rsid w:val="00FD211C"/>
    <w:rsid w:val="00FD3F2A"/>
    <w:rsid w:val="00FE2973"/>
    <w:rsid w:val="00FE5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5D4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D70"/>
    <w:rPr>
      <w:rFonts w:ascii="Calibri" w:eastAsia="Calibri" w:hAnsi="Calibri" w:cs="Times New Roman"/>
    </w:rPr>
  </w:style>
  <w:style w:type="paragraph" w:styleId="Heading3">
    <w:name w:val="heading 3"/>
    <w:basedOn w:val="Normal"/>
    <w:link w:val="Heading3Char"/>
    <w:uiPriority w:val="9"/>
    <w:qFormat/>
    <w:rsid w:val="001E3C85"/>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C1D70"/>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CC1D70"/>
    <w:rPr>
      <w:rFonts w:ascii="Times New Roman" w:eastAsia="Times New Roman" w:hAnsi="Times New Roman" w:cs="Times New Roman"/>
      <w:sz w:val="24"/>
      <w:szCs w:val="24"/>
      <w:lang w:eastAsia="en-GB"/>
    </w:rPr>
  </w:style>
  <w:style w:type="paragraph" w:styleId="Footer">
    <w:name w:val="footer"/>
    <w:basedOn w:val="Normal"/>
    <w:link w:val="FooterChar"/>
    <w:rsid w:val="00CC1D70"/>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CC1D70"/>
    <w:rPr>
      <w:rFonts w:ascii="Times New Roman" w:eastAsia="Times New Roman" w:hAnsi="Times New Roman" w:cs="Times New Roman"/>
      <w:sz w:val="24"/>
      <w:szCs w:val="24"/>
      <w:lang w:eastAsia="en-GB"/>
    </w:rPr>
  </w:style>
  <w:style w:type="character" w:styleId="PageNumber">
    <w:name w:val="page number"/>
    <w:rsid w:val="00CC1D70"/>
  </w:style>
  <w:style w:type="paragraph" w:styleId="ListParagraph">
    <w:name w:val="List Paragraph"/>
    <w:basedOn w:val="Normal"/>
    <w:uiPriority w:val="34"/>
    <w:qFormat/>
    <w:rsid w:val="00B147D8"/>
    <w:pPr>
      <w:ind w:left="720"/>
      <w:contextualSpacing/>
    </w:pPr>
  </w:style>
  <w:style w:type="character" w:styleId="Hyperlink">
    <w:name w:val="Hyperlink"/>
    <w:basedOn w:val="DefaultParagraphFont"/>
    <w:uiPriority w:val="99"/>
    <w:semiHidden/>
    <w:unhideWhenUsed/>
    <w:rsid w:val="00A17F24"/>
    <w:rPr>
      <w:color w:val="0000FF"/>
      <w:u w:val="single"/>
    </w:rPr>
  </w:style>
  <w:style w:type="character" w:customStyle="1" w:styleId="Heading3Char">
    <w:name w:val="Heading 3 Char"/>
    <w:basedOn w:val="DefaultParagraphFont"/>
    <w:link w:val="Heading3"/>
    <w:uiPriority w:val="9"/>
    <w:rsid w:val="001E3C85"/>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732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10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unalsdecisions.service.gov.uk/utiac/decisions/3758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ibunalsdecisions.service.gov.uk/utiac/decisions/3746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3165</Words>
  <Characters>18041</Characters>
  <Application>Microsoft Office Word</Application>
  <DocSecurity>0</DocSecurity>
  <Lines>150</Lines>
  <Paragraphs>42</Paragraphs>
  <ScaleCrop>false</ScaleCrop>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2018-09-24T11:50:00Z</dcterms:created>
  <dcterms:modified xsi:type="dcterms:W3CDTF">2018-09-24T11:50:00Z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