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270BC7" w:rsidRDefault="00CB658D" w:rsidP="008A6059">
      <w:pPr>
        <w:jc w:val="center"/>
        <w:rPr>
          <w:rFonts w:ascii="Book Antiqua" w:hAnsi="Book Antiqua" w:cs="Arial"/>
          <w:caps/>
          <w:color w:val="000000"/>
          <w:sz w:val="16"/>
          <w:szCs w:val="16"/>
        </w:rPr>
      </w:pPr>
      <w:r w:rsidRPr="00270BC7">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270BC7"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4A0C6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4A0C64" w:rsidRPr="004A0C64">
        <w:rPr>
          <w:rFonts w:ascii="Book Antiqua" w:hAnsi="Book Antiqua" w:cs="Arial"/>
          <w:caps/>
          <w:color w:val="000000"/>
        </w:rPr>
        <w:t>HU/20805/2016</w:t>
      </w:r>
      <w:bookmarkEnd w:id="0"/>
    </w:p>
    <w:p w:rsidR="00C345E1" w:rsidRPr="009B7433" w:rsidRDefault="00C345E1" w:rsidP="00C345E1">
      <w:pPr>
        <w:jc w:val="center"/>
        <w:rPr>
          <w:rFonts w:ascii="Book Antiqua" w:hAnsi="Book Antiqua" w:cs="Arial"/>
          <w:color w:val="000000"/>
        </w:rPr>
      </w:pPr>
    </w:p>
    <w:p w:rsidR="00270BC7" w:rsidRDefault="00270BC7"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270BC7" w:rsidRPr="009B7433" w:rsidRDefault="00270BC7"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31FF3" w:rsidTr="00731FF3">
        <w:tc>
          <w:tcPr>
            <w:tcW w:w="6048" w:type="dxa"/>
            <w:shd w:val="clear" w:color="auto" w:fill="auto"/>
          </w:tcPr>
          <w:p w:rsidR="00D22636" w:rsidRPr="00731FF3" w:rsidRDefault="00D22636" w:rsidP="00731FF3">
            <w:pPr>
              <w:jc w:val="both"/>
              <w:rPr>
                <w:rFonts w:ascii="Book Antiqua" w:hAnsi="Book Antiqua" w:cs="Arial"/>
                <w:b/>
              </w:rPr>
            </w:pPr>
            <w:r w:rsidRPr="00731FF3">
              <w:rPr>
                <w:rFonts w:ascii="Book Antiqua" w:hAnsi="Book Antiqua" w:cs="Arial"/>
                <w:b/>
              </w:rPr>
              <w:t xml:space="preserve">Heard at </w:t>
            </w:r>
            <w:r w:rsidR="004A0C64" w:rsidRPr="00731FF3">
              <w:rPr>
                <w:rFonts w:ascii="Book Antiqua" w:hAnsi="Book Antiqua" w:cs="Arial"/>
                <w:b/>
              </w:rPr>
              <w:t>Field House</w:t>
            </w:r>
          </w:p>
        </w:tc>
        <w:tc>
          <w:tcPr>
            <w:tcW w:w="3960" w:type="dxa"/>
            <w:shd w:val="clear" w:color="auto" w:fill="auto"/>
          </w:tcPr>
          <w:p w:rsidR="00D22636" w:rsidRPr="00731FF3" w:rsidRDefault="00D949B7" w:rsidP="00731FF3">
            <w:pPr>
              <w:jc w:val="both"/>
              <w:rPr>
                <w:rFonts w:ascii="Book Antiqua" w:hAnsi="Book Antiqua" w:cs="Arial"/>
                <w:b/>
                <w:color w:val="000000"/>
              </w:rPr>
            </w:pPr>
            <w:r w:rsidRPr="00731FF3">
              <w:rPr>
                <w:rFonts w:ascii="Book Antiqua" w:hAnsi="Book Antiqua" w:cs="Arial"/>
                <w:b/>
                <w:color w:val="000000"/>
              </w:rPr>
              <w:t>Decision &amp; Reasons</w:t>
            </w:r>
            <w:r w:rsidR="00283659" w:rsidRPr="00731FF3">
              <w:rPr>
                <w:rFonts w:ascii="Book Antiqua" w:hAnsi="Book Antiqua" w:cs="Arial"/>
                <w:b/>
                <w:color w:val="000000"/>
              </w:rPr>
              <w:t xml:space="preserve"> Promulgated</w:t>
            </w:r>
          </w:p>
        </w:tc>
      </w:tr>
      <w:tr w:rsidR="00D22636" w:rsidRPr="00731FF3" w:rsidTr="00731FF3">
        <w:tc>
          <w:tcPr>
            <w:tcW w:w="6048" w:type="dxa"/>
            <w:shd w:val="clear" w:color="auto" w:fill="auto"/>
          </w:tcPr>
          <w:p w:rsidR="00D22636" w:rsidRPr="00731FF3" w:rsidRDefault="00D22636" w:rsidP="00731FF3">
            <w:pPr>
              <w:jc w:val="both"/>
              <w:rPr>
                <w:rFonts w:ascii="Book Antiqua" w:hAnsi="Book Antiqua" w:cs="Arial"/>
                <w:b/>
              </w:rPr>
            </w:pPr>
            <w:r w:rsidRPr="00731FF3">
              <w:rPr>
                <w:rFonts w:ascii="Book Antiqua" w:hAnsi="Book Antiqua" w:cs="Arial"/>
                <w:b/>
              </w:rPr>
              <w:t xml:space="preserve">On </w:t>
            </w:r>
            <w:r w:rsidR="004A0C64" w:rsidRPr="00731FF3">
              <w:rPr>
                <w:rFonts w:ascii="Book Antiqua" w:hAnsi="Book Antiqua" w:cs="Arial"/>
                <w:b/>
              </w:rPr>
              <w:t>9</w:t>
            </w:r>
            <w:r w:rsidR="004A0C64" w:rsidRPr="00731FF3">
              <w:rPr>
                <w:rFonts w:ascii="Book Antiqua" w:hAnsi="Book Antiqua" w:cs="Arial"/>
                <w:b/>
                <w:vertAlign w:val="superscript"/>
              </w:rPr>
              <w:t>th</w:t>
            </w:r>
            <w:r w:rsidR="004A0C64" w:rsidRPr="00731FF3">
              <w:rPr>
                <w:rFonts w:ascii="Book Antiqua" w:hAnsi="Book Antiqua" w:cs="Arial"/>
                <w:b/>
              </w:rPr>
              <w:t xml:space="preserve"> July 2017</w:t>
            </w:r>
          </w:p>
        </w:tc>
        <w:tc>
          <w:tcPr>
            <w:tcW w:w="3960" w:type="dxa"/>
            <w:shd w:val="clear" w:color="auto" w:fill="auto"/>
          </w:tcPr>
          <w:p w:rsidR="00D22636" w:rsidRPr="00731FF3" w:rsidRDefault="00701D5E" w:rsidP="00731FF3">
            <w:pPr>
              <w:jc w:val="both"/>
              <w:rPr>
                <w:rFonts w:ascii="Book Antiqua" w:hAnsi="Book Antiqua" w:cs="Arial"/>
                <w:b/>
              </w:rPr>
            </w:pPr>
            <w:r>
              <w:rPr>
                <w:rFonts w:ascii="Book Antiqua" w:hAnsi="Book Antiqua" w:cs="Arial"/>
                <w:b/>
              </w:rPr>
              <w:t>On 14</w:t>
            </w:r>
            <w:r w:rsidRPr="00701D5E">
              <w:rPr>
                <w:rFonts w:ascii="Book Antiqua" w:hAnsi="Book Antiqua" w:cs="Arial"/>
                <w:b/>
                <w:vertAlign w:val="superscript"/>
              </w:rPr>
              <w:t>th</w:t>
            </w:r>
            <w:r>
              <w:rPr>
                <w:rFonts w:ascii="Book Antiqua" w:hAnsi="Book Antiqua" w:cs="Arial"/>
                <w:b/>
              </w:rPr>
              <w:t xml:space="preserve"> August 2018</w:t>
            </w:r>
          </w:p>
        </w:tc>
      </w:tr>
      <w:tr w:rsidR="00D22636" w:rsidRPr="00731FF3" w:rsidTr="00731FF3">
        <w:tc>
          <w:tcPr>
            <w:tcW w:w="6048" w:type="dxa"/>
            <w:shd w:val="clear" w:color="auto" w:fill="auto"/>
          </w:tcPr>
          <w:p w:rsidR="00D22636" w:rsidRPr="00731FF3" w:rsidRDefault="00D22636" w:rsidP="00731FF3">
            <w:pPr>
              <w:jc w:val="both"/>
              <w:rPr>
                <w:rFonts w:ascii="Book Antiqua" w:hAnsi="Book Antiqua" w:cs="Arial"/>
                <w:b/>
              </w:rPr>
            </w:pPr>
          </w:p>
        </w:tc>
        <w:tc>
          <w:tcPr>
            <w:tcW w:w="3960" w:type="dxa"/>
            <w:shd w:val="clear" w:color="auto" w:fill="auto"/>
          </w:tcPr>
          <w:p w:rsidR="00D22636" w:rsidRPr="00731FF3" w:rsidRDefault="00D22636" w:rsidP="00731FF3">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DEPUTY UPPER TRIBUNAL JUDGE </w:t>
      </w:r>
      <w:r w:rsidR="00457401">
        <w:rPr>
          <w:rFonts w:ascii="Book Antiqua" w:hAnsi="Book Antiqua" w:cs="Arial"/>
          <w:b/>
          <w:color w:val="000000"/>
        </w:rPr>
        <w:t>MCGINTY</w:t>
      </w:r>
    </w:p>
    <w:p w:rsidR="00D20757" w:rsidRDefault="00D20757" w:rsidP="00A15234">
      <w:pPr>
        <w:jc w:val="center"/>
        <w:rPr>
          <w:rFonts w:ascii="Book Antiqua" w:hAnsi="Book Antiqua" w:cs="Arial"/>
          <w:b/>
        </w:rPr>
      </w:pPr>
    </w:p>
    <w:p w:rsidR="00270BC7" w:rsidRPr="009B7433" w:rsidRDefault="00270BC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9B7433" w:rsidRDefault="00852051" w:rsidP="00A15234">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852051" w:rsidRDefault="00852051" w:rsidP="00852051">
      <w:pPr>
        <w:jc w:val="center"/>
        <w:rPr>
          <w:rFonts w:ascii="Book Antiqua" w:hAnsi="Book Antiqua" w:cs="Arial"/>
          <w:b/>
          <w:caps/>
        </w:rPr>
      </w:pPr>
      <w:r>
        <w:rPr>
          <w:rFonts w:ascii="Book Antiqua" w:hAnsi="Book Antiqua" w:cs="Arial"/>
          <w:b/>
          <w:caps/>
        </w:rPr>
        <w:t>Mr Rao Muhammad Waqas</w:t>
      </w:r>
    </w:p>
    <w:p w:rsidR="00852051" w:rsidRPr="0076747A" w:rsidRDefault="00852051" w:rsidP="00704B61">
      <w:pPr>
        <w:jc w:val="center"/>
        <w:rPr>
          <w:rFonts w:ascii="Book Antiqua" w:hAnsi="Book Antiqua" w:cs="Arial"/>
          <w:b/>
          <w:sz w:val="22"/>
        </w:rPr>
      </w:pPr>
      <w:r w:rsidRPr="0076747A">
        <w:rPr>
          <w:rFonts w:ascii="Book Antiqua" w:hAnsi="Book Antiqua" w:cs="Arial"/>
          <w:b/>
          <w:caps/>
          <w:sz w:val="22"/>
        </w:rPr>
        <w:t xml:space="preserve">(ANONYMITY DIRECTION </w:t>
      </w:r>
      <w:bookmarkStart w:id="2" w:name="Text21"/>
      <w:r w:rsidR="007A7968" w:rsidRPr="0076747A">
        <w:rPr>
          <w:rFonts w:ascii="Book Antiqua" w:hAnsi="Book Antiqua" w:cs="Arial"/>
          <w:b/>
          <w:caps/>
          <w:sz w:val="22"/>
        </w:rPr>
        <w:fldChar w:fldCharType="begin">
          <w:ffData>
            <w:name w:val="Text21"/>
            <w:enabled/>
            <w:calcOnExit w:val="0"/>
            <w:textInput>
              <w:default w:val="NOT MADE"/>
            </w:textInput>
          </w:ffData>
        </w:fldChar>
      </w:r>
      <w:r w:rsidR="007A7968" w:rsidRPr="0076747A">
        <w:rPr>
          <w:rFonts w:ascii="Book Antiqua" w:hAnsi="Book Antiqua" w:cs="Arial"/>
          <w:b/>
          <w:caps/>
          <w:sz w:val="22"/>
        </w:rPr>
        <w:instrText xml:space="preserve"> FORMTEXT </w:instrText>
      </w:r>
      <w:r w:rsidR="007A7968" w:rsidRPr="0076747A">
        <w:rPr>
          <w:rFonts w:ascii="Book Antiqua" w:hAnsi="Book Antiqua" w:cs="Arial"/>
          <w:b/>
          <w:caps/>
          <w:sz w:val="22"/>
        </w:rPr>
      </w:r>
      <w:r w:rsidR="007A7968" w:rsidRPr="0076747A">
        <w:rPr>
          <w:rFonts w:ascii="Book Antiqua" w:hAnsi="Book Antiqua" w:cs="Arial"/>
          <w:b/>
          <w:caps/>
          <w:sz w:val="22"/>
        </w:rPr>
        <w:fldChar w:fldCharType="separate"/>
      </w:r>
      <w:r w:rsidR="007A7968" w:rsidRPr="0076747A">
        <w:rPr>
          <w:rFonts w:ascii="Book Antiqua" w:hAnsi="Book Antiqua" w:cs="Arial"/>
          <w:b/>
          <w:caps/>
          <w:noProof/>
          <w:sz w:val="22"/>
        </w:rPr>
        <w:t>NOT MADE</w:t>
      </w:r>
      <w:r w:rsidR="007A7968" w:rsidRPr="0076747A">
        <w:rPr>
          <w:rFonts w:ascii="Book Antiqua" w:hAnsi="Book Antiqua" w:cs="Arial"/>
          <w:b/>
          <w:caps/>
          <w:sz w:val="22"/>
        </w:rPr>
        <w:fldChar w:fldCharType="end"/>
      </w:r>
      <w:bookmarkEnd w:id="2"/>
      <w:r w:rsidRPr="0076747A">
        <w:rPr>
          <w:rFonts w:ascii="Book Antiqua" w:hAnsi="Book Antiqua" w:cs="Arial"/>
          <w:b/>
          <w:caps/>
          <w:sz w:val="22"/>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76747A" w:rsidRDefault="0076747A" w:rsidP="00DD5071">
      <w:pPr>
        <w:rPr>
          <w:rFonts w:ascii="Book Antiqua" w:hAnsi="Book Antiqua" w:cs="Arial"/>
          <w:b/>
          <w:u w:val="single"/>
        </w:rPr>
      </w:pPr>
    </w:p>
    <w:p w:rsidR="0076747A" w:rsidRDefault="0076747A"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76747A">
      <w:pPr>
        <w:ind w:left="2552" w:hanging="2552"/>
        <w:rPr>
          <w:rFonts w:ascii="Book Antiqua" w:hAnsi="Book Antiqua" w:cs="Arial"/>
        </w:rPr>
      </w:pPr>
      <w:r w:rsidRPr="009B7433">
        <w:rPr>
          <w:rFonts w:ascii="Book Antiqua" w:hAnsi="Book Antiqua" w:cs="Arial"/>
        </w:rPr>
        <w:t>For the Appellant</w:t>
      </w:r>
      <w:r w:rsidR="00647824">
        <w:rPr>
          <w:rFonts w:ascii="Book Antiqua" w:hAnsi="Book Antiqua" w:cs="Arial"/>
        </w:rPr>
        <w:t xml:space="preserve"> in the Upper Tribunal/the Secretary of State</w:t>
      </w:r>
      <w:r w:rsidRPr="009B7433">
        <w:rPr>
          <w:rFonts w:ascii="Book Antiqua" w:hAnsi="Book Antiqua" w:cs="Arial"/>
        </w:rPr>
        <w:t>:</w:t>
      </w:r>
      <w:r w:rsidRPr="009B7433">
        <w:rPr>
          <w:rFonts w:ascii="Book Antiqua" w:hAnsi="Book Antiqua" w:cs="Arial"/>
        </w:rPr>
        <w:tab/>
      </w:r>
      <w:r w:rsidR="00852051">
        <w:rPr>
          <w:rFonts w:ascii="Book Antiqua" w:hAnsi="Book Antiqua" w:cs="Arial"/>
        </w:rPr>
        <w:t>Mr C Howell, Home Office Presenting Officer</w:t>
      </w:r>
    </w:p>
    <w:p w:rsidR="00DE7DB7" w:rsidRPr="000A0C25" w:rsidRDefault="00DE7DB7" w:rsidP="00DE7DB7">
      <w:pPr>
        <w:tabs>
          <w:tab w:val="left" w:pos="2520"/>
        </w:tabs>
        <w:rPr>
          <w:rFonts w:ascii="Book Antiqua" w:hAnsi="Book Antiqua" w:cs="Arial"/>
        </w:rPr>
      </w:pPr>
      <w:r w:rsidRPr="009B7433">
        <w:rPr>
          <w:rFonts w:ascii="Book Antiqua" w:hAnsi="Book Antiqua" w:cs="Arial"/>
        </w:rPr>
        <w:t>For the</w:t>
      </w:r>
      <w:r w:rsidR="00647824">
        <w:rPr>
          <w:rFonts w:ascii="Book Antiqua" w:hAnsi="Book Antiqua" w:cs="Arial"/>
        </w:rPr>
        <w:t xml:space="preserve"> Claimant:</w:t>
      </w:r>
      <w:r w:rsidRPr="009B7433">
        <w:rPr>
          <w:rFonts w:ascii="Book Antiqua" w:hAnsi="Book Antiqua" w:cs="Arial"/>
        </w:rPr>
        <w:tab/>
      </w:r>
      <w:r w:rsidR="00A5491A">
        <w:rPr>
          <w:rFonts w:ascii="Book Antiqua" w:hAnsi="Book Antiqua" w:cs="Arial"/>
        </w:rPr>
        <w:t xml:space="preserve">Ms A Smith, Counsel, instructed by </w:t>
      </w:r>
      <w:r w:rsidR="000A0C25" w:rsidRPr="000A0C25">
        <w:rPr>
          <w:rFonts w:ascii="Book Antiqua" w:hAnsi="Book Antiqua" w:cs="Arial"/>
        </w:rPr>
        <w:t>Noble Law Solicitors</w:t>
      </w:r>
    </w:p>
    <w:p w:rsidR="00DE7DB7" w:rsidRDefault="00DE7DB7" w:rsidP="00402B9E">
      <w:pPr>
        <w:tabs>
          <w:tab w:val="left" w:pos="2520"/>
        </w:tabs>
        <w:jc w:val="center"/>
        <w:rPr>
          <w:rFonts w:ascii="Book Antiqua" w:hAnsi="Book Antiqua" w:cs="Arial"/>
        </w:rPr>
      </w:pPr>
    </w:p>
    <w:p w:rsidR="0076747A" w:rsidRPr="009B7433" w:rsidRDefault="0076747A"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A0743" w:rsidRDefault="00DD105D" w:rsidP="00DD105D">
      <w:pPr>
        <w:pStyle w:val="p"/>
      </w:pPr>
      <w:r w:rsidRPr="00DD105D">
        <w:t xml:space="preserve">This </w:t>
      </w:r>
      <w:r>
        <w:t xml:space="preserve">is the Secretary of State’s appeal against the decision of First-tier Tribunal Judge </w:t>
      </w:r>
      <w:proofErr w:type="spellStart"/>
      <w:r>
        <w:t>Housego</w:t>
      </w:r>
      <w:proofErr w:type="spellEnd"/>
      <w:r>
        <w:t xml:space="preserve"> promulgated on 2</w:t>
      </w:r>
      <w:r w:rsidRPr="00DD105D">
        <w:rPr>
          <w:vertAlign w:val="superscript"/>
        </w:rPr>
        <w:t>nd</w:t>
      </w:r>
      <w:r>
        <w:t xml:space="preserve"> February 2018 following an appeal heard at Harmondsworth on 11</w:t>
      </w:r>
      <w:r w:rsidRPr="00DD105D">
        <w:rPr>
          <w:vertAlign w:val="superscript"/>
        </w:rPr>
        <w:t>th</w:t>
      </w:r>
      <w:r>
        <w:t xml:space="preserve"> January 2018.  For the purpose of clarity throughout this decision I will refer to Mr Waqas as the claimant and to the Secretary of State as being the Secretary of State, given the fact that Mr Waqas was the Appellant before the First-tier Tribunal</w:t>
      </w:r>
      <w:r w:rsidR="00E90925">
        <w:t>,</w:t>
      </w:r>
      <w:r>
        <w:t xml:space="preserve"> but the Secretary of State is now the Appellant before the Upper Tribunal.</w:t>
      </w:r>
    </w:p>
    <w:p w:rsidR="00DD105D" w:rsidRDefault="00DD105D" w:rsidP="00394095">
      <w:pPr>
        <w:pStyle w:val="p"/>
      </w:pPr>
      <w:r>
        <w:lastRenderedPageBreak/>
        <w:t xml:space="preserve">In Judge </w:t>
      </w:r>
      <w:proofErr w:type="spellStart"/>
      <w:r>
        <w:t>Housego’s</w:t>
      </w:r>
      <w:proofErr w:type="spellEnd"/>
      <w:r>
        <w:t xml:space="preserve"> decision, which </w:t>
      </w:r>
      <w:r w:rsidR="00394095">
        <w:t>wa</w:t>
      </w:r>
      <w:r>
        <w:t>s signed on 31</w:t>
      </w:r>
      <w:r w:rsidRPr="00DD105D">
        <w:rPr>
          <w:vertAlign w:val="superscript"/>
        </w:rPr>
        <w:t>st</w:t>
      </w:r>
      <w:r>
        <w:t xml:space="preserve"> January 2018, </w:t>
      </w:r>
      <w:r w:rsidR="00394095">
        <w:t xml:space="preserve">Judge </w:t>
      </w:r>
      <w:proofErr w:type="spellStart"/>
      <w:r w:rsidR="00394095">
        <w:t>Housego</w:t>
      </w:r>
      <w:proofErr w:type="spellEnd"/>
      <w:r w:rsidR="00394095">
        <w:t xml:space="preserve"> noted that the claimant is a male citizen of Pakistan who was born on 16</w:t>
      </w:r>
      <w:r w:rsidR="00394095" w:rsidRPr="00394095">
        <w:rPr>
          <w:vertAlign w:val="superscript"/>
        </w:rPr>
        <w:t>th</w:t>
      </w:r>
      <w:r w:rsidR="00394095">
        <w:t xml:space="preserve"> April 1987 and that the decision under appeal before Judge </w:t>
      </w:r>
      <w:proofErr w:type="spellStart"/>
      <w:r w:rsidR="00394095">
        <w:t>Housego</w:t>
      </w:r>
      <w:proofErr w:type="spellEnd"/>
      <w:r w:rsidR="00394095">
        <w:t xml:space="preserve"> was on the basis of an application made by him for indefinite leave to remain based upon ten years’ lawful residence in the UK pursuant to Section 276B of the Immigration Rules HC 395 (as amended).</w:t>
      </w:r>
    </w:p>
    <w:p w:rsidR="00394095" w:rsidRDefault="00394095" w:rsidP="00944F6A">
      <w:pPr>
        <w:pStyle w:val="p"/>
      </w:pPr>
      <w:r>
        <w:t xml:space="preserve">Judge </w:t>
      </w:r>
      <w:proofErr w:type="spellStart"/>
      <w:r>
        <w:t>Housego</w:t>
      </w:r>
      <w:proofErr w:type="spellEnd"/>
      <w:r>
        <w:t xml:space="preserve"> quite properly set out the</w:t>
      </w:r>
      <w:r w:rsidR="00E90925">
        <w:t xml:space="preserve"> Claimant’s </w:t>
      </w:r>
      <w:r>
        <w:t xml:space="preserve">immigration history before going on to consider the decision </w:t>
      </w:r>
      <w:r w:rsidR="00944F6A">
        <w:t xml:space="preserve">under appeal and the reasons given by the Secretary of State originally for refusal.  He then noted what the particulars of the appeal were before going on to consider both the burden and standard of proof and the applicable law and quite rightly first of all considered in his findings </w:t>
      </w:r>
      <w:r w:rsidR="00E90925">
        <w:t xml:space="preserve">on </w:t>
      </w:r>
      <w:r w:rsidR="00944F6A">
        <w:t xml:space="preserve">the question as to whether or not the requirements of the Immigration Rules were met as although this was not an appeal under the Immigration Rules, as Judge </w:t>
      </w:r>
      <w:proofErr w:type="spellStart"/>
      <w:r w:rsidR="00944F6A">
        <w:t>Housego</w:t>
      </w:r>
      <w:proofErr w:type="spellEnd"/>
      <w:r w:rsidR="00944F6A">
        <w:t xml:space="preserve"> quite properly notes, the Immigration Rules are relevant in terms of the Article 8 consideration as to whether or not the Rules actually have been met and the extent of the public interest in removal.</w:t>
      </w:r>
    </w:p>
    <w:p w:rsidR="008A4A8D" w:rsidRPr="00CF3C85" w:rsidRDefault="00944F6A" w:rsidP="00CF3C85">
      <w:pPr>
        <w:pStyle w:val="p"/>
      </w:pPr>
      <w:r>
        <w:t xml:space="preserve">Judge </w:t>
      </w:r>
      <w:proofErr w:type="spellStart"/>
      <w:r>
        <w:t>Housego</w:t>
      </w:r>
      <w:proofErr w:type="spellEnd"/>
      <w:r>
        <w:t xml:space="preserve"> found that the argument put forward by Counsel then representing the claimant as to Section 3C leave was correct such that in fact the</w:t>
      </w:r>
      <w:r w:rsidR="00E90925">
        <w:t xml:space="preserve"> Claimant </w:t>
      </w:r>
      <w:r>
        <w:t xml:space="preserve">should have been granted leave to remain </w:t>
      </w:r>
      <w:r w:rsidR="008A4A8D">
        <w:t>as being lawfully resident in the UK for ten years and that the</w:t>
      </w:r>
      <w:r w:rsidR="00E90925">
        <w:t xml:space="preserve"> Claimant </w:t>
      </w:r>
      <w:r w:rsidR="008A4A8D">
        <w:t xml:space="preserve">did not have any gaps of more than 28 days such that the </w:t>
      </w:r>
      <w:proofErr w:type="gramStart"/>
      <w:r w:rsidR="008A4A8D">
        <w:t>ten year</w:t>
      </w:r>
      <w:proofErr w:type="gramEnd"/>
      <w:r w:rsidR="008A4A8D">
        <w:t xml:space="preserve"> period was not met.</w:t>
      </w:r>
      <w:r w:rsidR="00CF3C85">
        <w:t xml:space="preserve">  </w:t>
      </w:r>
      <w:r w:rsidR="008A4A8D">
        <w:t xml:space="preserve">Judge </w:t>
      </w:r>
      <w:proofErr w:type="spellStart"/>
      <w:r w:rsidR="008A4A8D">
        <w:t>Housego</w:t>
      </w:r>
      <w:proofErr w:type="spellEnd"/>
      <w:r w:rsidR="008A4A8D">
        <w:t xml:space="preserve"> noted that </w:t>
      </w:r>
      <w:r w:rsidR="003B08FF">
        <w:t xml:space="preserve">that </w:t>
      </w:r>
      <w:r w:rsidR="008A4A8D">
        <w:t xml:space="preserve">was a relevant </w:t>
      </w:r>
      <w:r w:rsidR="008A4A8D" w:rsidRPr="00CF3C85">
        <w:t>factor</w:t>
      </w:r>
      <w:r w:rsidR="008A4A8D">
        <w:t xml:space="preserve"> which indicated that the appeal </w:t>
      </w:r>
      <w:r w:rsidR="003B08FF">
        <w:t xml:space="preserve">under Article 8 should succeed by reason of the case of </w:t>
      </w:r>
      <w:r w:rsidR="000624C8" w:rsidRPr="000624C8">
        <w:rPr>
          <w:b/>
          <w:u w:val="single"/>
        </w:rPr>
        <w:t>Mostafa</w:t>
      </w:r>
      <w:r w:rsidR="00CF3C85">
        <w:t>.</w:t>
      </w:r>
    </w:p>
    <w:p w:rsidR="00CF3C85" w:rsidRDefault="00574D5E" w:rsidP="009323CF">
      <w:pPr>
        <w:pStyle w:val="p"/>
      </w:pPr>
      <w:r>
        <w:t>He found specifically that</w:t>
      </w:r>
      <w:r w:rsidR="0066538A">
        <w:t>,</w:t>
      </w:r>
      <w:r>
        <w:t xml:space="preserve"> </w:t>
      </w:r>
      <w:r w:rsidR="0066538A">
        <w:t>running the time</w:t>
      </w:r>
      <w:r>
        <w:t xml:space="preserve"> backwards</w:t>
      </w:r>
      <w:r w:rsidR="0066538A">
        <w:t>,</w:t>
      </w:r>
      <w:r w:rsidR="000B31D4">
        <w:t xml:space="preserve"> there was no break </w:t>
      </w:r>
      <w:r w:rsidR="00E90925">
        <w:t xml:space="preserve">in leave </w:t>
      </w:r>
      <w:r w:rsidR="000B31D4">
        <w:t>of more than 28 days</w:t>
      </w:r>
      <w:r w:rsidR="009323CF">
        <w:t>.</w:t>
      </w:r>
    </w:p>
    <w:p w:rsidR="009323CF" w:rsidRDefault="009323CF" w:rsidP="0087270E">
      <w:pPr>
        <w:pStyle w:val="p"/>
      </w:pPr>
      <w:r>
        <w:t xml:space="preserve">Judge </w:t>
      </w:r>
      <w:proofErr w:type="spellStart"/>
      <w:r>
        <w:t>Housego</w:t>
      </w:r>
      <w:proofErr w:type="spellEnd"/>
      <w:r>
        <w:t xml:space="preserve"> therefore quite properly considered the application under the Immigration Rules and then went on to consider that Article 8 </w:t>
      </w:r>
      <w:r w:rsidR="0087270E">
        <w:t xml:space="preserve">in terms of private life he found was plainly engaged, given the length of residence and the degree of integration of the </w:t>
      </w:r>
      <w:r w:rsidR="00647824">
        <w:t>Claimant</w:t>
      </w:r>
      <w:r w:rsidR="0087270E">
        <w:t xml:space="preserve"> into life in the UK, including his qualification into a profession he wished to and also had previously begun to practise</w:t>
      </w:r>
      <w:r w:rsidR="00E90925">
        <w:t>,</w:t>
      </w:r>
      <w:r w:rsidR="0087270E">
        <w:t xml:space="preserve"> as an accountant</w:t>
      </w:r>
      <w:r w:rsidR="00E90925">
        <w:t>,</w:t>
      </w:r>
      <w:r w:rsidR="0087270E">
        <w:t xml:space="preserve"> before being stopped by the previous decision of Judge Pedro.</w:t>
      </w:r>
    </w:p>
    <w:p w:rsidR="0087270E" w:rsidRDefault="00E90925" w:rsidP="00EB0645">
      <w:pPr>
        <w:pStyle w:val="p"/>
      </w:pPr>
      <w:r>
        <w:t>The J</w:t>
      </w:r>
      <w:r w:rsidR="0087270E">
        <w:t xml:space="preserve">udge then went on at paragraph 40 to consider the public interest in the maintenance of effective immigration control </w:t>
      </w:r>
      <w:r w:rsidR="003A1FAC">
        <w:t xml:space="preserve">on the one hand and the benefits that the </w:t>
      </w:r>
      <w:r w:rsidR="00647824">
        <w:t>Claimant</w:t>
      </w:r>
      <w:r w:rsidR="003A1FAC">
        <w:t xml:space="preserve"> would bring in terms of his contribution to society on the other and the fact that he had been in the UK for nearly twelve years and had no recourse to public funds, was professionally qualified in a field in which he had ceased to work only because he was not permitted to do so and in which he wished to set </w:t>
      </w:r>
      <w:r w:rsidR="0002685E">
        <w:t xml:space="preserve">up </w:t>
      </w:r>
      <w:r w:rsidR="003A1FAC">
        <w:t xml:space="preserve">himself in professional practice </w:t>
      </w:r>
      <w:r w:rsidR="00302189">
        <w:t xml:space="preserve">where he would not only assist clients </w:t>
      </w:r>
      <w:r w:rsidR="0002685E">
        <w:t>but also doubtless employ others.  On that basis</w:t>
      </w:r>
      <w:r w:rsidR="004A3BB9">
        <w:t xml:space="preserve"> and </w:t>
      </w:r>
      <w:r w:rsidR="0002685E">
        <w:t xml:space="preserve">having considered all the factors Judge </w:t>
      </w:r>
      <w:proofErr w:type="spellStart"/>
      <w:r w:rsidR="0002685E">
        <w:t>Housego</w:t>
      </w:r>
      <w:proofErr w:type="spellEnd"/>
      <w:r w:rsidR="0002685E">
        <w:t xml:space="preserve"> considered that the decision taken was disproportionate to the </w:t>
      </w:r>
      <w:r w:rsidR="004A3BB9">
        <w:t>legitimate</w:t>
      </w:r>
      <w:r>
        <w:t xml:space="preserve"> public end </w:t>
      </w:r>
      <w:r w:rsidR="004A3BB9">
        <w:t xml:space="preserve">sought to be achieved </w:t>
      </w:r>
      <w:r w:rsidR="00EB0645">
        <w:t>and allowed the appeal on human rights grounds</w:t>
      </w:r>
      <w:r>
        <w:t xml:space="preserve"> as </w:t>
      </w:r>
      <w:r w:rsidR="00EB0645">
        <w:t xml:space="preserve">being a breach of the </w:t>
      </w:r>
      <w:r w:rsidR="00647824">
        <w:t>Claimant</w:t>
      </w:r>
      <w:r w:rsidR="00EB0645">
        <w:t>’s rights to a private life in the UK for the purposes of Article 8.</w:t>
      </w:r>
    </w:p>
    <w:p w:rsidR="00EB0645" w:rsidRDefault="00585FE0" w:rsidP="007F2237">
      <w:pPr>
        <w:pStyle w:val="p"/>
      </w:pPr>
      <w:r>
        <w:lastRenderedPageBreak/>
        <w:t xml:space="preserve">The Secretary of State sought to appeal against that decision and in the Grounds of Appeal it is argued </w:t>
      </w:r>
      <w:r w:rsidR="00BB6FC0">
        <w:t xml:space="preserve">that the First-tier Tribunal Judge materially erred in failing to properly address the statutory considerations set out in Section 117B of the Nationality, Immigration and Asylum Act 2002.  </w:t>
      </w:r>
      <w:r w:rsidR="00AE7DCB">
        <w:t xml:space="preserve">It was argued that the proportionality balance has not been correctly undertaken and that the decision to allow the appeal contained a material error.  It was further argued within the Grounds of Appeal that following the case of </w:t>
      </w:r>
      <w:r w:rsidR="00AE7DCB" w:rsidRPr="00AE7DCB">
        <w:rPr>
          <w:b/>
          <w:bCs/>
          <w:u w:val="single"/>
        </w:rPr>
        <w:t>Dube</w:t>
      </w:r>
      <w:r w:rsidR="00AE7DCB">
        <w:t xml:space="preserve"> </w:t>
      </w:r>
      <w:r w:rsidR="00680C98" w:rsidRPr="00680C98">
        <w:rPr>
          <w:b/>
        </w:rPr>
        <w:t xml:space="preserve">(ss.117A-117D) [2015] UKUT </w:t>
      </w:r>
      <w:r w:rsidR="007830AC">
        <w:rPr>
          <w:b/>
        </w:rPr>
        <w:t>000</w:t>
      </w:r>
      <w:r w:rsidR="00680C98" w:rsidRPr="00680C98">
        <w:rPr>
          <w:b/>
        </w:rPr>
        <w:t>90 (IAC)</w:t>
      </w:r>
      <w:r w:rsidR="007830AC">
        <w:t xml:space="preserve"> </w:t>
      </w:r>
      <w:r w:rsidR="007830AC" w:rsidRPr="007830AC">
        <w:t>judges are required statutorily to take into account a number of enumerated considerations</w:t>
      </w:r>
      <w:r w:rsidR="007830AC">
        <w:t xml:space="preserve"> and that they are not simply </w:t>
      </w:r>
      <w:r w:rsidR="007830AC" w:rsidRPr="007830AC">
        <w:t xml:space="preserve">an a la carte menu of considerations </w:t>
      </w:r>
      <w:r w:rsidR="007F2237">
        <w:t xml:space="preserve">and </w:t>
      </w:r>
      <w:r w:rsidR="007830AC" w:rsidRPr="007830AC">
        <w:t>that it is at the discretion of the judge to apply or not apply</w:t>
      </w:r>
      <w:r w:rsidR="007F2237">
        <w:t xml:space="preserve"> and that j</w:t>
      </w:r>
      <w:r w:rsidR="007830AC" w:rsidRPr="007830AC">
        <w:t>udges are duty-bound to have regard to the specified considerations.</w:t>
      </w:r>
    </w:p>
    <w:p w:rsidR="00535449" w:rsidRPr="00535449" w:rsidRDefault="007F2237" w:rsidP="00535449">
      <w:pPr>
        <w:pStyle w:val="p"/>
      </w:pPr>
      <w:r>
        <w:t xml:space="preserve">It was further argued that the judge erred by making a decision that the </w:t>
      </w:r>
      <w:r w:rsidR="00647824">
        <w:t>Claimant</w:t>
      </w:r>
      <w:r>
        <w:t xml:space="preserve"> met the terms of </w:t>
      </w:r>
      <w:r w:rsidR="00535449">
        <w:t>ten years’ lawful residence</w:t>
      </w:r>
      <w:r w:rsidR="00E90925">
        <w:t xml:space="preserve"> and stated </w:t>
      </w:r>
      <w:r w:rsidR="00535449">
        <w:t>that:</w:t>
      </w:r>
    </w:p>
    <w:p w:rsidR="00CF3C85" w:rsidRDefault="00535449" w:rsidP="006B4774">
      <w:pPr>
        <w:pStyle w:val="q"/>
      </w:pPr>
      <w:r w:rsidRPr="00535449">
        <w:t>“Application made 5</w:t>
      </w:r>
      <w:r w:rsidRPr="00535449">
        <w:rPr>
          <w:vertAlign w:val="superscript"/>
        </w:rPr>
        <w:t>th</w:t>
      </w:r>
      <w:r w:rsidRPr="00535449">
        <w:t xml:space="preserve"> June 2013, however, refusal was issued 13</w:t>
      </w:r>
      <w:r w:rsidRPr="00535449">
        <w:rPr>
          <w:vertAlign w:val="superscript"/>
        </w:rPr>
        <w:t>th</w:t>
      </w:r>
      <w:r w:rsidRPr="00535449">
        <w:t xml:space="preserve"> May 2015, which is a total 33 days</w:t>
      </w:r>
      <w:r w:rsidR="00E37A6F">
        <w:t xml:space="preserve"> </w:t>
      </w:r>
      <w:r w:rsidRPr="00535449">
        <w:t xml:space="preserve">and not less than the 28 days which the </w:t>
      </w:r>
      <w:proofErr w:type="spellStart"/>
      <w:r w:rsidRPr="00535449">
        <w:t>FtTJ</w:t>
      </w:r>
      <w:proofErr w:type="spellEnd"/>
      <w:r w:rsidRPr="00535449">
        <w:t xml:space="preserve"> has calculated.  I submit that there is </w:t>
      </w:r>
      <w:r w:rsidR="006B4774">
        <w:t xml:space="preserve">still a large gap of several months which would make him short of the required </w:t>
      </w:r>
      <w:proofErr w:type="gramStart"/>
      <w:r w:rsidR="006B4774">
        <w:t>ten year</w:t>
      </w:r>
      <w:proofErr w:type="gramEnd"/>
      <w:r w:rsidR="006B4774">
        <w:t xml:space="preserve"> qualifying period, which means that he cannot succeed under the Rules for long residence.”</w:t>
      </w:r>
    </w:p>
    <w:p w:rsidR="006B4774" w:rsidRDefault="006B4774" w:rsidP="006B4774">
      <w:pPr>
        <w:pStyle w:val="p"/>
      </w:pPr>
      <w:r>
        <w:t>It was further</w:t>
      </w:r>
      <w:r w:rsidR="00E90925">
        <w:t xml:space="preserve"> argued </w:t>
      </w:r>
      <w:r>
        <w:t xml:space="preserve">that the First-tier Tribunal Judge had stated at paragraph 39 of the decision that the </w:t>
      </w:r>
      <w:r w:rsidR="00647824">
        <w:t>Claimant</w:t>
      </w:r>
      <w:r>
        <w:t>’s private life was engaged but</w:t>
      </w:r>
      <w:r w:rsidR="009329F8">
        <w:t xml:space="preserve"> that</w:t>
      </w:r>
      <w:r>
        <w:t xml:space="preserve">, given that the </w:t>
      </w:r>
      <w:r w:rsidR="00647824">
        <w:t>Claimant</w:t>
      </w:r>
      <w:r>
        <w:t xml:space="preserve"> had no permanent status in the UK, that was not accepted.</w:t>
      </w:r>
    </w:p>
    <w:p w:rsidR="006B4774" w:rsidRDefault="006B4774" w:rsidP="006B4774">
      <w:pPr>
        <w:pStyle w:val="p"/>
      </w:pPr>
      <w:r>
        <w:t>I am most grateful to the helpful submissions both by Ms Smith of Counsel and also by Mr Howell, Senior Home Office Presenting Officer, on behalf of the Secretary of State and also for the helpful Rule 24 reply drafted by Ms Smith, setting out the claimant’s position.</w:t>
      </w:r>
    </w:p>
    <w:p w:rsidR="00223483" w:rsidRDefault="006B4774" w:rsidP="00223483">
      <w:pPr>
        <w:pStyle w:val="p"/>
      </w:pPr>
      <w:r w:rsidRPr="009329F8">
        <w:t>Quite properly in accordance with his duty to the court, Mr Howell, having considered the Rule 24 reply on behalf of the claimant and having heard various oral submissions</w:t>
      </w:r>
      <w:r w:rsidR="00E90925">
        <w:t xml:space="preserve"> made in respect thereof </w:t>
      </w:r>
      <w:r w:rsidR="00FF0694">
        <w:t xml:space="preserve">by Ms Smith, quite properly conceded that in effect the </w:t>
      </w:r>
      <w:r w:rsidR="00753CE3">
        <w:t>Ground</w:t>
      </w:r>
      <w:r w:rsidR="00AC4DC9">
        <w:t>s</w:t>
      </w:r>
      <w:r w:rsidR="00FF0694">
        <w:t xml:space="preserve"> of Appeal which make reference to the judge having erred in terms of the</w:t>
      </w:r>
      <w:r w:rsidR="00647824">
        <w:t xml:space="preserve"> Claimant </w:t>
      </w:r>
      <w:r w:rsidR="00FF0694">
        <w:t>reaching the ten years’ lawful residence criteria under the Immigration Rules</w:t>
      </w:r>
      <w:r w:rsidR="00AC4DC9">
        <w:t xml:space="preserve"> </w:t>
      </w:r>
      <w:r w:rsidR="00FF0694">
        <w:t xml:space="preserve">that the arguments raised in the grounds do not make </w:t>
      </w:r>
      <w:r w:rsidR="00E90925">
        <w:t xml:space="preserve">chronological </w:t>
      </w:r>
      <w:r w:rsidR="00FF0694">
        <w:t>sense</w:t>
      </w:r>
      <w:r w:rsidR="00E90925">
        <w:t xml:space="preserve"> and that the </w:t>
      </w:r>
      <w:r w:rsidR="00FF0694">
        <w:t xml:space="preserve">chronology set out in the </w:t>
      </w:r>
      <w:r w:rsidR="00E90925">
        <w:t>Grounds of Appeal</w:t>
      </w:r>
      <w:r w:rsidR="00AC4DC9">
        <w:t xml:space="preserve"> </w:t>
      </w:r>
      <w:r w:rsidR="00753CE3">
        <w:t>is wrong</w:t>
      </w:r>
      <w:r w:rsidR="00AC4DC9">
        <w:t xml:space="preserve">.  </w:t>
      </w:r>
    </w:p>
    <w:p w:rsidR="006B4774" w:rsidRDefault="00066651" w:rsidP="00223483">
      <w:pPr>
        <w:pStyle w:val="p"/>
      </w:pPr>
      <w:r>
        <w:t xml:space="preserve">Mr Howell quite properly concedes that effectively that although </w:t>
      </w:r>
      <w:r w:rsidR="00E90925">
        <w:t xml:space="preserve">it had been argued that </w:t>
      </w:r>
      <w:r>
        <w:t>the</w:t>
      </w:r>
      <w:r w:rsidR="00E90925">
        <w:t xml:space="preserve"> Claimant </w:t>
      </w:r>
      <w:r>
        <w:t>became appeal rights exhausted on 11</w:t>
      </w:r>
      <w:r w:rsidRPr="00066651">
        <w:rPr>
          <w:vertAlign w:val="superscript"/>
        </w:rPr>
        <w:t>th</w:t>
      </w:r>
      <w:r>
        <w:t xml:space="preserve"> April 2015, the notification of which is at page 75 of the original before the First-tier Tribunal, and that the</w:t>
      </w:r>
      <w:r w:rsidR="00647824">
        <w:t xml:space="preserve"> Claimant </w:t>
      </w:r>
      <w:r>
        <w:t>thereafter made an application on 13</w:t>
      </w:r>
      <w:r w:rsidRPr="00066651">
        <w:rPr>
          <w:vertAlign w:val="superscript"/>
        </w:rPr>
        <w:t>th</w:t>
      </w:r>
      <w:r>
        <w:t xml:space="preserve"> May</w:t>
      </w:r>
      <w:r w:rsidR="00E90925">
        <w:t>,</w:t>
      </w:r>
      <w:r>
        <w:t xml:space="preserve"> </w:t>
      </w:r>
      <w:r w:rsidR="00E90925">
        <w:t>based upon his private life,</w:t>
      </w:r>
      <w:r>
        <w:t xml:space="preserve"> in fact the evidence before the First-tier Tribunal in terms of a witness statement from the claimant was that he had not received that notification from the Upper Tribunal </w:t>
      </w:r>
      <w:r w:rsidR="00223483">
        <w:t>until 24</w:t>
      </w:r>
      <w:r w:rsidR="00223483" w:rsidRPr="00223483">
        <w:rPr>
          <w:vertAlign w:val="superscript"/>
        </w:rPr>
        <w:t>th</w:t>
      </w:r>
      <w:r w:rsidR="00223483">
        <w:t xml:space="preserve"> April such that his application was made within the requisite 28 day period and on that basis Mr Howell conceded that</w:t>
      </w:r>
      <w:r w:rsidR="00647824">
        <w:t xml:space="preserve"> in such circumstances the decision of the J</w:t>
      </w:r>
      <w:r w:rsidR="00223483">
        <w:t xml:space="preserve">udge </w:t>
      </w:r>
      <w:r w:rsidR="00223483">
        <w:lastRenderedPageBreak/>
        <w:t xml:space="preserve">regarding whether or not the </w:t>
      </w:r>
      <w:r w:rsidR="00647824">
        <w:t>Claimant</w:t>
      </w:r>
      <w:r w:rsidR="00223483">
        <w:t xml:space="preserve"> met the ten year lawful residence under the Immigration Rules was met</w:t>
      </w:r>
      <w:r w:rsidR="00647824">
        <w:t xml:space="preserve"> was no longer being challenged by the Secretary of State.</w:t>
      </w:r>
    </w:p>
    <w:p w:rsidR="00223483" w:rsidRDefault="00223483" w:rsidP="000C5C52">
      <w:pPr>
        <w:pStyle w:val="p"/>
      </w:pPr>
      <w:r>
        <w:t xml:space="preserve">He conceded that in </w:t>
      </w:r>
      <w:r w:rsidR="008437AE">
        <w:t>effect</w:t>
      </w:r>
      <w:r>
        <w:t>, the</w:t>
      </w:r>
      <w:r w:rsidR="00647824">
        <w:t xml:space="preserve"> Claimant </w:t>
      </w:r>
      <w:r>
        <w:t>not having received the notification until 24</w:t>
      </w:r>
      <w:r w:rsidRPr="00223483">
        <w:rPr>
          <w:vertAlign w:val="superscript"/>
        </w:rPr>
        <w:t>th</w:t>
      </w:r>
      <w:r>
        <w:t xml:space="preserve"> April, that the ten years</w:t>
      </w:r>
      <w:r w:rsidR="00647824">
        <w:t xml:space="preserve"> rule</w:t>
      </w:r>
      <w:r>
        <w:t xml:space="preserve"> </w:t>
      </w:r>
      <w:r w:rsidR="008437AE">
        <w:t>was met and he did not on behalf of the Secretary of State seek to pretend otherwise.  He further and quite properly that in light of the requirements of the Rules</w:t>
      </w:r>
      <w:r w:rsidR="00647824">
        <w:t xml:space="preserve"> being </w:t>
      </w:r>
      <w:r w:rsidR="008437AE">
        <w:t>met that the Secretary of State was</w:t>
      </w:r>
      <w:r w:rsidR="00647824">
        <w:t xml:space="preserve"> no longer </w:t>
      </w:r>
      <w:r w:rsidR="008437AE">
        <w:t xml:space="preserve">seeking to argue that considering paragraph 39 onwards of the decision of the First-tier Tribunal the judge had materially erred in respect of his application of Article 8 </w:t>
      </w:r>
      <w:r w:rsidR="000C5C52">
        <w:t>to the circumstances of this particular case</w:t>
      </w:r>
      <w:r w:rsidR="00647824">
        <w:t>,</w:t>
      </w:r>
      <w:r w:rsidR="000C5C52">
        <w:t xml:space="preserve"> in light of the findings regarding the Immigration Rules having been met.</w:t>
      </w:r>
    </w:p>
    <w:p w:rsidR="000C5C52" w:rsidRPr="009329F8" w:rsidRDefault="000C5C52" w:rsidP="000C5C52">
      <w:pPr>
        <w:pStyle w:val="p"/>
      </w:pPr>
      <w:r>
        <w:t>He conceded that therefore it was</w:t>
      </w:r>
      <w:r w:rsidR="00647824">
        <w:t xml:space="preserve"> no longer being </w:t>
      </w:r>
      <w:r>
        <w:t xml:space="preserve">argued that this decision contained a material error of law and in light of those concessions I find that the decision of First-tier Tribunal Judge </w:t>
      </w:r>
      <w:proofErr w:type="spellStart"/>
      <w:r>
        <w:t>Housego</w:t>
      </w:r>
      <w:proofErr w:type="spellEnd"/>
      <w:r>
        <w:t xml:space="preserve"> does not contain a material error of law and I dismiss the appeal.</w:t>
      </w:r>
    </w:p>
    <w:p w:rsidR="00D949B7" w:rsidRPr="00D949B7" w:rsidRDefault="00D949B7" w:rsidP="00D81ED3">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0C5C52" w:rsidRDefault="000C5C52" w:rsidP="000C5C52">
      <w:pPr>
        <w:pStyle w:val="t"/>
      </w:pPr>
      <w:r>
        <w:t xml:space="preserve">The decision of First-tier Tribunal Judge </w:t>
      </w:r>
      <w:proofErr w:type="spellStart"/>
      <w:r>
        <w:t>Housego</w:t>
      </w:r>
      <w:proofErr w:type="spellEnd"/>
      <w:r>
        <w:t xml:space="preserve"> does not contain a material error of law and the decision is maintained.</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 xml:space="preserve">No anonymity </w:t>
      </w:r>
      <w:r w:rsidR="000C5C52">
        <w:rPr>
          <w:rFonts w:ascii="Book Antiqua" w:hAnsi="Book Antiqua" w:cs="Arial"/>
        </w:rPr>
        <w:t xml:space="preserve">decision was made by the First-tier Tribunal and no such application </w:t>
      </w:r>
      <w:r w:rsidR="007A7968">
        <w:rPr>
          <w:rFonts w:ascii="Book Antiqua" w:hAnsi="Book Antiqua" w:cs="Arial"/>
        </w:rPr>
        <w:t>i</w:t>
      </w:r>
      <w:r w:rsidR="000C5C52">
        <w:rPr>
          <w:rFonts w:ascii="Book Antiqua" w:hAnsi="Book Antiqua" w:cs="Arial"/>
        </w:rPr>
        <w:t xml:space="preserve">s being </w:t>
      </w:r>
      <w:r w:rsidRPr="00D949B7">
        <w:rPr>
          <w:rFonts w:ascii="Book Antiqua" w:hAnsi="Book Antiqua" w:cs="Arial"/>
        </w:rPr>
        <w:t>made</w:t>
      </w:r>
      <w:r w:rsidR="000C5C52">
        <w:rPr>
          <w:rFonts w:ascii="Book Antiqua" w:hAnsi="Book Antiqua" w:cs="Arial"/>
        </w:rPr>
        <w:t xml:space="preserve"> before me</w:t>
      </w:r>
      <w:r w:rsidR="007A7968">
        <w:rPr>
          <w:rFonts w:ascii="Book Antiqua" w:hAnsi="Book Antiqua" w:cs="Arial"/>
        </w:rPr>
        <w:t xml:space="preserve"> for any anonymity direction and therefore I do not make any anonymity direction in this case.</w:t>
      </w:r>
    </w:p>
    <w:p w:rsidR="001F2716" w:rsidRPr="009B7433" w:rsidRDefault="001F2716" w:rsidP="000A0743">
      <w:pPr>
        <w:jc w:val="both"/>
        <w:rPr>
          <w:rFonts w:ascii="Book Antiqua" w:hAnsi="Book Antiqua" w:cs="Arial"/>
        </w:rPr>
      </w:pP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47824">
        <w:rPr>
          <w:rFonts w:ascii="Book Antiqua" w:hAnsi="Book Antiqua" w:cs="Arial"/>
        </w:rPr>
        <w:t xml:space="preserve"> 10</w:t>
      </w:r>
      <w:r w:rsidR="00647824" w:rsidRPr="00647824">
        <w:rPr>
          <w:rFonts w:ascii="Book Antiqua" w:hAnsi="Book Antiqua" w:cs="Arial"/>
          <w:vertAlign w:val="superscript"/>
        </w:rPr>
        <w:t>th</w:t>
      </w:r>
      <w:r w:rsidR="00647824">
        <w:rPr>
          <w:rFonts w:ascii="Book Antiqua" w:hAnsi="Book Antiqua" w:cs="Arial"/>
        </w:rPr>
        <w:t xml:space="preserve"> July 2018</w:t>
      </w:r>
    </w:p>
    <w:p w:rsidR="00647824" w:rsidRPr="009B7433" w:rsidRDefault="00CB658D" w:rsidP="000A0743">
      <w:pPr>
        <w:jc w:val="both"/>
        <w:rPr>
          <w:rFonts w:ascii="Book Antiqua" w:hAnsi="Book Antiqua" w:cs="Arial"/>
        </w:rPr>
      </w:pPr>
      <w:r>
        <w:rPr>
          <w:rFonts w:ascii="Book Antiqua" w:hAnsi="Book Antiqua" w:cs="Arial"/>
          <w:noProof/>
        </w:rPr>
        <w:drawing>
          <wp:inline distT="0" distB="0" distL="0" distR="0">
            <wp:extent cx="1386840" cy="716280"/>
            <wp:effectExtent l="0" t="0" r="0" b="0"/>
            <wp:docPr id="2" name="Picture 2" descr="Sig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sh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716280"/>
                    </a:xfrm>
                    <a:prstGeom prst="rect">
                      <a:avLst/>
                    </a:prstGeom>
                    <a:noFill/>
                    <a:ln>
                      <a:noFill/>
                    </a:ln>
                  </pic:spPr>
                </pic:pic>
              </a:graphicData>
            </a:graphic>
          </wp:inline>
        </w:drawing>
      </w:r>
    </w:p>
    <w:p w:rsidR="00B95326" w:rsidRPr="009B7433" w:rsidRDefault="00C23DFC" w:rsidP="005235ED">
      <w:pPr>
        <w:rPr>
          <w:rFonts w:ascii="Book Antiqua" w:hAnsi="Book Antiqua" w:cs="Arial"/>
        </w:rPr>
      </w:pPr>
      <w:r>
        <w:rPr>
          <w:rFonts w:ascii="Book Antiqua" w:hAnsi="Book Antiqua" w:cs="Arial"/>
          <w:color w:val="000000"/>
        </w:rPr>
        <w:t xml:space="preserve">Deputy Upper Tribunal Judge </w:t>
      </w:r>
      <w:r w:rsidR="00457401">
        <w:rPr>
          <w:rFonts w:ascii="Book Antiqua" w:hAnsi="Book Antiqua" w:cs="Arial"/>
          <w:color w:val="000000"/>
        </w:rPr>
        <w:t>McGinty</w:t>
      </w:r>
      <w:r w:rsidR="005235ED">
        <w:rPr>
          <w:rFonts w:ascii="Book Antiqua" w:hAnsi="Book Antiqua" w:cs="Arial"/>
          <w:color w:val="000000"/>
        </w:rPr>
        <w:t xml:space="preserve">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FF3" w:rsidRDefault="00731FF3">
      <w:r>
        <w:separator/>
      </w:r>
    </w:p>
  </w:endnote>
  <w:endnote w:type="continuationSeparator" w:id="0">
    <w:p w:rsidR="00731FF3" w:rsidRDefault="0073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465" w:rsidRPr="009B7433" w:rsidRDefault="0050546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D6C72">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465" w:rsidRPr="009B7433" w:rsidRDefault="0050546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FF3" w:rsidRDefault="00731FF3">
      <w:r>
        <w:separator/>
      </w:r>
    </w:p>
  </w:footnote>
  <w:footnote w:type="continuationSeparator" w:id="0">
    <w:p w:rsidR="00731FF3" w:rsidRDefault="00731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465" w:rsidRPr="004A0C64" w:rsidRDefault="0050546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A0C64">
      <w:rPr>
        <w:rFonts w:ascii="Book Antiqua" w:hAnsi="Book Antiqua" w:cs="Arial"/>
        <w:sz w:val="16"/>
        <w:szCs w:val="16"/>
      </w:rPr>
      <w:t>HU/20805/2016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465" w:rsidRPr="009B7433" w:rsidRDefault="0050546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05C0E4A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2355663-0BCF-4624-BA42-7F64CC2936D1}"/>
    <w:docVar w:name="dgnword-eventsink" w:val="539185240"/>
  </w:docVars>
  <w:rsids>
    <w:rsidRoot w:val="00816E26"/>
    <w:rsid w:val="00000621"/>
    <w:rsid w:val="000036C2"/>
    <w:rsid w:val="00016C1A"/>
    <w:rsid w:val="0002685E"/>
    <w:rsid w:val="00033588"/>
    <w:rsid w:val="00033D3D"/>
    <w:rsid w:val="0004776F"/>
    <w:rsid w:val="00052895"/>
    <w:rsid w:val="000624C8"/>
    <w:rsid w:val="00062F02"/>
    <w:rsid w:val="00066651"/>
    <w:rsid w:val="00071A7E"/>
    <w:rsid w:val="000746C0"/>
    <w:rsid w:val="00074D1D"/>
    <w:rsid w:val="00092580"/>
    <w:rsid w:val="00093D4D"/>
    <w:rsid w:val="000A0743"/>
    <w:rsid w:val="000A0C25"/>
    <w:rsid w:val="000B31D4"/>
    <w:rsid w:val="000B6494"/>
    <w:rsid w:val="000C5C52"/>
    <w:rsid w:val="000D5D94"/>
    <w:rsid w:val="000F1A0E"/>
    <w:rsid w:val="001165A7"/>
    <w:rsid w:val="00123E68"/>
    <w:rsid w:val="0014414D"/>
    <w:rsid w:val="0016508E"/>
    <w:rsid w:val="00166E28"/>
    <w:rsid w:val="00167D3A"/>
    <w:rsid w:val="00173F50"/>
    <w:rsid w:val="00185986"/>
    <w:rsid w:val="001A3082"/>
    <w:rsid w:val="001B186A"/>
    <w:rsid w:val="001B2F75"/>
    <w:rsid w:val="001B3B85"/>
    <w:rsid w:val="001B4102"/>
    <w:rsid w:val="001C6F5F"/>
    <w:rsid w:val="001D6167"/>
    <w:rsid w:val="001F2716"/>
    <w:rsid w:val="001F3AC0"/>
    <w:rsid w:val="00207617"/>
    <w:rsid w:val="00223483"/>
    <w:rsid w:val="0023134B"/>
    <w:rsid w:val="00246AF0"/>
    <w:rsid w:val="00270BC7"/>
    <w:rsid w:val="00283659"/>
    <w:rsid w:val="002C2ED5"/>
    <w:rsid w:val="002C6BD4"/>
    <w:rsid w:val="002D68BF"/>
    <w:rsid w:val="002E4541"/>
    <w:rsid w:val="002F6B98"/>
    <w:rsid w:val="00302189"/>
    <w:rsid w:val="0033261F"/>
    <w:rsid w:val="00332E47"/>
    <w:rsid w:val="00336CBF"/>
    <w:rsid w:val="00343FE3"/>
    <w:rsid w:val="003546C8"/>
    <w:rsid w:val="00372AAC"/>
    <w:rsid w:val="003825D4"/>
    <w:rsid w:val="00394095"/>
    <w:rsid w:val="003A1FAC"/>
    <w:rsid w:val="003A7CF2"/>
    <w:rsid w:val="003B08FF"/>
    <w:rsid w:val="003C5CE5"/>
    <w:rsid w:val="003D6C72"/>
    <w:rsid w:val="003D6FAD"/>
    <w:rsid w:val="003E267B"/>
    <w:rsid w:val="003E7CD1"/>
    <w:rsid w:val="00402B9E"/>
    <w:rsid w:val="004249CB"/>
    <w:rsid w:val="0044127D"/>
    <w:rsid w:val="004448DB"/>
    <w:rsid w:val="00446C9A"/>
    <w:rsid w:val="00452F2B"/>
    <w:rsid w:val="00457401"/>
    <w:rsid w:val="00477193"/>
    <w:rsid w:val="00492562"/>
    <w:rsid w:val="00492E0F"/>
    <w:rsid w:val="004A0C64"/>
    <w:rsid w:val="004A1848"/>
    <w:rsid w:val="004A2D15"/>
    <w:rsid w:val="004A3BB9"/>
    <w:rsid w:val="004A534C"/>
    <w:rsid w:val="004A6F4A"/>
    <w:rsid w:val="004B70D7"/>
    <w:rsid w:val="004D6B45"/>
    <w:rsid w:val="004E4717"/>
    <w:rsid w:val="00505465"/>
    <w:rsid w:val="00507FEC"/>
    <w:rsid w:val="00510F0E"/>
    <w:rsid w:val="005235ED"/>
    <w:rsid w:val="00535449"/>
    <w:rsid w:val="005479E1"/>
    <w:rsid w:val="00553028"/>
    <w:rsid w:val="00553E0A"/>
    <w:rsid w:val="005570FD"/>
    <w:rsid w:val="005575EA"/>
    <w:rsid w:val="00566C4D"/>
    <w:rsid w:val="00574D5E"/>
    <w:rsid w:val="0057790C"/>
    <w:rsid w:val="00585FE0"/>
    <w:rsid w:val="00593795"/>
    <w:rsid w:val="005A75FF"/>
    <w:rsid w:val="005D10AB"/>
    <w:rsid w:val="005E04BD"/>
    <w:rsid w:val="00601D8F"/>
    <w:rsid w:val="00605582"/>
    <w:rsid w:val="00606A60"/>
    <w:rsid w:val="00611F34"/>
    <w:rsid w:val="00621FE8"/>
    <w:rsid w:val="006434B6"/>
    <w:rsid w:val="00647824"/>
    <w:rsid w:val="00653E97"/>
    <w:rsid w:val="0066538A"/>
    <w:rsid w:val="006667DB"/>
    <w:rsid w:val="00680C98"/>
    <w:rsid w:val="00684A74"/>
    <w:rsid w:val="0068620A"/>
    <w:rsid w:val="00690B8A"/>
    <w:rsid w:val="006B4774"/>
    <w:rsid w:val="006F2CF1"/>
    <w:rsid w:val="00701D5E"/>
    <w:rsid w:val="007038ED"/>
    <w:rsid w:val="00703BC3"/>
    <w:rsid w:val="00704B61"/>
    <w:rsid w:val="00715A64"/>
    <w:rsid w:val="00731FF3"/>
    <w:rsid w:val="00740C1F"/>
    <w:rsid w:val="00753CE3"/>
    <w:rsid w:val="007552A9"/>
    <w:rsid w:val="0075658A"/>
    <w:rsid w:val="00761858"/>
    <w:rsid w:val="0076747A"/>
    <w:rsid w:val="00767D59"/>
    <w:rsid w:val="00776E97"/>
    <w:rsid w:val="00780F86"/>
    <w:rsid w:val="007830AC"/>
    <w:rsid w:val="007912AD"/>
    <w:rsid w:val="007A7968"/>
    <w:rsid w:val="007B0824"/>
    <w:rsid w:val="007B5A8F"/>
    <w:rsid w:val="007B5D3C"/>
    <w:rsid w:val="007F2237"/>
    <w:rsid w:val="00815011"/>
    <w:rsid w:val="00816E26"/>
    <w:rsid w:val="00821B72"/>
    <w:rsid w:val="00823EF2"/>
    <w:rsid w:val="0082506D"/>
    <w:rsid w:val="008303B8"/>
    <w:rsid w:val="00833DCE"/>
    <w:rsid w:val="00833E86"/>
    <w:rsid w:val="008437AE"/>
    <w:rsid w:val="00852051"/>
    <w:rsid w:val="00871D34"/>
    <w:rsid w:val="0087270E"/>
    <w:rsid w:val="008A25EC"/>
    <w:rsid w:val="008A4A8D"/>
    <w:rsid w:val="008A6059"/>
    <w:rsid w:val="008B270C"/>
    <w:rsid w:val="008B5078"/>
    <w:rsid w:val="008C3D3D"/>
    <w:rsid w:val="008D4131"/>
    <w:rsid w:val="008F1932"/>
    <w:rsid w:val="0090151B"/>
    <w:rsid w:val="009042A9"/>
    <w:rsid w:val="00921062"/>
    <w:rsid w:val="009323CF"/>
    <w:rsid w:val="009329F8"/>
    <w:rsid w:val="00932A3F"/>
    <w:rsid w:val="00944F6A"/>
    <w:rsid w:val="009722BC"/>
    <w:rsid w:val="009727A3"/>
    <w:rsid w:val="009742B5"/>
    <w:rsid w:val="00987774"/>
    <w:rsid w:val="00992E07"/>
    <w:rsid w:val="009A11E8"/>
    <w:rsid w:val="009B7433"/>
    <w:rsid w:val="009C57C8"/>
    <w:rsid w:val="009F5220"/>
    <w:rsid w:val="00A07919"/>
    <w:rsid w:val="00A15234"/>
    <w:rsid w:val="00A172F5"/>
    <w:rsid w:val="00A201AB"/>
    <w:rsid w:val="00A31C8B"/>
    <w:rsid w:val="00A509FA"/>
    <w:rsid w:val="00A5491A"/>
    <w:rsid w:val="00A845DC"/>
    <w:rsid w:val="00AC4DC9"/>
    <w:rsid w:val="00AE7DCB"/>
    <w:rsid w:val="00B26AA2"/>
    <w:rsid w:val="00B3524D"/>
    <w:rsid w:val="00B40F69"/>
    <w:rsid w:val="00B46616"/>
    <w:rsid w:val="00B528BB"/>
    <w:rsid w:val="00B7040A"/>
    <w:rsid w:val="00B83391"/>
    <w:rsid w:val="00B95326"/>
    <w:rsid w:val="00BB3460"/>
    <w:rsid w:val="00BB6FC0"/>
    <w:rsid w:val="00BD4196"/>
    <w:rsid w:val="00BE53E3"/>
    <w:rsid w:val="00BF22CA"/>
    <w:rsid w:val="00BF23BB"/>
    <w:rsid w:val="00C23DFC"/>
    <w:rsid w:val="00C25B57"/>
    <w:rsid w:val="00C26032"/>
    <w:rsid w:val="00C332E6"/>
    <w:rsid w:val="00C345E1"/>
    <w:rsid w:val="00C43BFD"/>
    <w:rsid w:val="00C6048A"/>
    <w:rsid w:val="00CB658D"/>
    <w:rsid w:val="00CB6E35"/>
    <w:rsid w:val="00CD53DD"/>
    <w:rsid w:val="00CE09B1"/>
    <w:rsid w:val="00CE1A46"/>
    <w:rsid w:val="00CF3C85"/>
    <w:rsid w:val="00D01EFA"/>
    <w:rsid w:val="00D05EA6"/>
    <w:rsid w:val="00D20757"/>
    <w:rsid w:val="00D22636"/>
    <w:rsid w:val="00D40FD9"/>
    <w:rsid w:val="00D53769"/>
    <w:rsid w:val="00D643E0"/>
    <w:rsid w:val="00D6602D"/>
    <w:rsid w:val="00D81ED3"/>
    <w:rsid w:val="00D85C13"/>
    <w:rsid w:val="00D9111A"/>
    <w:rsid w:val="00D91BE3"/>
    <w:rsid w:val="00D949B7"/>
    <w:rsid w:val="00D94AFC"/>
    <w:rsid w:val="00DB70AE"/>
    <w:rsid w:val="00DD105D"/>
    <w:rsid w:val="00DD5071"/>
    <w:rsid w:val="00DD5C39"/>
    <w:rsid w:val="00DE11C5"/>
    <w:rsid w:val="00DE7DB7"/>
    <w:rsid w:val="00E00A0A"/>
    <w:rsid w:val="00E0356C"/>
    <w:rsid w:val="00E066DE"/>
    <w:rsid w:val="00E07F57"/>
    <w:rsid w:val="00E2643F"/>
    <w:rsid w:val="00E30683"/>
    <w:rsid w:val="00E37A6F"/>
    <w:rsid w:val="00E42107"/>
    <w:rsid w:val="00E453D8"/>
    <w:rsid w:val="00E50BCE"/>
    <w:rsid w:val="00E54522"/>
    <w:rsid w:val="00E574BF"/>
    <w:rsid w:val="00E61292"/>
    <w:rsid w:val="00E77C4D"/>
    <w:rsid w:val="00E81D01"/>
    <w:rsid w:val="00E90925"/>
    <w:rsid w:val="00EA6520"/>
    <w:rsid w:val="00EB0645"/>
    <w:rsid w:val="00EB485A"/>
    <w:rsid w:val="00ED70B1"/>
    <w:rsid w:val="00EE45D8"/>
    <w:rsid w:val="00F22EDA"/>
    <w:rsid w:val="00F342E1"/>
    <w:rsid w:val="00F470D6"/>
    <w:rsid w:val="00F5589A"/>
    <w:rsid w:val="00F61883"/>
    <w:rsid w:val="00F771C4"/>
    <w:rsid w:val="00F878E6"/>
    <w:rsid w:val="00F93437"/>
    <w:rsid w:val="00F94C4C"/>
    <w:rsid w:val="00FA2ADE"/>
    <w:rsid w:val="00FC3C21"/>
    <w:rsid w:val="00FC40FA"/>
    <w:rsid w:val="00FD0373"/>
    <w:rsid w:val="00FF0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52051"/>
    <w:pPr>
      <w:numPr>
        <w:numId w:val="1"/>
      </w:numPr>
      <w:tabs>
        <w:tab w:val="clear" w:pos="567"/>
      </w:tabs>
      <w:spacing w:before="240"/>
      <w:jc w:val="both"/>
    </w:pPr>
    <w:rPr>
      <w:rFonts w:ascii="Book Antiqua" w:hAnsi="Book Antiqua" w:cs="Arial"/>
    </w:rPr>
  </w:style>
  <w:style w:type="paragraph" w:customStyle="1" w:styleId="q">
    <w:name w:val="q"/>
    <w:basedOn w:val="Normal"/>
    <w:rsid w:val="00535449"/>
    <w:pPr>
      <w:spacing w:before="240"/>
      <w:ind w:left="1134"/>
      <w:jc w:val="both"/>
    </w:pPr>
    <w:rPr>
      <w:rFonts w:ascii="Book Antiqua" w:hAnsi="Book Antiqua" w:cs="Arial"/>
    </w:rPr>
  </w:style>
  <w:style w:type="paragraph" w:customStyle="1" w:styleId="t">
    <w:name w:val="t"/>
    <w:basedOn w:val="Normal"/>
    <w:rsid w:val="000C5C52"/>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1535</Words>
  <Characters>7421</Characters>
  <Application>Microsoft Office Word</Application>
  <DocSecurity>0</DocSecurity>
  <Lines>61</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2018-08-28T13:58:00Z</dcterms:created>
  <dcterms:modified xsi:type="dcterms:W3CDTF">2018-08-28T13:58:00Z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