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587655" w:rsidRDefault="001B0B8A" w:rsidP="00F97703">
      <w:pPr>
        <w:jc w:val="center"/>
        <w:rPr>
          <w:rFonts w:ascii="Sylfaen" w:hAnsi="Sylfaen" w:cs="Arial"/>
          <w:color w:val="000000"/>
          <w:sz w:val="16"/>
          <w:szCs w:val="16"/>
        </w:rPr>
      </w:pPr>
      <w:r w:rsidRPr="00587655">
        <w:rPr>
          <w:rFonts w:ascii="Sylfaen" w:hAnsi="Sylfaen"/>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587655" w:rsidRPr="00587655" w:rsidRDefault="00587655" w:rsidP="00587655">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96623B">
      <w:pPr>
        <w:tabs>
          <w:tab w:val="right" w:pos="9781"/>
        </w:tabs>
        <w:ind w:right="-143"/>
        <w:jc w:val="both"/>
        <w:rPr>
          <w:rFonts w:ascii="Sylfaen" w:hAnsi="Sylfaen" w:cs="Arial"/>
          <w:color w:val="000000"/>
        </w:rPr>
      </w:pPr>
      <w:r w:rsidRPr="00A544A8">
        <w:rPr>
          <w:rFonts w:ascii="Sylfaen" w:hAnsi="Sylfaen" w:cs="Arial"/>
          <w:b/>
          <w:color w:val="000000"/>
        </w:rPr>
        <w:t>(Immigration and Asylum Chamber)</w:t>
      </w:r>
      <w:r w:rsidR="0096623B">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w:t>
      </w:r>
      <w:proofErr w:type="spellStart"/>
      <w:r w:rsidR="00BD3A9C">
        <w:rPr>
          <w:rFonts w:ascii="Sylfaen" w:hAnsi="Sylfaen" w:cs="Arial"/>
          <w:color w:val="000000"/>
        </w:rPr>
        <w:t>no</w:t>
      </w:r>
      <w:r w:rsidR="00B4760E">
        <w:rPr>
          <w:rFonts w:ascii="Sylfaen" w:hAnsi="Sylfaen" w:cs="Arial"/>
          <w:color w:val="000000"/>
        </w:rPr>
        <w:t>s</w:t>
      </w:r>
      <w:proofErr w:type="spellEnd"/>
      <w:r w:rsidR="00F419FD">
        <w:rPr>
          <w:rFonts w:ascii="Sylfaen" w:hAnsi="Sylfaen" w:cs="Arial"/>
          <w:color w:val="000000"/>
        </w:rPr>
        <w:t>:</w:t>
      </w:r>
      <w:r w:rsidR="00B3524D" w:rsidRPr="00A544A8">
        <w:rPr>
          <w:rFonts w:ascii="Sylfaen" w:hAnsi="Sylfaen" w:cs="Arial"/>
          <w:color w:val="000000"/>
        </w:rPr>
        <w:t xml:space="preserve"> </w:t>
      </w:r>
      <w:r w:rsidR="00F419FD">
        <w:rPr>
          <w:rFonts w:ascii="Sylfaen" w:hAnsi="Sylfaen" w:cs="Arial"/>
          <w:b/>
          <w:caps/>
          <w:color w:val="000000"/>
        </w:rPr>
        <w:t>HU</w:t>
      </w:r>
      <w:r w:rsidR="00DF55B6">
        <w:rPr>
          <w:rFonts w:ascii="Sylfaen" w:hAnsi="Sylfaen" w:cs="Arial"/>
          <w:b/>
          <w:caps/>
          <w:color w:val="000000"/>
        </w:rPr>
        <w:t>/</w:t>
      </w:r>
      <w:r w:rsidR="00F419FD">
        <w:rPr>
          <w:rFonts w:ascii="Sylfaen" w:hAnsi="Sylfaen" w:cs="Arial"/>
          <w:b/>
          <w:caps/>
          <w:color w:val="000000"/>
        </w:rPr>
        <w:t>20835</w:t>
      </w:r>
      <w:r w:rsidR="00DF55B6">
        <w:rPr>
          <w:rFonts w:ascii="Sylfaen" w:hAnsi="Sylfaen" w:cs="Arial"/>
          <w:b/>
          <w:caps/>
          <w:color w:val="000000"/>
        </w:rPr>
        <w:t>/</w:t>
      </w:r>
      <w:r w:rsidR="00F419FD">
        <w:rPr>
          <w:rFonts w:ascii="Sylfaen" w:hAnsi="Sylfaen" w:cs="Arial"/>
          <w:b/>
          <w:caps/>
          <w:color w:val="000000"/>
        </w:rPr>
        <w:t>20</w:t>
      </w:r>
      <w:r w:rsidR="00B4760E">
        <w:rPr>
          <w:rFonts w:ascii="Sylfaen" w:hAnsi="Sylfaen" w:cs="Arial"/>
          <w:b/>
          <w:caps/>
          <w:color w:val="000000"/>
        </w:rPr>
        <w:t>16</w:t>
      </w:r>
    </w:p>
    <w:p w:rsidR="00C345E1" w:rsidRDefault="00F419FD" w:rsidP="0096623B">
      <w:pPr>
        <w:ind w:right="-143"/>
        <w:jc w:val="right"/>
        <w:rPr>
          <w:rFonts w:ascii="Sylfaen" w:hAnsi="Sylfaen" w:cs="Arial"/>
          <w:b/>
          <w:caps/>
          <w:color w:val="000000"/>
        </w:rPr>
      </w:pPr>
      <w:r>
        <w:rPr>
          <w:rFonts w:ascii="Sylfaen" w:hAnsi="Sylfaen" w:cs="Arial"/>
          <w:b/>
          <w:caps/>
          <w:color w:val="000000"/>
        </w:rPr>
        <w:t>HU</w:t>
      </w:r>
      <w:r w:rsidR="00DF55B6">
        <w:rPr>
          <w:rFonts w:ascii="Sylfaen" w:hAnsi="Sylfaen" w:cs="Arial"/>
          <w:b/>
          <w:caps/>
          <w:color w:val="000000"/>
        </w:rPr>
        <w:t>/</w:t>
      </w:r>
      <w:r>
        <w:rPr>
          <w:rFonts w:ascii="Sylfaen" w:hAnsi="Sylfaen" w:cs="Arial"/>
          <w:b/>
          <w:caps/>
          <w:color w:val="000000"/>
        </w:rPr>
        <w:t>20839</w:t>
      </w:r>
      <w:r w:rsidR="00DF55B6">
        <w:rPr>
          <w:rFonts w:ascii="Sylfaen" w:hAnsi="Sylfaen" w:cs="Arial"/>
          <w:b/>
          <w:caps/>
          <w:color w:val="000000"/>
        </w:rPr>
        <w:t>/</w:t>
      </w:r>
      <w:r>
        <w:rPr>
          <w:rFonts w:ascii="Sylfaen" w:hAnsi="Sylfaen" w:cs="Arial"/>
          <w:b/>
          <w:caps/>
          <w:color w:val="000000"/>
        </w:rPr>
        <w:t>2016</w:t>
      </w:r>
    </w:p>
    <w:p w:rsidR="00F419FD" w:rsidRPr="00A544A8" w:rsidRDefault="00F419FD" w:rsidP="0096623B">
      <w:pPr>
        <w:ind w:right="-143"/>
        <w:jc w:val="right"/>
        <w:rPr>
          <w:rFonts w:ascii="Sylfaen" w:hAnsi="Sylfaen" w:cs="Arial"/>
          <w:color w:val="000000"/>
        </w:rPr>
      </w:pPr>
      <w:r>
        <w:rPr>
          <w:rFonts w:ascii="Sylfaen" w:hAnsi="Sylfaen" w:cs="Arial"/>
          <w:b/>
          <w:caps/>
          <w:color w:val="000000"/>
        </w:rPr>
        <w:t>HU</w:t>
      </w:r>
      <w:r w:rsidR="00DF55B6">
        <w:rPr>
          <w:rFonts w:ascii="Sylfaen" w:hAnsi="Sylfaen" w:cs="Arial"/>
          <w:b/>
          <w:caps/>
          <w:color w:val="000000"/>
        </w:rPr>
        <w:t>/</w:t>
      </w:r>
      <w:r>
        <w:rPr>
          <w:rFonts w:ascii="Sylfaen" w:hAnsi="Sylfaen" w:cs="Arial"/>
          <w:b/>
          <w:caps/>
          <w:color w:val="000000"/>
        </w:rPr>
        <w:t>20843</w:t>
      </w:r>
      <w:r w:rsidR="00DF55B6">
        <w:rPr>
          <w:rFonts w:ascii="Sylfaen" w:hAnsi="Sylfaen" w:cs="Arial"/>
          <w:b/>
          <w:caps/>
          <w:color w:val="000000"/>
        </w:rPr>
        <w:t>/</w:t>
      </w:r>
      <w:bookmarkStart w:id="0" w:name="_GoBack"/>
      <w:bookmarkEnd w:id="0"/>
      <w:r>
        <w:rPr>
          <w:rFonts w:ascii="Sylfaen" w:hAnsi="Sylfaen" w:cs="Arial"/>
          <w:b/>
          <w:caps/>
          <w:color w:val="000000"/>
        </w:rPr>
        <w:t>2016</w:t>
      </w:r>
    </w:p>
    <w:p w:rsidR="0096623B" w:rsidRDefault="0096623B" w:rsidP="00C345E1">
      <w:pPr>
        <w:jc w:val="center"/>
        <w:rPr>
          <w:rFonts w:ascii="Sylfaen" w:hAnsi="Sylfaen" w:cs="Arial"/>
          <w:b/>
          <w:color w:val="000000"/>
          <w:u w:val="single"/>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10897" w:type="dxa"/>
        <w:tblLook w:val="01E0" w:firstRow="1" w:lastRow="1" w:firstColumn="1" w:lastColumn="1" w:noHBand="0" w:noVBand="0"/>
      </w:tblPr>
      <w:tblGrid>
        <w:gridCol w:w="6706"/>
        <w:gridCol w:w="4191"/>
      </w:tblGrid>
      <w:tr w:rsidR="00D22636" w:rsidRPr="00AF5E80" w:rsidTr="003F4633">
        <w:trPr>
          <w:trHeight w:val="403"/>
        </w:trPr>
        <w:tc>
          <w:tcPr>
            <w:tcW w:w="6706" w:type="dxa"/>
            <w:shd w:val="clear" w:color="auto" w:fill="auto"/>
          </w:tcPr>
          <w:p w:rsidR="00D22636" w:rsidRDefault="00BD3A9C" w:rsidP="00CF0F9D">
            <w:pPr>
              <w:tabs>
                <w:tab w:val="left" w:pos="2112"/>
              </w:tabs>
              <w:ind w:left="540" w:hanging="540"/>
              <w:jc w:val="both"/>
              <w:rPr>
                <w:rFonts w:ascii="Sylfaen" w:hAnsi="Sylfaen" w:cs="Arial"/>
                <w:b/>
              </w:rPr>
            </w:pPr>
            <w:r w:rsidRPr="00AF5E80">
              <w:rPr>
                <w:rFonts w:ascii="Sylfaen" w:hAnsi="Sylfaen" w:cs="Arial"/>
              </w:rPr>
              <w:t>At</w:t>
            </w:r>
            <w:r w:rsidRPr="00AF5E80">
              <w:rPr>
                <w:rFonts w:ascii="Sylfaen" w:hAnsi="Sylfaen" w:cs="Arial"/>
                <w:b/>
              </w:rPr>
              <w:t xml:space="preserve">    </w:t>
            </w:r>
            <w:bookmarkStart w:id="1" w:name="Dropdown5"/>
            <w:r w:rsidR="00206F6B" w:rsidRPr="00AF5E80">
              <w:rPr>
                <w:rFonts w:ascii="Sylfaen" w:hAnsi="Sylfaen" w:cs="Arial"/>
                <w:b/>
              </w:rPr>
              <w:fldChar w:fldCharType="begin">
                <w:ffData>
                  <w:name w:val="Dropdown5"/>
                  <w:enabled/>
                  <w:calcOnExit w:val="0"/>
                  <w:ddList>
                    <w:listEntry w:val="Field House"/>
                    <w:listEntry w:val="Newport"/>
                    <w:listEntry w:val="Harmondsworth"/>
                    <w:listEntry w:val="Royal Courts of Justice"/>
                  </w:ddList>
                </w:ffData>
              </w:fldChar>
            </w:r>
            <w:r w:rsidR="00206F6B" w:rsidRPr="00AF5E80">
              <w:rPr>
                <w:rFonts w:ascii="Sylfaen" w:hAnsi="Sylfaen" w:cs="Arial"/>
                <w:b/>
              </w:rPr>
              <w:instrText xml:space="preserve"> FORMDROPDOWN </w:instrText>
            </w:r>
            <w:r w:rsidR="000635E6">
              <w:rPr>
                <w:rFonts w:ascii="Sylfaen" w:hAnsi="Sylfaen" w:cs="Arial"/>
                <w:b/>
              </w:rPr>
            </w:r>
            <w:r w:rsidR="000635E6">
              <w:rPr>
                <w:rFonts w:ascii="Sylfaen" w:hAnsi="Sylfaen" w:cs="Arial"/>
                <w:b/>
              </w:rPr>
              <w:fldChar w:fldCharType="separate"/>
            </w:r>
            <w:r w:rsidR="00206F6B" w:rsidRPr="00AF5E80">
              <w:rPr>
                <w:rFonts w:ascii="Sylfaen" w:hAnsi="Sylfaen" w:cs="Arial"/>
                <w:b/>
              </w:rPr>
              <w:fldChar w:fldCharType="end"/>
            </w:r>
            <w:bookmarkEnd w:id="1"/>
            <w:r w:rsidR="00CF0F9D">
              <w:rPr>
                <w:rFonts w:ascii="Sylfaen" w:hAnsi="Sylfaen" w:cs="Arial"/>
                <w:b/>
              </w:rPr>
              <w:tab/>
              <w:t xml:space="preserve"> </w:t>
            </w:r>
          </w:p>
          <w:p w:rsidR="00CF0F9D" w:rsidRPr="00AF5E80" w:rsidRDefault="00CF0F9D" w:rsidP="00CF0F9D">
            <w:pPr>
              <w:tabs>
                <w:tab w:val="left" w:pos="4032"/>
              </w:tabs>
              <w:ind w:left="540" w:hanging="540"/>
              <w:jc w:val="both"/>
              <w:rPr>
                <w:rFonts w:ascii="Sylfaen" w:hAnsi="Sylfaen" w:cs="Arial"/>
                <w:b/>
              </w:rPr>
            </w:pPr>
            <w:r>
              <w:rPr>
                <w:rFonts w:ascii="Sylfaen" w:hAnsi="Sylfaen" w:cs="Arial"/>
                <w:b/>
              </w:rPr>
              <w:t>On 12 July 2018</w:t>
            </w:r>
            <w:r>
              <w:rPr>
                <w:rFonts w:ascii="Sylfaen" w:hAnsi="Sylfaen" w:cs="Arial"/>
                <w:b/>
              </w:rPr>
              <w:tab/>
            </w:r>
          </w:p>
        </w:tc>
        <w:tc>
          <w:tcPr>
            <w:tcW w:w="4191" w:type="dxa"/>
            <w:shd w:val="clear" w:color="auto" w:fill="auto"/>
          </w:tcPr>
          <w:p w:rsidR="003F4633" w:rsidRDefault="00A544A8" w:rsidP="003F4633">
            <w:pPr>
              <w:jc w:val="both"/>
              <w:rPr>
                <w:rFonts w:ascii="Sylfaen" w:hAnsi="Sylfaen" w:cs="Arial"/>
                <w:color w:val="000000"/>
              </w:rPr>
            </w:pPr>
            <w:r w:rsidRPr="00AF5E80">
              <w:rPr>
                <w:rFonts w:ascii="Sylfaen" w:hAnsi="Sylfaen" w:cs="Arial"/>
                <w:color w:val="000000"/>
              </w:rPr>
              <w:t xml:space="preserve">Decision </w:t>
            </w:r>
            <w:r w:rsidR="003F4633">
              <w:rPr>
                <w:rFonts w:ascii="Sylfaen" w:hAnsi="Sylfaen" w:cs="Arial"/>
                <w:color w:val="000000"/>
              </w:rPr>
              <w:t>&amp; Reason Promulgated</w:t>
            </w:r>
          </w:p>
          <w:p w:rsidR="00D22636" w:rsidRPr="00AF5E80" w:rsidRDefault="00CF0F9D" w:rsidP="00AF5E80">
            <w:pPr>
              <w:ind w:left="1872" w:hanging="1872"/>
              <w:jc w:val="both"/>
              <w:rPr>
                <w:rFonts w:ascii="Sylfaen" w:hAnsi="Sylfaen" w:cs="Arial"/>
                <w:b/>
                <w:color w:val="000000"/>
              </w:rPr>
            </w:pPr>
            <w:r>
              <w:rPr>
                <w:rFonts w:ascii="Sylfaen" w:hAnsi="Sylfaen" w:cs="Arial"/>
                <w:b/>
                <w:color w:val="000000"/>
              </w:rPr>
              <w:t xml:space="preserve">On </w:t>
            </w:r>
            <w:r w:rsidR="00F07170" w:rsidRPr="00AF5E80">
              <w:rPr>
                <w:rFonts w:ascii="Sylfaen" w:hAnsi="Sylfaen" w:cs="Arial"/>
                <w:b/>
                <w:color w:val="000000"/>
              </w:rPr>
              <w:t xml:space="preserve">  </w:t>
            </w:r>
            <w:r>
              <w:rPr>
                <w:rFonts w:ascii="Sylfaen" w:hAnsi="Sylfaen" w:cs="Arial"/>
                <w:b/>
                <w:color w:val="000000"/>
              </w:rPr>
              <w:t>17 July 2018</w:t>
            </w:r>
          </w:p>
        </w:tc>
      </w:tr>
      <w:tr w:rsidR="00D22636" w:rsidRPr="00AF5E80" w:rsidTr="003F4633">
        <w:trPr>
          <w:trHeight w:val="419"/>
        </w:trPr>
        <w:tc>
          <w:tcPr>
            <w:tcW w:w="6706" w:type="dxa"/>
            <w:shd w:val="clear" w:color="auto" w:fill="auto"/>
          </w:tcPr>
          <w:p w:rsidR="00D22636" w:rsidRPr="00AF5E80" w:rsidRDefault="00D22636" w:rsidP="00AF5E80">
            <w:pPr>
              <w:jc w:val="both"/>
              <w:rPr>
                <w:rFonts w:ascii="Sylfaen" w:hAnsi="Sylfaen" w:cs="Arial"/>
                <w:b/>
              </w:rPr>
            </w:pPr>
          </w:p>
        </w:tc>
        <w:tc>
          <w:tcPr>
            <w:tcW w:w="4191" w:type="dxa"/>
            <w:shd w:val="clear" w:color="auto" w:fill="auto"/>
          </w:tcPr>
          <w:p w:rsidR="00D22636" w:rsidRPr="00AF5E80" w:rsidRDefault="00D22636" w:rsidP="00AF5E80">
            <w:pPr>
              <w:ind w:left="1872" w:hanging="1872"/>
              <w:jc w:val="both"/>
              <w:rPr>
                <w:rFonts w:ascii="Sylfaen" w:hAnsi="Sylfaen" w:cs="Arial"/>
                <w:b/>
              </w:rPr>
            </w:pPr>
          </w:p>
        </w:tc>
      </w:tr>
    </w:tbl>
    <w:p w:rsidR="00F07170" w:rsidRDefault="00F07170" w:rsidP="00BD3A9C">
      <w:pPr>
        <w:rPr>
          <w:rFonts w:ascii="Sylfaen" w:hAnsi="Sylfaen" w:cs="Arial"/>
          <w:b/>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96623B" w:rsidRDefault="0096623B"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B4760E" w:rsidP="00A15234">
      <w:pPr>
        <w:jc w:val="center"/>
        <w:rPr>
          <w:rFonts w:ascii="Sylfaen" w:hAnsi="Sylfaen" w:cs="Arial"/>
          <w:b/>
        </w:rPr>
      </w:pPr>
      <w:proofErr w:type="spellStart"/>
      <w:r>
        <w:rPr>
          <w:rFonts w:ascii="Sylfaen" w:hAnsi="Sylfaen" w:cs="Arial"/>
          <w:b/>
        </w:rPr>
        <w:t>Mohd</w:t>
      </w:r>
      <w:proofErr w:type="spellEnd"/>
      <w:r>
        <w:rPr>
          <w:rFonts w:ascii="Sylfaen" w:hAnsi="Sylfaen" w:cs="Arial"/>
          <w:b/>
        </w:rPr>
        <w:t>. MONIRUZZAMAN &amp; 2 others</w:t>
      </w:r>
    </w:p>
    <w:p w:rsidR="00704B61" w:rsidRPr="003860CF" w:rsidRDefault="00BD3A9C" w:rsidP="00704B61">
      <w:pPr>
        <w:jc w:val="right"/>
        <w:rPr>
          <w:rFonts w:ascii="Sylfaen" w:hAnsi="Sylfaen" w:cs="Arial"/>
        </w:rPr>
      </w:pPr>
      <w:r w:rsidRPr="003860CF">
        <w:rPr>
          <w:rFonts w:ascii="Sylfaen" w:hAnsi="Sylfaen" w:cs="Arial"/>
        </w:rPr>
        <w:t>appellant</w:t>
      </w:r>
      <w:r w:rsidR="00B4760E">
        <w:rPr>
          <w:rFonts w:ascii="Sylfaen" w:hAnsi="Sylfaen" w:cs="Arial"/>
        </w:rPr>
        <w:t>s</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0635E6">
        <w:rPr>
          <w:rFonts w:ascii="Sylfaen" w:hAnsi="Sylfaen" w:cs="Arial"/>
          <w:b/>
        </w:rPr>
      </w:r>
      <w:r w:rsidR="000635E6">
        <w:rPr>
          <w:rFonts w:ascii="Sylfaen" w:hAnsi="Sylfaen" w:cs="Arial"/>
          <w:b/>
        </w:rPr>
        <w:fldChar w:fldCharType="separate"/>
      </w:r>
      <w:r w:rsidRPr="00A544A8">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96623B" w:rsidRDefault="0096623B"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B4760E"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00B4760E">
        <w:rPr>
          <w:rFonts w:ascii="Sylfaen" w:hAnsi="Sylfaen" w:cs="Arial"/>
        </w:rPr>
        <w:t>s</w:t>
      </w:r>
      <w:r w:rsidRPr="00A544A8">
        <w:rPr>
          <w:rFonts w:ascii="Sylfaen" w:hAnsi="Sylfaen" w:cs="Arial"/>
        </w:rPr>
        <w:t>:</w:t>
      </w:r>
      <w:r w:rsidRPr="00A544A8">
        <w:rPr>
          <w:rFonts w:ascii="Sylfaen" w:hAnsi="Sylfaen" w:cs="Arial"/>
        </w:rPr>
        <w:tab/>
      </w:r>
      <w:r w:rsidR="00B4760E">
        <w:rPr>
          <w:rFonts w:ascii="Sylfaen" w:hAnsi="Sylfaen" w:cs="Arial"/>
          <w:i/>
        </w:rPr>
        <w:t xml:space="preserve">Shashi </w:t>
      </w:r>
      <w:proofErr w:type="spellStart"/>
      <w:r w:rsidR="00B4760E">
        <w:rPr>
          <w:rFonts w:ascii="Sylfaen" w:hAnsi="Sylfaen" w:cs="Arial"/>
          <w:i/>
        </w:rPr>
        <w:t>Jaisri</w:t>
      </w:r>
      <w:proofErr w:type="spellEnd"/>
      <w:r w:rsidR="00B4760E">
        <w:rPr>
          <w:rFonts w:ascii="Sylfaen" w:hAnsi="Sylfaen" w:cs="Arial"/>
          <w:i/>
        </w:rPr>
        <w:t xml:space="preserve"> </w:t>
      </w:r>
      <w:r w:rsidR="00B4760E">
        <w:rPr>
          <w:rFonts w:ascii="Sylfaen" w:hAnsi="Sylfaen" w:cs="Arial"/>
        </w:rPr>
        <w:t>(counsel instructed by Raffles Haig)</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B4760E">
        <w:rPr>
          <w:rFonts w:ascii="Sylfaen" w:hAnsi="Sylfaen" w:cs="Arial"/>
        </w:rPr>
        <w:t>Mr C Howells</w:t>
      </w:r>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3" w:name="Dropdown4"/>
      <w:r w:rsidR="00B4760E">
        <w:rPr>
          <w:rFonts w:ascii="Sylfaen" w:hAnsi="Sylfaen" w:cs="Arial"/>
        </w:rPr>
        <w:fldChar w:fldCharType="begin">
          <w:ffData>
            <w:name w:val="Dropdown4"/>
            <w:enabled/>
            <w:calcOnExit w:val="0"/>
            <w:ddList>
              <w:listEntry w:val="respondent to the original appeal"/>
              <w:listEntry w:val="appellant"/>
              <w:listEntry w:val="appellants"/>
            </w:ddList>
          </w:ffData>
        </w:fldChar>
      </w:r>
      <w:r w:rsidR="00B4760E">
        <w:rPr>
          <w:rFonts w:ascii="Sylfaen" w:hAnsi="Sylfaen" w:cs="Arial"/>
        </w:rPr>
        <w:instrText xml:space="preserve"> FORMDROPDOWN </w:instrText>
      </w:r>
      <w:r w:rsidR="000635E6">
        <w:rPr>
          <w:rFonts w:ascii="Sylfaen" w:hAnsi="Sylfaen" w:cs="Arial"/>
        </w:rPr>
      </w:r>
      <w:r w:rsidR="000635E6">
        <w:rPr>
          <w:rFonts w:ascii="Sylfaen" w:hAnsi="Sylfaen" w:cs="Arial"/>
        </w:rPr>
        <w:fldChar w:fldCharType="separate"/>
      </w:r>
      <w:r w:rsidR="00B4760E">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B4760E">
        <w:rPr>
          <w:rFonts w:ascii="Sylfaen" w:hAnsi="Sylfaen" w:cs="Arial"/>
        </w:rPr>
        <w:t>Isaac Maka</w:t>
      </w:r>
      <w:r w:rsidR="00194E6E">
        <w:rPr>
          <w:rFonts w:ascii="Sylfaen" w:hAnsi="Sylfaen" w:cs="Arial"/>
        </w:rPr>
        <w:t>)</w:t>
      </w:r>
      <w:r w:rsidR="00FE4D99">
        <w:rPr>
          <w:rFonts w:ascii="Sylfaen" w:hAnsi="Sylfaen" w:cs="Arial"/>
        </w:rPr>
        <w:t xml:space="preserve">, sitting at </w:t>
      </w:r>
      <w:r w:rsidR="00B4760E">
        <w:rPr>
          <w:rFonts w:ascii="Sylfaen" w:hAnsi="Sylfaen" w:cs="Arial"/>
        </w:rPr>
        <w:t>Hatton Cross</w:t>
      </w:r>
      <w:r w:rsidR="00FE4D99">
        <w:rPr>
          <w:rFonts w:ascii="Sylfaen" w:hAnsi="Sylfaen" w:cs="Arial"/>
        </w:rPr>
        <w:t xml:space="preserve"> on </w:t>
      </w:r>
      <w:r w:rsidR="00B4760E">
        <w:rPr>
          <w:rFonts w:ascii="Sylfaen" w:hAnsi="Sylfaen" w:cs="Arial"/>
        </w:rPr>
        <w:t>11 January</w:t>
      </w:r>
      <w:r w:rsidR="00FE4D99">
        <w:rPr>
          <w:rFonts w:ascii="Sylfaen" w:hAnsi="Sylfaen" w:cs="Arial"/>
        </w:rPr>
        <w:t xml:space="preserve">, to </w:t>
      </w:r>
      <w:bookmarkStart w:id="4" w:name="Dropdown2"/>
      <w:r w:rsidR="00B4760E">
        <w:rPr>
          <w:rFonts w:ascii="Sylfaen" w:hAnsi="Sylfaen" w:cs="Arial"/>
        </w:rPr>
        <w:fldChar w:fldCharType="begin">
          <w:ffData>
            <w:name w:val="Dropdown2"/>
            <w:enabled/>
            <w:calcOnExit w:val="0"/>
            <w:ddList>
              <w:listEntry w:val="allow"/>
              <w:listEntry w:val="dismiss"/>
            </w:ddList>
          </w:ffData>
        </w:fldChar>
      </w:r>
      <w:r w:rsidR="00B4760E">
        <w:rPr>
          <w:rFonts w:ascii="Sylfaen" w:hAnsi="Sylfaen" w:cs="Arial"/>
        </w:rPr>
        <w:instrText xml:space="preserve"> FORMDROPDOWN </w:instrText>
      </w:r>
      <w:r w:rsidR="000635E6">
        <w:rPr>
          <w:rFonts w:ascii="Sylfaen" w:hAnsi="Sylfaen" w:cs="Arial"/>
        </w:rPr>
      </w:r>
      <w:r w:rsidR="000635E6">
        <w:rPr>
          <w:rFonts w:ascii="Sylfaen" w:hAnsi="Sylfaen" w:cs="Arial"/>
        </w:rPr>
        <w:fldChar w:fldCharType="separate"/>
      </w:r>
      <w:r w:rsidR="00B4760E">
        <w:rPr>
          <w:rFonts w:ascii="Sylfaen" w:hAnsi="Sylfaen" w:cs="Arial"/>
        </w:rPr>
        <w:fldChar w:fldCharType="end"/>
      </w:r>
      <w:bookmarkEnd w:id="4"/>
      <w:r w:rsidR="00FE4D99">
        <w:rPr>
          <w:rFonts w:ascii="Sylfaen" w:hAnsi="Sylfaen" w:cs="Arial"/>
        </w:rPr>
        <w:t xml:space="preserve"> </w:t>
      </w:r>
      <w:r w:rsidR="00B4760E">
        <w:rPr>
          <w:rFonts w:ascii="Sylfaen" w:hAnsi="Sylfaen" w:cs="Arial"/>
        </w:rPr>
        <w:t>an ETS/article 8</w:t>
      </w:r>
      <w:r w:rsidR="00FE4D99">
        <w:rPr>
          <w:rFonts w:ascii="Sylfaen" w:hAnsi="Sylfaen" w:cs="Arial"/>
        </w:rPr>
        <w:t xml:space="preserve"> appeal by a citizen of </w:t>
      </w:r>
      <w:r w:rsidR="00B4760E">
        <w:rPr>
          <w:rFonts w:ascii="Sylfaen" w:hAnsi="Sylfaen" w:cs="Arial"/>
        </w:rPr>
        <w:t>Bangladesh</w:t>
      </w:r>
      <w:r w:rsidR="00102EBC">
        <w:rPr>
          <w:rFonts w:ascii="Sylfaen" w:hAnsi="Sylfaen" w:cs="Arial"/>
        </w:rPr>
        <w:t xml:space="preserve">, born </w:t>
      </w:r>
      <w:r w:rsidR="00B4760E">
        <w:rPr>
          <w:rFonts w:ascii="Sylfaen" w:hAnsi="Sylfaen" w:cs="Arial"/>
        </w:rPr>
        <w:t xml:space="preserve">1981, and his dependants. The (main) appellant came as a student in 2009, and in 2012, when he was joined by his wife, got leave to remain till 2015: they had a son born here in 2013. The appellant’s leave was </w:t>
      </w:r>
      <w:r w:rsidR="00B4760E" w:rsidRPr="00B4760E">
        <w:rPr>
          <w:rFonts w:ascii="Sylfaen" w:hAnsi="Sylfaen" w:cs="Arial"/>
        </w:rPr>
        <w:t>‘curtailed’</w:t>
      </w:r>
      <w:r w:rsidR="00B4760E">
        <w:rPr>
          <w:rFonts w:ascii="Sylfaen" w:hAnsi="Sylfaen" w:cs="Arial"/>
        </w:rPr>
        <w:t xml:space="preserve"> in 2014, and in 2015 he applied for leave to remain on the basis of his private and family life.</w:t>
      </w:r>
    </w:p>
    <w:p w:rsidR="004617F0" w:rsidRDefault="00F334A5"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On 15 August 2016 that application was refused, partly on suitability grounds, as it was said the appellant had got his student leave to remain in 2012 by having an ETS test taken for him by a proxy. He denied that, but the judge said this at paragraph 45:</w:t>
      </w:r>
    </w:p>
    <w:p w:rsidR="00F334A5" w:rsidRPr="00F334A5" w:rsidRDefault="00F334A5" w:rsidP="00F334A5">
      <w:pPr>
        <w:spacing w:after="120"/>
        <w:ind w:left="851"/>
        <w:jc w:val="both"/>
        <w:rPr>
          <w:rFonts w:ascii="Sylfaen" w:hAnsi="Sylfaen" w:cs="Arial"/>
          <w:sz w:val="22"/>
          <w:szCs w:val="22"/>
        </w:rPr>
      </w:pPr>
      <w:r>
        <w:rPr>
          <w:rFonts w:ascii="Sylfaen" w:hAnsi="Sylfaen" w:cs="Arial"/>
          <w:sz w:val="22"/>
          <w:szCs w:val="22"/>
        </w:rPr>
        <w:t xml:space="preserve">I accept the respondent has discharged the legal burden upon her by </w:t>
      </w:r>
      <w:r w:rsidRPr="00F334A5">
        <w:rPr>
          <w:rFonts w:ascii="Sylfaen" w:hAnsi="Sylfaen" w:cs="Arial"/>
          <w:sz w:val="22"/>
          <w:szCs w:val="22"/>
        </w:rPr>
        <w:t>prima facie</w:t>
      </w:r>
      <w:r>
        <w:rPr>
          <w:rFonts w:ascii="Sylfaen" w:hAnsi="Sylfaen" w:cs="Arial"/>
          <w:sz w:val="22"/>
          <w:szCs w:val="22"/>
        </w:rPr>
        <w:t xml:space="preserve"> production of evidence relating to an ETS test sat by this appellant. I do not accept </w:t>
      </w:r>
      <w:proofErr w:type="gramStart"/>
      <w:r>
        <w:rPr>
          <w:rFonts w:ascii="Sylfaen" w:hAnsi="Sylfaen" w:cs="Arial"/>
          <w:sz w:val="22"/>
          <w:szCs w:val="22"/>
        </w:rPr>
        <w:t>however,</w:t>
      </w:r>
      <w:proofErr w:type="gramEnd"/>
      <w:r>
        <w:rPr>
          <w:rFonts w:ascii="Sylfaen" w:hAnsi="Sylfaen" w:cs="Arial"/>
          <w:sz w:val="22"/>
          <w:szCs w:val="22"/>
        </w:rPr>
        <w:t xml:space="preserve"> the respondent has discharged the evidential burden upon her to show this appellant’s test score was questionable or that this appellant did not actually sit the test himself (which was not specifically suggested in the refusal letter).</w:t>
      </w:r>
    </w:p>
    <w:p w:rsidR="004030D9" w:rsidRPr="004030D9" w:rsidRDefault="00F334A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Even if that conclusion was not spelt out at p 3 of the refusal letter, the implications of what it did say there were quite clear enough. The judge’s understanding of the legal position on the burden of proof in such cases was unfortunately rather less clear, though he referred (without the full citation) to </w:t>
      </w:r>
      <w:hyperlink r:id="rId8" w:history="1">
        <w:r w:rsidRPr="00F334A5">
          <w:rPr>
            <w:rStyle w:val="Hyperlink"/>
            <w:rFonts w:ascii="Sylfaen" w:hAnsi="Sylfaen" w:cs="Arial"/>
            <w:bCs/>
            <w:i/>
            <w:color w:val="000000"/>
            <w:u w:val="none"/>
          </w:rPr>
          <w:t xml:space="preserve">SM and </w:t>
        </w:r>
        <w:proofErr w:type="spellStart"/>
        <w:r w:rsidRPr="00F334A5">
          <w:rPr>
            <w:rStyle w:val="Hyperlink"/>
            <w:rFonts w:ascii="Sylfaen" w:hAnsi="Sylfaen" w:cs="Arial"/>
            <w:bCs/>
            <w:i/>
            <w:color w:val="000000"/>
            <w:u w:val="none"/>
          </w:rPr>
          <w:t>Qadir</w:t>
        </w:r>
        <w:proofErr w:type="spellEnd"/>
        <w:r w:rsidRPr="00F334A5">
          <w:rPr>
            <w:rStyle w:val="Hyperlink"/>
            <w:rFonts w:ascii="Sylfaen" w:hAnsi="Sylfaen" w:cs="Arial"/>
            <w:bCs/>
            <w:color w:val="000000"/>
            <w:u w:val="none"/>
          </w:rPr>
          <w:t xml:space="preserve"> (ETS - Evidence - Burden of Proof) [2016] UKUT 229 (IAC)</w:t>
        </w:r>
      </w:hyperlink>
      <w:r>
        <w:rPr>
          <w:rFonts w:ascii="Sylfaen" w:hAnsi="Sylfaen" w:cs="Arial"/>
          <w:bCs/>
          <w:color w:val="000000"/>
        </w:rPr>
        <w:t xml:space="preserve">. That decision </w:t>
      </w:r>
      <w:r w:rsidR="004030D9">
        <w:rPr>
          <w:rFonts w:ascii="Sylfaen" w:hAnsi="Sylfaen" w:cs="Arial"/>
          <w:bCs/>
          <w:color w:val="000000"/>
        </w:rPr>
        <w:t>was made, for pragmatic reasons, on the evidence then available to the Home Office, without reaching a final view on the legal position. However, the judicial head-note illustrates quite clearly what is meant by the evidential and legal burdens on the respondent in such a case:</w:t>
      </w:r>
    </w:p>
    <w:p w:rsidR="004030D9" w:rsidRDefault="004030D9" w:rsidP="004030D9">
      <w:pPr>
        <w:numPr>
          <w:ilvl w:val="1"/>
          <w:numId w:val="1"/>
        </w:numPr>
        <w:jc w:val="both"/>
        <w:rPr>
          <w:rFonts w:ascii="Sylfaen" w:hAnsi="Sylfaen"/>
          <w:i/>
          <w:iCs/>
          <w:sz w:val="22"/>
          <w:szCs w:val="22"/>
        </w:rPr>
      </w:pPr>
      <w:r w:rsidRPr="004030D9">
        <w:rPr>
          <w:rFonts w:ascii="Sylfaen" w:hAnsi="Sylfaen"/>
          <w:i/>
          <w:iCs/>
          <w:sz w:val="22"/>
          <w:szCs w:val="22"/>
        </w:rPr>
        <w:t xml:space="preserve">The Secretary of State's generic evidence, combined with her evidence particular to these two appellants, sufficed to discharge the </w:t>
      </w:r>
      <w:r w:rsidRPr="004030D9">
        <w:rPr>
          <w:rFonts w:ascii="Sylfaen" w:hAnsi="Sylfaen"/>
          <w:i/>
          <w:iCs/>
          <w:sz w:val="22"/>
          <w:szCs w:val="22"/>
          <w:u w:val="single"/>
        </w:rPr>
        <w:t>evidential burden</w:t>
      </w:r>
      <w:r w:rsidRPr="004030D9">
        <w:rPr>
          <w:rFonts w:ascii="Sylfaen" w:hAnsi="Sylfaen"/>
          <w:i/>
          <w:iCs/>
          <w:sz w:val="22"/>
          <w:szCs w:val="22"/>
        </w:rPr>
        <w:t xml:space="preserve"> of proving that their TOEIC certificates had been procured by dishonesty.</w:t>
      </w:r>
    </w:p>
    <w:p w:rsidR="004030D9" w:rsidRPr="004030D9" w:rsidRDefault="004030D9" w:rsidP="004030D9">
      <w:pPr>
        <w:numPr>
          <w:ilvl w:val="1"/>
          <w:numId w:val="1"/>
        </w:numPr>
        <w:spacing w:after="120"/>
        <w:ind w:left="1797"/>
        <w:jc w:val="both"/>
        <w:rPr>
          <w:rFonts w:ascii="Sylfaen" w:hAnsi="Sylfaen"/>
          <w:i/>
          <w:iCs/>
          <w:sz w:val="22"/>
          <w:szCs w:val="22"/>
        </w:rPr>
      </w:pPr>
      <w:r w:rsidRPr="004030D9">
        <w:rPr>
          <w:rFonts w:ascii="Sylfaen" w:hAnsi="Sylfaen"/>
          <w:i/>
          <w:iCs/>
          <w:sz w:val="22"/>
          <w:szCs w:val="22"/>
        </w:rPr>
        <w:t xml:space="preserve">However, given the multiple frailties from which this generic evidence was considered to suffer and, in the light of the evidence adduced by the appellants, the Secretary of State failed to discharge the legal burden of proving dishonesty on their part. </w:t>
      </w:r>
    </w:p>
    <w:p w:rsidR="00F334A5" w:rsidRPr="004030D9" w:rsidRDefault="004030D9" w:rsidP="00BD3A9C">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In short, what judges have to decide on an appeal of this kind is first, whether the respondent’s evidence on its own satisfies the </w:t>
      </w:r>
      <w:r>
        <w:rPr>
          <w:rFonts w:ascii="Sylfaen" w:hAnsi="Sylfaen" w:cs="Arial"/>
          <w:bCs/>
          <w:i/>
          <w:color w:val="000000"/>
        </w:rPr>
        <w:t xml:space="preserve">evidential </w:t>
      </w:r>
      <w:r>
        <w:rPr>
          <w:rFonts w:ascii="Sylfaen" w:hAnsi="Sylfaen" w:cs="Arial"/>
          <w:bCs/>
          <w:color w:val="000000"/>
        </w:rPr>
        <w:t xml:space="preserve">burden of showing a </w:t>
      </w:r>
      <w:r w:rsidRPr="004030D9">
        <w:rPr>
          <w:rFonts w:ascii="Sylfaen" w:hAnsi="Sylfaen" w:cs="Arial"/>
          <w:bCs/>
          <w:i/>
          <w:color w:val="000000"/>
        </w:rPr>
        <w:t>prima facie</w:t>
      </w:r>
      <w:r>
        <w:rPr>
          <w:rFonts w:ascii="Sylfaen" w:hAnsi="Sylfaen" w:cs="Arial"/>
          <w:bCs/>
          <w:color w:val="000000"/>
        </w:rPr>
        <w:t xml:space="preserve"> case of deception against the appellant. If it does not, they need go no further; but, if it does, then they need to consider all the evidence, including any given by the appellant, in deciding whether it satisfies the </w:t>
      </w:r>
      <w:r>
        <w:rPr>
          <w:rFonts w:ascii="Sylfaen" w:hAnsi="Sylfaen" w:cs="Arial"/>
          <w:bCs/>
          <w:i/>
          <w:color w:val="000000"/>
        </w:rPr>
        <w:t xml:space="preserve">legal </w:t>
      </w:r>
      <w:r>
        <w:rPr>
          <w:rFonts w:ascii="Sylfaen" w:hAnsi="Sylfaen" w:cs="Arial"/>
          <w:bCs/>
          <w:color w:val="000000"/>
        </w:rPr>
        <w:t>burden on the respondent of showing deception was more likely than not to have been used.</w:t>
      </w:r>
    </w:p>
    <w:p w:rsidR="004030D9" w:rsidRPr="00E54899" w:rsidRDefault="004030D9" w:rsidP="00BD3A9C">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The judge in this case may have got the two concepts the wrong way </w:t>
      </w:r>
      <w:proofErr w:type="gramStart"/>
      <w:r>
        <w:rPr>
          <w:rFonts w:ascii="Sylfaen" w:hAnsi="Sylfaen" w:cs="Arial"/>
          <w:bCs/>
          <w:color w:val="000000"/>
        </w:rPr>
        <w:t>round</w:t>
      </w:r>
      <w:proofErr w:type="gramEnd"/>
      <w:r>
        <w:rPr>
          <w:rFonts w:ascii="Sylfaen" w:hAnsi="Sylfaen" w:cs="Arial"/>
          <w:bCs/>
          <w:color w:val="000000"/>
        </w:rPr>
        <w:t xml:space="preserve">; but the real reason why </w:t>
      </w:r>
      <w:r w:rsidRPr="004030D9">
        <w:rPr>
          <w:rFonts w:ascii="Sylfaen" w:hAnsi="Sylfaen" w:cs="Arial"/>
          <w:bCs/>
          <w:color w:val="000000"/>
        </w:rPr>
        <w:t xml:space="preserve">Mr </w:t>
      </w:r>
      <w:proofErr w:type="spellStart"/>
      <w:r w:rsidRPr="004030D9">
        <w:rPr>
          <w:rFonts w:ascii="Sylfaen" w:hAnsi="Sylfaen" w:cs="Arial"/>
          <w:bCs/>
          <w:color w:val="000000"/>
        </w:rPr>
        <w:t>Jaisri</w:t>
      </w:r>
      <w:proofErr w:type="spellEnd"/>
      <w:r>
        <w:rPr>
          <w:rFonts w:ascii="Sylfaen" w:hAnsi="Sylfaen" w:cs="Arial"/>
          <w:bCs/>
          <w:color w:val="000000"/>
        </w:rPr>
        <w:t xml:space="preserve"> realistically had to concede that his decision could not be upheld was his failure to deal with all the evidence before him. The respondent’s evidence now included very </w:t>
      </w:r>
      <w:r w:rsidRPr="004030D9">
        <w:rPr>
          <w:rFonts w:ascii="Sylfaen" w:hAnsi="Sylfaen" w:cs="Arial"/>
          <w:bCs/>
          <w:color w:val="000000"/>
        </w:rPr>
        <w:t>significant</w:t>
      </w:r>
      <w:r>
        <w:rPr>
          <w:rFonts w:ascii="Sylfaen" w:hAnsi="Sylfaen" w:cs="Arial"/>
          <w:bCs/>
          <w:color w:val="000000"/>
        </w:rPr>
        <w:t xml:space="preserve"> additions to what had been before the </w:t>
      </w:r>
      <w:smartTag w:uri="urn:schemas-microsoft-com:office:smarttags" w:element="PersonName">
        <w:r>
          <w:rPr>
            <w:rFonts w:ascii="Sylfaen" w:hAnsi="Sylfaen" w:cs="Arial"/>
            <w:bCs/>
            <w:color w:val="000000"/>
          </w:rPr>
          <w:t>Upper Tribunal</w:t>
        </w:r>
      </w:smartTag>
      <w:r>
        <w:rPr>
          <w:rFonts w:ascii="Sylfaen" w:hAnsi="Sylfaen" w:cs="Arial"/>
          <w:bCs/>
          <w:color w:val="000000"/>
        </w:rPr>
        <w:t xml:space="preserve"> in </w:t>
      </w:r>
      <w:r w:rsidRPr="004030D9">
        <w:rPr>
          <w:rStyle w:val="Hyperlink"/>
          <w:rFonts w:ascii="Sylfaen" w:hAnsi="Sylfaen" w:cs="Arial"/>
          <w:bCs/>
          <w:i/>
          <w:color w:val="000000"/>
          <w:u w:val="none"/>
        </w:rPr>
        <w:t xml:space="preserve">SM and </w:t>
      </w:r>
      <w:proofErr w:type="spellStart"/>
      <w:r w:rsidRPr="004030D9">
        <w:rPr>
          <w:rStyle w:val="Hyperlink"/>
          <w:rFonts w:ascii="Sylfaen" w:hAnsi="Sylfaen" w:cs="Arial"/>
          <w:bCs/>
          <w:i/>
          <w:color w:val="000000"/>
          <w:u w:val="none"/>
        </w:rPr>
        <w:t>Qadir</w:t>
      </w:r>
      <w:proofErr w:type="spellEnd"/>
      <w:r>
        <w:rPr>
          <w:rFonts w:ascii="Sylfaen" w:hAnsi="Sylfaen" w:cs="Arial"/>
          <w:bCs/>
          <w:color w:val="000000"/>
        </w:rPr>
        <w:t>, in particular a report by Professor Peter French</w:t>
      </w:r>
      <w:r w:rsidR="00E54899">
        <w:rPr>
          <w:rStyle w:val="FootnoteReference"/>
          <w:rFonts w:ascii="Sylfaen" w:hAnsi="Sylfaen" w:cs="Arial"/>
          <w:bCs/>
          <w:color w:val="000000"/>
        </w:rPr>
        <w:footnoteReference w:id="1"/>
      </w:r>
      <w:r>
        <w:rPr>
          <w:rFonts w:ascii="Sylfaen" w:hAnsi="Sylfaen" w:cs="Arial"/>
          <w:bCs/>
          <w:color w:val="000000"/>
        </w:rPr>
        <w:t xml:space="preserve">. </w:t>
      </w:r>
      <w:hyperlink r:id="rId9" w:history="1">
        <w:r w:rsidR="00E54899" w:rsidRPr="00E54899">
          <w:rPr>
            <w:rStyle w:val="Hyperlink"/>
            <w:rFonts w:ascii="Sylfaen" w:hAnsi="Sylfaen" w:cs="Arial"/>
            <w:bCs/>
            <w:color w:val="000000"/>
            <w:u w:val="none"/>
          </w:rPr>
          <w:t xml:space="preserve"> </w:t>
        </w:r>
      </w:hyperlink>
    </w:p>
    <w:p w:rsidR="00E54899" w:rsidRPr="00AA79B4" w:rsidRDefault="00E54899" w:rsidP="00BD3A9C">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Professor French’s evidence strengthens the respondent’s position in cases of this kind very considerably. </w:t>
      </w:r>
      <w:r w:rsidR="00AA79B4">
        <w:rPr>
          <w:rFonts w:ascii="Sylfaen" w:hAnsi="Sylfaen" w:cs="Arial"/>
          <w:bCs/>
          <w:color w:val="000000"/>
        </w:rPr>
        <w:t xml:space="preserve">If not conceded, it will </w:t>
      </w:r>
      <w:r>
        <w:rPr>
          <w:rFonts w:ascii="Sylfaen" w:hAnsi="Sylfaen" w:cs="Arial"/>
          <w:bCs/>
          <w:color w:val="000000"/>
        </w:rPr>
        <w:t xml:space="preserve">still </w:t>
      </w:r>
      <w:r w:rsidR="00AA79B4">
        <w:rPr>
          <w:rFonts w:ascii="Sylfaen" w:hAnsi="Sylfaen" w:cs="Arial"/>
          <w:bCs/>
          <w:color w:val="000000"/>
        </w:rPr>
        <w:t xml:space="preserve">be </w:t>
      </w:r>
      <w:r>
        <w:rPr>
          <w:rFonts w:ascii="Sylfaen" w:hAnsi="Sylfaen" w:cs="Arial"/>
          <w:bCs/>
          <w:color w:val="000000"/>
        </w:rPr>
        <w:t xml:space="preserve">for individual judges to decide whether the </w:t>
      </w:r>
      <w:r w:rsidR="00AA79B4">
        <w:rPr>
          <w:rFonts w:ascii="Sylfaen" w:hAnsi="Sylfaen" w:cs="Arial"/>
          <w:bCs/>
          <w:color w:val="000000"/>
        </w:rPr>
        <w:t xml:space="preserve">evidential burden is satisfied; but it is hard to imagine circumstances where they would find that it was not. If it is, then in a </w:t>
      </w:r>
      <w:r w:rsidR="00AA79B4" w:rsidRPr="00AA79B4">
        <w:rPr>
          <w:rFonts w:ascii="Sylfaen" w:hAnsi="Sylfaen" w:cs="Arial"/>
          <w:bCs/>
          <w:color w:val="000000"/>
        </w:rPr>
        <w:t>statutory appeal</w:t>
      </w:r>
      <w:r w:rsidR="00AA79B4">
        <w:rPr>
          <w:rFonts w:ascii="Sylfaen" w:hAnsi="Sylfaen" w:cs="Arial"/>
          <w:bCs/>
          <w:color w:val="000000"/>
        </w:rPr>
        <w:t xml:space="preserve"> they need to go on, and decide on all the evidence whether the legal burden has also been satisfied.</w:t>
      </w:r>
    </w:p>
    <w:p w:rsidR="009F5220" w:rsidRPr="00A544A8" w:rsidRDefault="00AA79B4" w:rsidP="00AA79B4">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br w:type="page"/>
      </w:r>
      <w:r>
        <w:rPr>
          <w:rFonts w:ascii="Sylfaen" w:hAnsi="Sylfaen" w:cs="Arial"/>
          <w:bCs/>
          <w:color w:val="000000"/>
        </w:rPr>
        <w:lastRenderedPageBreak/>
        <w:t>That is what the judge will need to do at the fresh hearing which I am directing: they will then need to go on and consider the appellant’s article 8 case. This judge’s decision on that was also appealed; but I need say no more about that, as fresh consideration will be required in the light of the judge’s conclusions on the ETS part of the case.</w:t>
      </w:r>
    </w:p>
    <w:p w:rsidR="009F5220" w:rsidRDefault="00AA79B4" w:rsidP="00780F86">
      <w:pPr>
        <w:ind w:left="540" w:hanging="540"/>
        <w:jc w:val="both"/>
        <w:rPr>
          <w:rFonts w:ascii="Sylfaen" w:hAnsi="Sylfaen" w:cs="Arial"/>
          <w:b/>
        </w:rPr>
      </w:pPr>
      <w:r>
        <w:rPr>
          <w:rFonts w:ascii="Sylfaen" w:hAnsi="Sylfaen" w:cs="Arial"/>
          <w:b/>
        </w:rPr>
        <w:t xml:space="preserve">Respondent’s appeal </w:t>
      </w:r>
      <w:bookmarkStart w:id="5" w:name="Dropdown3"/>
      <w:r>
        <w:rPr>
          <w:rFonts w:ascii="Sylfaen" w:hAnsi="Sylfaen" w:cs="Arial"/>
          <w:b/>
        </w:rPr>
        <w:fldChar w:fldCharType="begin">
          <w:ffData>
            <w:name w:val="Dropdown3"/>
            <w:enabled/>
            <w:calcOnExit w:val="0"/>
            <w:ddList>
              <w:listEntry w:val="allowed"/>
              <w:listEntry w:val="dismissed"/>
            </w:ddList>
          </w:ffData>
        </w:fldChar>
      </w:r>
      <w:r>
        <w:rPr>
          <w:rFonts w:ascii="Sylfaen" w:hAnsi="Sylfaen" w:cs="Arial"/>
          <w:b/>
        </w:rPr>
        <w:instrText xml:space="preserve"> FORMDROPDOWN </w:instrText>
      </w:r>
      <w:r w:rsidR="000635E6">
        <w:rPr>
          <w:rFonts w:ascii="Sylfaen" w:hAnsi="Sylfaen" w:cs="Arial"/>
          <w:b/>
        </w:rPr>
      </w:r>
      <w:r w:rsidR="000635E6">
        <w:rPr>
          <w:rFonts w:ascii="Sylfaen" w:hAnsi="Sylfaen" w:cs="Arial"/>
          <w:b/>
        </w:rPr>
        <w:fldChar w:fldCharType="separate"/>
      </w:r>
      <w:r>
        <w:rPr>
          <w:rFonts w:ascii="Sylfaen" w:hAnsi="Sylfaen" w:cs="Arial"/>
          <w:b/>
        </w:rPr>
        <w:fldChar w:fldCharType="end"/>
      </w:r>
      <w:bookmarkEnd w:id="5"/>
      <w:r>
        <w:rPr>
          <w:rFonts w:ascii="Sylfaen" w:hAnsi="Sylfaen" w:cs="Arial"/>
          <w:b/>
        </w:rPr>
        <w:t>: first-tier decision set aside</w:t>
      </w:r>
    </w:p>
    <w:p w:rsidR="00AA79B4" w:rsidRPr="008F23F4" w:rsidRDefault="00AA79B4" w:rsidP="00AA79B4">
      <w:pPr>
        <w:jc w:val="both"/>
        <w:rPr>
          <w:rFonts w:ascii="Sylfaen" w:hAnsi="Sylfaen" w:cs="Arial"/>
          <w:b/>
        </w:rPr>
      </w:pPr>
      <w:r>
        <w:rPr>
          <w:rFonts w:ascii="Sylfaen" w:hAnsi="Sylfaen" w:cs="Arial"/>
          <w:b/>
        </w:rPr>
        <w:t>Fresh hearing of appellant’s ETS and article 8 appeals in First-tier Tribunal at Hatton Cross, not before Judge Maka</w:t>
      </w:r>
    </w:p>
    <w:p w:rsidR="00B95326" w:rsidRDefault="001B0B8A" w:rsidP="00F07170">
      <w:pPr>
        <w:ind w:left="4508" w:hanging="539"/>
        <w:rPr>
          <w:rFonts w:ascii="Sylfaen" w:hAnsi="Sylfaen" w:cs="Arial"/>
          <w:color w:val="000000"/>
        </w:rPr>
      </w:pPr>
      <w:r w:rsidRPr="00A544A8">
        <w:rPr>
          <w:rFonts w:ascii="Sylfaen" w:hAnsi="Sylfaen" w:cs="Arial"/>
          <w:b/>
          <w:noProof/>
        </w:rPr>
        <w:drawing>
          <wp:inline distT="0" distB="0" distL="0" distR="0">
            <wp:extent cx="21412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rsidR="00CF0F9D" w:rsidRPr="00A544A8" w:rsidRDefault="00CF0F9D" w:rsidP="00F07170">
      <w:pPr>
        <w:ind w:left="4508" w:hanging="539"/>
        <w:rPr>
          <w:rFonts w:ascii="Sylfaen" w:hAnsi="Sylfaen" w:cs="Arial"/>
          <w:color w:val="000000"/>
        </w:rPr>
      </w:pPr>
      <w:r>
        <w:rPr>
          <w:rFonts w:ascii="Sylfaen" w:hAnsi="Sylfaen" w:cs="Arial"/>
          <w:b/>
        </w:rPr>
        <w:t xml:space="preserve">                                               12 July 2018</w:t>
      </w:r>
    </w:p>
    <w:sectPr w:rsidR="00CF0F9D" w:rsidRPr="00A544A8"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E80" w:rsidRDefault="00AF5E80">
      <w:r>
        <w:separator/>
      </w:r>
    </w:p>
  </w:endnote>
  <w:endnote w:type="continuationSeparator" w:id="0">
    <w:p w:rsidR="00AF5E80" w:rsidRDefault="00AF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0635E6">
      <w:rPr>
        <w:rStyle w:val="PageNumber"/>
        <w:rFonts w:ascii="Sylfaen" w:hAnsi="Sylfaen" w:cs="Arial"/>
        <w:noProof/>
        <w:sz w:val="22"/>
        <w:szCs w:val="22"/>
      </w:rPr>
      <w:t>3</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96623B" w:rsidRDefault="0096623B" w:rsidP="00090CF9">
    <w:pPr>
      <w:jc w:val="center"/>
      <w:rPr>
        <w:rFonts w:ascii="Sylfaen" w:hAnsi="Sylfaen" w:cs="Arial"/>
        <w:i/>
        <w:spacing w:val="-6"/>
        <w:sz w:val="22"/>
        <w:szCs w:val="22"/>
      </w:rPr>
    </w:pPr>
  </w:p>
  <w:p w:rsidR="00374981" w:rsidRPr="00686C0C" w:rsidRDefault="00374981" w:rsidP="00090CF9">
    <w:pPr>
      <w:jc w:val="center"/>
      <w:rPr>
        <w:rFonts w:ascii="Sylfaen" w:hAnsi="Sylfaen" w:cs="Arial"/>
        <w:i/>
        <w:sz w:val="22"/>
        <w:szCs w:val="22"/>
      </w:rPr>
    </w:pPr>
    <w:r w:rsidRPr="00686C0C">
      <w:rPr>
        <w:rFonts w:ascii="Sylfaen" w:hAnsi="Sylfaen" w:cs="Arial"/>
        <w:i/>
        <w:spacing w:val="-6"/>
        <w:sz w:val="22"/>
        <w:szCs w:val="22"/>
      </w:rPr>
      <w:t>©</w:t>
    </w:r>
    <w:r w:rsidRPr="00686C0C">
      <w:rPr>
        <w:rFonts w:ascii="Sylfaen" w:hAnsi="Sylfaen" w:cs="Arial"/>
        <w:i/>
        <w:sz w:val="22"/>
        <w:szCs w:val="22"/>
      </w:rPr>
      <w:t xml:space="preserve"> CROWN COPYRIGHT 201</w:t>
    </w:r>
    <w:r w:rsidR="00057E2B">
      <w:rPr>
        <w:rFonts w:ascii="Sylfaen" w:hAnsi="Sylfaen" w:cs="Arial"/>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E80" w:rsidRDefault="00AF5E80">
      <w:r>
        <w:separator/>
      </w:r>
    </w:p>
  </w:footnote>
  <w:footnote w:type="continuationSeparator" w:id="0">
    <w:p w:rsidR="00AF5E80" w:rsidRDefault="00AF5E80">
      <w:r>
        <w:continuationSeparator/>
      </w:r>
    </w:p>
  </w:footnote>
  <w:footnote w:id="1">
    <w:p w:rsidR="00E54899" w:rsidRDefault="00E54899" w:rsidP="00E54899">
      <w:pPr>
        <w:pStyle w:val="pedal2"/>
      </w:pPr>
      <w:r>
        <w:rPr>
          <w:rStyle w:val="FootnoteReference"/>
        </w:rPr>
        <w:footnoteRef/>
      </w:r>
      <w:r>
        <w:t xml:space="preserve"> </w:t>
      </w:r>
      <w:r>
        <w:tab/>
        <w:t xml:space="preserve">Anyone interested can refer to my explanation in </w:t>
      </w:r>
      <w:r w:rsidRPr="00E54899">
        <w:rPr>
          <w:i/>
        </w:rPr>
        <w:t>Nawaz</w:t>
      </w:r>
      <w:r w:rsidRPr="00E54899">
        <w:t xml:space="preserve"> [2017] UKUT 288 (IAC)</w:t>
      </w:r>
      <w:r>
        <w:t>, and the unreported decision attached to the .pdf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23B" w:rsidRPr="0096623B" w:rsidRDefault="0096623B" w:rsidP="0096623B">
    <w:pPr>
      <w:tabs>
        <w:tab w:val="right" w:pos="9781"/>
      </w:tabs>
      <w:ind w:right="-143"/>
      <w:jc w:val="right"/>
      <w:rPr>
        <w:rFonts w:ascii="Sylfaen" w:hAnsi="Sylfaen" w:cs="Arial"/>
        <w:color w:val="000000"/>
        <w:sz w:val="20"/>
        <w:szCs w:val="20"/>
      </w:rPr>
    </w:pPr>
    <w:r w:rsidRPr="0096623B">
      <w:rPr>
        <w:rFonts w:ascii="Sylfaen" w:hAnsi="Sylfaen" w:cs="Arial"/>
        <w:color w:val="000000"/>
        <w:sz w:val="20"/>
        <w:szCs w:val="20"/>
      </w:rPr>
      <w:t xml:space="preserve">Appeal </w:t>
    </w:r>
    <w:proofErr w:type="spellStart"/>
    <w:r w:rsidRPr="0096623B">
      <w:rPr>
        <w:rFonts w:ascii="Sylfaen" w:hAnsi="Sylfaen" w:cs="Arial"/>
        <w:color w:val="000000"/>
        <w:sz w:val="20"/>
        <w:szCs w:val="20"/>
      </w:rPr>
      <w:t>nos</w:t>
    </w:r>
    <w:proofErr w:type="spellEnd"/>
    <w:r w:rsidRPr="0096623B">
      <w:rPr>
        <w:rFonts w:ascii="Sylfaen" w:hAnsi="Sylfaen" w:cs="Arial"/>
        <w:color w:val="000000"/>
        <w:sz w:val="20"/>
        <w:szCs w:val="20"/>
      </w:rPr>
      <w:t xml:space="preserve">: </w:t>
    </w:r>
    <w:r w:rsidRPr="0096623B">
      <w:rPr>
        <w:rFonts w:ascii="Sylfaen" w:hAnsi="Sylfaen" w:cs="Arial"/>
        <w:caps/>
        <w:color w:val="000000"/>
        <w:sz w:val="20"/>
        <w:szCs w:val="20"/>
      </w:rPr>
      <w:t>HU208352016</w:t>
    </w:r>
  </w:p>
  <w:p w:rsidR="0096623B" w:rsidRPr="0096623B" w:rsidRDefault="0096623B" w:rsidP="0096623B">
    <w:pPr>
      <w:ind w:right="-143"/>
      <w:jc w:val="right"/>
      <w:rPr>
        <w:rFonts w:ascii="Sylfaen" w:hAnsi="Sylfaen" w:cs="Arial"/>
        <w:caps/>
        <w:color w:val="000000"/>
        <w:sz w:val="20"/>
        <w:szCs w:val="20"/>
      </w:rPr>
    </w:pPr>
    <w:r w:rsidRPr="0096623B">
      <w:rPr>
        <w:rFonts w:ascii="Sylfaen" w:hAnsi="Sylfaen" w:cs="Arial"/>
        <w:caps/>
        <w:color w:val="000000"/>
        <w:sz w:val="20"/>
        <w:szCs w:val="20"/>
      </w:rPr>
      <w:t>HU208392016</w:t>
    </w:r>
  </w:p>
  <w:p w:rsidR="0096623B" w:rsidRPr="0096623B" w:rsidRDefault="0096623B" w:rsidP="0096623B">
    <w:pPr>
      <w:ind w:right="-143"/>
      <w:jc w:val="right"/>
      <w:rPr>
        <w:rFonts w:ascii="Sylfaen" w:hAnsi="Sylfaen" w:cs="Arial"/>
        <w:color w:val="000000"/>
        <w:sz w:val="20"/>
        <w:szCs w:val="20"/>
      </w:rPr>
    </w:pPr>
    <w:r w:rsidRPr="0096623B">
      <w:rPr>
        <w:rFonts w:ascii="Sylfaen" w:hAnsi="Sylfaen" w:cs="Arial"/>
        <w:caps/>
        <w:color w:val="000000"/>
        <w:sz w:val="20"/>
        <w:szCs w:val="20"/>
      </w:rPr>
      <w:t>HU208432016</w:t>
    </w:r>
  </w:p>
  <w:p w:rsidR="0096623B" w:rsidRPr="0096623B" w:rsidRDefault="0096623B" w:rsidP="0096623B">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441A2A78"/>
    <w:lvl w:ilvl="0" w:tplc="0542F5A8">
      <w:start w:val="2"/>
      <w:numFmt w:val="decimal"/>
      <w:lvlText w:val="%1."/>
      <w:lvlJc w:val="left"/>
      <w:pPr>
        <w:tabs>
          <w:tab w:val="num" w:pos="757"/>
        </w:tabs>
        <w:ind w:left="757" w:hanging="397"/>
      </w:pPr>
      <w:rPr>
        <w:rFonts w:ascii="Sylfaen" w:hAnsi="Sylfaen" w:hint="default"/>
        <w:b/>
        <w:i w:val="0"/>
        <w:sz w:val="24"/>
        <w:szCs w:val="24"/>
      </w:rPr>
    </w:lvl>
    <w:lvl w:ilvl="1" w:tplc="AB508754">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0E"/>
    <w:rsid w:val="00000621"/>
    <w:rsid w:val="000036C2"/>
    <w:rsid w:val="00033D3D"/>
    <w:rsid w:val="00057601"/>
    <w:rsid w:val="00057E2B"/>
    <w:rsid w:val="00062F02"/>
    <w:rsid w:val="000635E6"/>
    <w:rsid w:val="00071A7E"/>
    <w:rsid w:val="000746C0"/>
    <w:rsid w:val="00074D1D"/>
    <w:rsid w:val="000857AF"/>
    <w:rsid w:val="00090CF9"/>
    <w:rsid w:val="00092580"/>
    <w:rsid w:val="00093D4D"/>
    <w:rsid w:val="000A1210"/>
    <w:rsid w:val="000B2183"/>
    <w:rsid w:val="000D5D94"/>
    <w:rsid w:val="000D7B63"/>
    <w:rsid w:val="000F1A0E"/>
    <w:rsid w:val="00102EBC"/>
    <w:rsid w:val="001165A7"/>
    <w:rsid w:val="00117FD8"/>
    <w:rsid w:val="001401BB"/>
    <w:rsid w:val="001435AF"/>
    <w:rsid w:val="00167D3A"/>
    <w:rsid w:val="00194E6E"/>
    <w:rsid w:val="001A3082"/>
    <w:rsid w:val="001A5D86"/>
    <w:rsid w:val="001B0B8A"/>
    <w:rsid w:val="001B186A"/>
    <w:rsid w:val="001B2F75"/>
    <w:rsid w:val="001E6DE8"/>
    <w:rsid w:val="001F114E"/>
    <w:rsid w:val="001F2716"/>
    <w:rsid w:val="00206F6B"/>
    <w:rsid w:val="00207617"/>
    <w:rsid w:val="0023134B"/>
    <w:rsid w:val="0026015E"/>
    <w:rsid w:val="002667BE"/>
    <w:rsid w:val="00270E13"/>
    <w:rsid w:val="00283659"/>
    <w:rsid w:val="002B5149"/>
    <w:rsid w:val="002C6BD4"/>
    <w:rsid w:val="002D68BF"/>
    <w:rsid w:val="002F6B98"/>
    <w:rsid w:val="00310B90"/>
    <w:rsid w:val="00336CBF"/>
    <w:rsid w:val="00343FE3"/>
    <w:rsid w:val="003546C8"/>
    <w:rsid w:val="00374981"/>
    <w:rsid w:val="003860CF"/>
    <w:rsid w:val="003A3DA7"/>
    <w:rsid w:val="003A7CF2"/>
    <w:rsid w:val="003C5CE5"/>
    <w:rsid w:val="003E267B"/>
    <w:rsid w:val="003E5773"/>
    <w:rsid w:val="003E7CD1"/>
    <w:rsid w:val="003F2E3F"/>
    <w:rsid w:val="003F4633"/>
    <w:rsid w:val="00402B9E"/>
    <w:rsid w:val="004030D9"/>
    <w:rsid w:val="00420643"/>
    <w:rsid w:val="004249CB"/>
    <w:rsid w:val="0044127D"/>
    <w:rsid w:val="004448DB"/>
    <w:rsid w:val="00446C9A"/>
    <w:rsid w:val="00452F2B"/>
    <w:rsid w:val="004617F0"/>
    <w:rsid w:val="00473EEA"/>
    <w:rsid w:val="00477193"/>
    <w:rsid w:val="00480D87"/>
    <w:rsid w:val="004A1848"/>
    <w:rsid w:val="004A6F4A"/>
    <w:rsid w:val="004C5C63"/>
    <w:rsid w:val="004E4717"/>
    <w:rsid w:val="005035E7"/>
    <w:rsid w:val="00507FEC"/>
    <w:rsid w:val="00510F0E"/>
    <w:rsid w:val="00531929"/>
    <w:rsid w:val="005479E1"/>
    <w:rsid w:val="00553E0A"/>
    <w:rsid w:val="005570FD"/>
    <w:rsid w:val="005575EA"/>
    <w:rsid w:val="00574E42"/>
    <w:rsid w:val="0057790C"/>
    <w:rsid w:val="005829AB"/>
    <w:rsid w:val="00587655"/>
    <w:rsid w:val="00593795"/>
    <w:rsid w:val="00593821"/>
    <w:rsid w:val="00597008"/>
    <w:rsid w:val="005A549B"/>
    <w:rsid w:val="005A75FF"/>
    <w:rsid w:val="005D10AB"/>
    <w:rsid w:val="005D721A"/>
    <w:rsid w:val="005F1F19"/>
    <w:rsid w:val="00601D8F"/>
    <w:rsid w:val="00611011"/>
    <w:rsid w:val="00653E97"/>
    <w:rsid w:val="00655341"/>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6623B"/>
    <w:rsid w:val="009722BC"/>
    <w:rsid w:val="009727A3"/>
    <w:rsid w:val="00977EB3"/>
    <w:rsid w:val="00987774"/>
    <w:rsid w:val="00996FBB"/>
    <w:rsid w:val="009A11E8"/>
    <w:rsid w:val="009C5F92"/>
    <w:rsid w:val="009E30EE"/>
    <w:rsid w:val="009F3381"/>
    <w:rsid w:val="009F5220"/>
    <w:rsid w:val="00A11F19"/>
    <w:rsid w:val="00A15234"/>
    <w:rsid w:val="00A201AB"/>
    <w:rsid w:val="00A240AA"/>
    <w:rsid w:val="00A253BF"/>
    <w:rsid w:val="00A31C8B"/>
    <w:rsid w:val="00A47875"/>
    <w:rsid w:val="00A509FA"/>
    <w:rsid w:val="00A544A8"/>
    <w:rsid w:val="00A845DC"/>
    <w:rsid w:val="00A8721C"/>
    <w:rsid w:val="00AA79B4"/>
    <w:rsid w:val="00AE226C"/>
    <w:rsid w:val="00AF5E80"/>
    <w:rsid w:val="00B20636"/>
    <w:rsid w:val="00B26AA2"/>
    <w:rsid w:val="00B3524D"/>
    <w:rsid w:val="00B40F69"/>
    <w:rsid w:val="00B46616"/>
    <w:rsid w:val="00B4760E"/>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B6E35"/>
    <w:rsid w:val="00CC0CC9"/>
    <w:rsid w:val="00CE1A46"/>
    <w:rsid w:val="00CF0F9D"/>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DF55B6"/>
    <w:rsid w:val="00E00A0A"/>
    <w:rsid w:val="00E024EB"/>
    <w:rsid w:val="00E066DE"/>
    <w:rsid w:val="00E07F57"/>
    <w:rsid w:val="00E30683"/>
    <w:rsid w:val="00E418CE"/>
    <w:rsid w:val="00E453D8"/>
    <w:rsid w:val="00E50BCE"/>
    <w:rsid w:val="00E54899"/>
    <w:rsid w:val="00E574BF"/>
    <w:rsid w:val="00E61292"/>
    <w:rsid w:val="00E74B5A"/>
    <w:rsid w:val="00E77294"/>
    <w:rsid w:val="00E77C4D"/>
    <w:rsid w:val="00E80AD9"/>
    <w:rsid w:val="00E81D01"/>
    <w:rsid w:val="00E862ED"/>
    <w:rsid w:val="00EE43F3"/>
    <w:rsid w:val="00EE45D8"/>
    <w:rsid w:val="00F07170"/>
    <w:rsid w:val="00F118C6"/>
    <w:rsid w:val="00F22EDA"/>
    <w:rsid w:val="00F334A5"/>
    <w:rsid w:val="00F419FD"/>
    <w:rsid w:val="00F556F2"/>
    <w:rsid w:val="00F658AB"/>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o:shapelayout v:ext="edit">
      <o:idmap v:ext="edit" data="1"/>
    </o:shapelayout>
  </w:shapeDefaults>
  <w:decimalSymbol w:val="."/>
  <w:listSeparator w:val=","/>
  <w14:docId w14:val="73F330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styleId="FollowedHyperlink">
    <w:name w:val="FollowedHyperlink"/>
    <w:rsid w:val="00F334A5"/>
    <w:rPr>
      <w:color w:val="800080"/>
      <w:u w:val="single"/>
    </w:rPr>
  </w:style>
  <w:style w:type="character" w:styleId="FootnoteReference">
    <w:name w:val="footnote reference"/>
    <w:semiHidden/>
    <w:rsid w:val="00E548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UT/IAC/2016/229.html&amp;query=%28title:%28+qadir+%29%2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format.cgi?doc=/uk/cases/UKUT/IAC/2017/288.html&amp;query=(title:(+nawa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4277</Characters>
  <Application>Microsoft Office Word</Application>
  <DocSecurity>0</DocSecurity>
  <Lines>35</Lines>
  <Paragraphs>10</Paragraphs>
  <ScaleCrop>false</ScaleCrop>
  <Company/>
  <LinksUpToDate>false</LinksUpToDate>
  <CharactersWithSpaces>5080</CharactersWithSpaces>
  <SharedDoc>false</SharedDoc>
  <HLinks>
    <vt:vector size="12" baseType="variant">
      <vt:variant>
        <vt:i4>1572951</vt:i4>
      </vt:variant>
      <vt:variant>
        <vt:i4>14</vt:i4>
      </vt:variant>
      <vt:variant>
        <vt:i4>0</vt:i4>
      </vt:variant>
      <vt:variant>
        <vt:i4>5</vt:i4>
      </vt:variant>
      <vt:variant>
        <vt:lpwstr>http://www.bailii.org/cgi-bin/format.cgi?doc=/uk/cases/UKUT/IAC/2017/288.html&amp;query=(title:(+nawaz+))</vt:lpwstr>
      </vt:variant>
      <vt:variant>
        <vt:lpwstr/>
      </vt:variant>
      <vt:variant>
        <vt:i4>1835077</vt:i4>
      </vt:variant>
      <vt:variant>
        <vt:i4>11</vt:i4>
      </vt:variant>
      <vt:variant>
        <vt:i4>0</vt:i4>
      </vt:variant>
      <vt:variant>
        <vt:i4>5</vt:i4>
      </vt:variant>
      <vt:variant>
        <vt:lpwstr>http://www.bailii.org/cgi-bin/format.cgi?doc=/uk/cases/UKUT/IAC/2016/229.html&amp;query=%28title:%28+qadir+%29%29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2018-08-02T11:31:00Z</dcterms:created>
  <dcterms:modified xsi:type="dcterms:W3CDTF">2018-08-02T11:31:00Z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