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2BD" w:rsidRPr="007417DB" w:rsidRDefault="00D02247" w:rsidP="00C321B5">
      <w:pPr>
        <w:jc w:val="center"/>
        <w:rPr>
          <w:rFonts w:ascii="Book Antiqua" w:hAnsi="Book Antiqua" w:cs="Arial"/>
          <w:sz w:val="16"/>
          <w:szCs w:val="16"/>
        </w:rPr>
      </w:pPr>
      <w:r>
        <w:rPr>
          <w:noProof/>
          <w:lang w:val="en-US" w:eastAsia="en-US"/>
        </w:rPr>
        <w:drawing>
          <wp:inline distT="0" distB="0" distL="0" distR="0">
            <wp:extent cx="1180800" cy="103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0800" cy="1036800"/>
                    </a:xfrm>
                    <a:prstGeom prst="rect">
                      <a:avLst/>
                    </a:prstGeom>
                    <a:noFill/>
                    <a:ln>
                      <a:noFill/>
                    </a:ln>
                  </pic:spPr>
                </pic:pic>
              </a:graphicData>
            </a:graphic>
          </wp:inline>
        </w:drawing>
      </w:r>
    </w:p>
    <w:p w:rsidR="005512BD" w:rsidRPr="007417DB" w:rsidRDefault="005512BD" w:rsidP="00B626FA">
      <w:pPr>
        <w:tabs>
          <w:tab w:val="right" w:pos="9639"/>
        </w:tabs>
        <w:rPr>
          <w:rFonts w:ascii="Book Antiqua" w:hAnsi="Book Antiqua" w:cs="Arial"/>
          <w:b/>
        </w:rPr>
      </w:pPr>
      <w:r w:rsidRPr="007417DB">
        <w:rPr>
          <w:rFonts w:ascii="Book Antiqua" w:hAnsi="Book Antiqua" w:cs="Arial"/>
          <w:b/>
        </w:rPr>
        <w:t xml:space="preserve">Upper Tribunal </w:t>
      </w:r>
    </w:p>
    <w:p w:rsidR="005512BD" w:rsidRPr="00C5425A" w:rsidRDefault="005512BD" w:rsidP="00B626FA">
      <w:pPr>
        <w:tabs>
          <w:tab w:val="right" w:pos="9639"/>
        </w:tabs>
        <w:rPr>
          <w:rFonts w:ascii="Book Antiqua" w:hAnsi="Book Antiqua" w:cs="Arial"/>
          <w:b/>
        </w:rPr>
      </w:pPr>
      <w:r w:rsidRPr="007417DB">
        <w:rPr>
          <w:rFonts w:ascii="Book Antiqua" w:hAnsi="Book Antiqua" w:cs="Arial"/>
          <w:b/>
        </w:rPr>
        <w:t>(</w:t>
      </w:r>
      <w:r w:rsidR="00C5425A">
        <w:rPr>
          <w:rFonts w:ascii="Book Antiqua" w:hAnsi="Book Antiqua" w:cs="Arial"/>
          <w:b/>
        </w:rPr>
        <w:t xml:space="preserve">Immigration and Asylum </w:t>
      </w:r>
      <w:proofErr w:type="gramStart"/>
      <w:r w:rsidR="00C5425A">
        <w:rPr>
          <w:rFonts w:ascii="Book Antiqua" w:hAnsi="Book Antiqua" w:cs="Arial"/>
          <w:b/>
        </w:rPr>
        <w:t xml:space="preserve">Chamber)   </w:t>
      </w:r>
      <w:proofErr w:type="gramEnd"/>
      <w:r w:rsidR="00C5425A">
        <w:rPr>
          <w:rFonts w:ascii="Book Antiqua" w:hAnsi="Book Antiqua" w:cs="Arial"/>
          <w:b/>
        </w:rPr>
        <w:t xml:space="preserve">                 </w:t>
      </w:r>
      <w:r w:rsidRPr="00C5425A">
        <w:rPr>
          <w:rFonts w:ascii="Book Antiqua" w:hAnsi="Book Antiqua" w:cs="Arial"/>
          <w:b/>
        </w:rPr>
        <w:t xml:space="preserve">Appeal Number: </w:t>
      </w:r>
      <w:r w:rsidRPr="00C5425A">
        <w:rPr>
          <w:rFonts w:ascii="Book Antiqua" w:hAnsi="Book Antiqua" w:cs="Arial"/>
          <w:b/>
          <w:caps/>
        </w:rPr>
        <w:t xml:space="preserve">HU/20854/2016  </w:t>
      </w:r>
    </w:p>
    <w:p w:rsidR="005512BD" w:rsidRPr="00C5425A" w:rsidRDefault="005512BD" w:rsidP="00C345E1">
      <w:pPr>
        <w:jc w:val="center"/>
        <w:rPr>
          <w:rFonts w:ascii="Book Antiqua" w:hAnsi="Book Antiqua" w:cs="Arial"/>
          <w:b/>
        </w:rPr>
      </w:pPr>
    </w:p>
    <w:p w:rsidR="005512BD" w:rsidRPr="007417DB" w:rsidRDefault="005512BD" w:rsidP="00C345E1">
      <w:pPr>
        <w:jc w:val="center"/>
        <w:rPr>
          <w:rFonts w:ascii="Book Antiqua" w:hAnsi="Book Antiqua" w:cs="Arial"/>
          <w:b/>
          <w:u w:val="single"/>
        </w:rPr>
      </w:pPr>
      <w:r w:rsidRPr="007417DB">
        <w:rPr>
          <w:rFonts w:ascii="Book Antiqua" w:hAnsi="Book Antiqua" w:cs="Arial"/>
          <w:b/>
          <w:u w:val="single"/>
        </w:rPr>
        <w:t>THE IMMIGRATION ACTS</w:t>
      </w:r>
    </w:p>
    <w:p w:rsidR="005512BD" w:rsidRPr="007417DB" w:rsidRDefault="005512BD"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5512BD" w:rsidRPr="007417DB" w:rsidTr="00C5425A">
        <w:tc>
          <w:tcPr>
            <w:tcW w:w="5103" w:type="dxa"/>
          </w:tcPr>
          <w:p w:rsidR="005512BD" w:rsidRPr="00E66658" w:rsidRDefault="005512BD" w:rsidP="00E66658">
            <w:pPr>
              <w:jc w:val="both"/>
              <w:rPr>
                <w:rFonts w:ascii="Book Antiqua" w:hAnsi="Book Antiqua" w:cs="Arial"/>
                <w:b/>
              </w:rPr>
            </w:pPr>
            <w:r w:rsidRPr="00E66658">
              <w:rPr>
                <w:rFonts w:ascii="Book Antiqua" w:hAnsi="Book Antiqua" w:cs="Arial"/>
                <w:b/>
              </w:rPr>
              <w:t xml:space="preserve">Heard at Field House </w:t>
            </w:r>
          </w:p>
        </w:tc>
        <w:tc>
          <w:tcPr>
            <w:tcW w:w="4905" w:type="dxa"/>
          </w:tcPr>
          <w:p w:rsidR="005512BD" w:rsidRPr="00E66658" w:rsidRDefault="005512BD" w:rsidP="00E66658">
            <w:pPr>
              <w:jc w:val="both"/>
              <w:rPr>
                <w:rFonts w:ascii="Book Antiqua" w:hAnsi="Book Antiqua" w:cs="Arial"/>
                <w:b/>
              </w:rPr>
            </w:pPr>
            <w:r w:rsidRPr="00E66658">
              <w:rPr>
                <w:rFonts w:ascii="Book Antiqua" w:hAnsi="Book Antiqua" w:cs="Arial"/>
                <w:b/>
              </w:rPr>
              <w:t>Decision &amp; Reasons Promulgated</w:t>
            </w:r>
          </w:p>
        </w:tc>
      </w:tr>
      <w:tr w:rsidR="005512BD" w:rsidRPr="007417DB" w:rsidTr="00C5425A">
        <w:tc>
          <w:tcPr>
            <w:tcW w:w="5103" w:type="dxa"/>
          </w:tcPr>
          <w:p w:rsidR="005512BD" w:rsidRPr="00E66658" w:rsidRDefault="005512BD" w:rsidP="00E66658">
            <w:pPr>
              <w:jc w:val="both"/>
              <w:rPr>
                <w:rFonts w:ascii="Book Antiqua" w:hAnsi="Book Antiqua" w:cs="Arial"/>
                <w:b/>
              </w:rPr>
            </w:pPr>
            <w:r w:rsidRPr="00E66658">
              <w:rPr>
                <w:rFonts w:ascii="Book Antiqua" w:hAnsi="Book Antiqua" w:cs="Arial"/>
                <w:b/>
              </w:rPr>
              <w:t>On 2</w:t>
            </w:r>
            <w:r w:rsidRPr="00E66658">
              <w:rPr>
                <w:rFonts w:ascii="Book Antiqua" w:hAnsi="Book Antiqua" w:cs="Arial"/>
                <w:b/>
                <w:vertAlign w:val="superscript"/>
              </w:rPr>
              <w:t>nd</w:t>
            </w:r>
            <w:r w:rsidRPr="00E66658">
              <w:rPr>
                <w:rFonts w:ascii="Book Antiqua" w:hAnsi="Book Antiqua" w:cs="Arial"/>
                <w:b/>
              </w:rPr>
              <w:t xml:space="preserve"> August 2018 </w:t>
            </w:r>
          </w:p>
        </w:tc>
        <w:tc>
          <w:tcPr>
            <w:tcW w:w="4905" w:type="dxa"/>
          </w:tcPr>
          <w:p w:rsidR="005512BD" w:rsidRPr="00E66658" w:rsidRDefault="00D02247" w:rsidP="00E66658">
            <w:pPr>
              <w:jc w:val="both"/>
              <w:rPr>
                <w:rFonts w:ascii="Book Antiqua" w:hAnsi="Book Antiqua" w:cs="Arial"/>
                <w:b/>
              </w:rPr>
            </w:pPr>
            <w:r>
              <w:rPr>
                <w:rFonts w:ascii="Book Antiqua" w:hAnsi="Book Antiqua" w:cs="Arial"/>
                <w:b/>
              </w:rPr>
              <w:t>On 28</w:t>
            </w:r>
            <w:r w:rsidRPr="00D02247">
              <w:rPr>
                <w:rFonts w:ascii="Book Antiqua" w:hAnsi="Book Antiqua" w:cs="Arial"/>
                <w:b/>
                <w:vertAlign w:val="superscript"/>
              </w:rPr>
              <w:t>th</w:t>
            </w:r>
            <w:r>
              <w:rPr>
                <w:rFonts w:ascii="Book Antiqua" w:hAnsi="Book Antiqua" w:cs="Arial"/>
                <w:b/>
              </w:rPr>
              <w:t xml:space="preserve"> August 2018</w:t>
            </w:r>
          </w:p>
        </w:tc>
      </w:tr>
      <w:tr w:rsidR="005512BD" w:rsidRPr="007417DB" w:rsidTr="00C5425A">
        <w:tc>
          <w:tcPr>
            <w:tcW w:w="5103" w:type="dxa"/>
          </w:tcPr>
          <w:p w:rsidR="005512BD" w:rsidRPr="00E66658" w:rsidRDefault="005512BD" w:rsidP="00E66658">
            <w:pPr>
              <w:jc w:val="both"/>
              <w:rPr>
                <w:rFonts w:ascii="Book Antiqua" w:hAnsi="Book Antiqua" w:cs="Arial"/>
                <w:b/>
              </w:rPr>
            </w:pPr>
          </w:p>
        </w:tc>
        <w:tc>
          <w:tcPr>
            <w:tcW w:w="4905" w:type="dxa"/>
          </w:tcPr>
          <w:p w:rsidR="005512BD" w:rsidRPr="00E66658" w:rsidRDefault="005512BD" w:rsidP="00E66658">
            <w:pPr>
              <w:jc w:val="both"/>
              <w:rPr>
                <w:rFonts w:ascii="Book Antiqua" w:hAnsi="Book Antiqua" w:cs="Arial"/>
                <w:b/>
              </w:rPr>
            </w:pPr>
          </w:p>
        </w:tc>
      </w:tr>
    </w:tbl>
    <w:p w:rsidR="005512BD" w:rsidRPr="007417DB" w:rsidRDefault="005512BD" w:rsidP="00A15234">
      <w:pPr>
        <w:jc w:val="center"/>
        <w:rPr>
          <w:rFonts w:ascii="Book Antiqua" w:hAnsi="Book Antiqua" w:cs="Arial"/>
        </w:rPr>
      </w:pPr>
    </w:p>
    <w:p w:rsidR="005512BD" w:rsidRPr="007417DB" w:rsidRDefault="005512BD" w:rsidP="00A15234">
      <w:pPr>
        <w:jc w:val="center"/>
        <w:rPr>
          <w:rFonts w:ascii="Book Antiqua" w:hAnsi="Book Antiqua" w:cs="Arial"/>
          <w:b/>
        </w:rPr>
      </w:pPr>
      <w:r w:rsidRPr="007417DB">
        <w:rPr>
          <w:rFonts w:ascii="Book Antiqua" w:hAnsi="Book Antiqua" w:cs="Arial"/>
          <w:b/>
        </w:rPr>
        <w:t>Before</w:t>
      </w:r>
    </w:p>
    <w:p w:rsidR="005512BD" w:rsidRPr="007417DB" w:rsidRDefault="005512BD" w:rsidP="00A15234">
      <w:pPr>
        <w:jc w:val="center"/>
        <w:rPr>
          <w:rFonts w:ascii="Book Antiqua" w:hAnsi="Book Antiqua" w:cs="Arial"/>
          <w:b/>
        </w:rPr>
      </w:pPr>
    </w:p>
    <w:p w:rsidR="005512BD" w:rsidRPr="007417DB" w:rsidRDefault="005512BD" w:rsidP="00A15234">
      <w:pPr>
        <w:jc w:val="center"/>
        <w:rPr>
          <w:rFonts w:ascii="Book Antiqua" w:hAnsi="Book Antiqua" w:cs="Arial"/>
          <w:b/>
        </w:rPr>
      </w:pPr>
      <w:r w:rsidRPr="007417DB">
        <w:rPr>
          <w:rFonts w:ascii="Book Antiqua" w:hAnsi="Book Antiqua" w:cs="Arial"/>
          <w:b/>
        </w:rPr>
        <w:t>DEPUTY UPPER TRIBUNAL JUDGE GRIMES</w:t>
      </w:r>
    </w:p>
    <w:p w:rsidR="005512BD" w:rsidRPr="007417DB" w:rsidRDefault="005512BD" w:rsidP="00A15234">
      <w:pPr>
        <w:jc w:val="center"/>
        <w:rPr>
          <w:rFonts w:ascii="Book Antiqua" w:hAnsi="Book Antiqua" w:cs="Arial"/>
          <w:b/>
        </w:rPr>
      </w:pPr>
    </w:p>
    <w:p w:rsidR="005512BD" w:rsidRPr="007417DB" w:rsidRDefault="005512BD" w:rsidP="00A15234">
      <w:pPr>
        <w:jc w:val="center"/>
        <w:rPr>
          <w:rFonts w:ascii="Book Antiqua" w:hAnsi="Book Antiqua" w:cs="Arial"/>
          <w:b/>
        </w:rPr>
      </w:pPr>
      <w:r w:rsidRPr="007417DB">
        <w:rPr>
          <w:rFonts w:ascii="Book Antiqua" w:hAnsi="Book Antiqua" w:cs="Arial"/>
          <w:b/>
        </w:rPr>
        <w:t>Between</w:t>
      </w:r>
    </w:p>
    <w:p w:rsidR="005512BD" w:rsidRPr="007417DB" w:rsidRDefault="005512BD" w:rsidP="00A15234">
      <w:pPr>
        <w:jc w:val="center"/>
        <w:rPr>
          <w:rFonts w:ascii="Book Antiqua" w:hAnsi="Book Antiqua" w:cs="Arial"/>
          <w:b/>
        </w:rPr>
      </w:pPr>
    </w:p>
    <w:p w:rsidR="005512BD" w:rsidRPr="007417DB" w:rsidRDefault="005512BD" w:rsidP="00742A8D">
      <w:pPr>
        <w:jc w:val="center"/>
        <w:rPr>
          <w:rFonts w:ascii="Book Antiqua" w:hAnsi="Book Antiqua" w:cs="Arial"/>
          <w:b/>
          <w:caps/>
        </w:rPr>
      </w:pPr>
      <w:r w:rsidRPr="007417DB">
        <w:rPr>
          <w:rFonts w:ascii="Book Antiqua" w:hAnsi="Book Antiqua" w:cs="Arial"/>
          <w:b/>
          <w:caps/>
          <w:noProof/>
        </w:rPr>
        <w:t xml:space="preserve">THE SECRETARY OF STATE FOR THE HOME DEPARTMENT  </w:t>
      </w:r>
    </w:p>
    <w:p w:rsidR="005512BD" w:rsidRPr="007417DB" w:rsidRDefault="005512BD" w:rsidP="00704B61">
      <w:pPr>
        <w:jc w:val="right"/>
        <w:rPr>
          <w:rFonts w:ascii="Book Antiqua" w:hAnsi="Book Antiqua" w:cs="Arial"/>
          <w:u w:val="single"/>
        </w:rPr>
      </w:pPr>
      <w:r w:rsidRPr="007417DB">
        <w:rPr>
          <w:rFonts w:ascii="Book Antiqua" w:hAnsi="Book Antiqua" w:cs="Arial"/>
          <w:u w:val="single"/>
        </w:rPr>
        <w:t>Appellant</w:t>
      </w:r>
    </w:p>
    <w:p w:rsidR="005512BD" w:rsidRPr="007417DB" w:rsidRDefault="005512BD" w:rsidP="00704B61">
      <w:pPr>
        <w:jc w:val="center"/>
        <w:rPr>
          <w:rFonts w:ascii="Book Antiqua" w:hAnsi="Book Antiqua" w:cs="Arial"/>
          <w:b/>
        </w:rPr>
      </w:pPr>
      <w:r w:rsidRPr="007417DB">
        <w:rPr>
          <w:rFonts w:ascii="Book Antiqua" w:hAnsi="Book Antiqua" w:cs="Arial"/>
          <w:b/>
        </w:rPr>
        <w:t>and</w:t>
      </w:r>
    </w:p>
    <w:p w:rsidR="005512BD" w:rsidRPr="007417DB" w:rsidRDefault="005512BD" w:rsidP="00704B61">
      <w:pPr>
        <w:jc w:val="center"/>
        <w:rPr>
          <w:rFonts w:ascii="Book Antiqua" w:hAnsi="Book Antiqua" w:cs="Arial"/>
          <w:b/>
        </w:rPr>
      </w:pPr>
    </w:p>
    <w:p w:rsidR="005512BD" w:rsidRPr="007417DB" w:rsidRDefault="005512BD" w:rsidP="00704B61">
      <w:pPr>
        <w:jc w:val="center"/>
        <w:rPr>
          <w:rFonts w:ascii="Book Antiqua" w:hAnsi="Book Antiqua" w:cs="Arial"/>
          <w:b/>
          <w:caps/>
        </w:rPr>
      </w:pPr>
      <w:r>
        <w:rPr>
          <w:rFonts w:ascii="Book Antiqua" w:hAnsi="Book Antiqua" w:cs="Arial"/>
          <w:b/>
          <w:caps/>
        </w:rPr>
        <w:t>mr Hidayat AnV</w:t>
      </w:r>
      <w:r w:rsidRPr="007417DB">
        <w:rPr>
          <w:rFonts w:ascii="Book Antiqua" w:hAnsi="Book Antiqua" w:cs="Arial"/>
          <w:b/>
          <w:caps/>
        </w:rPr>
        <w:t xml:space="preserve">arhusen Mansuri  </w:t>
      </w:r>
    </w:p>
    <w:p w:rsidR="005512BD" w:rsidRPr="00C5425A" w:rsidRDefault="005512BD" w:rsidP="00704B61">
      <w:pPr>
        <w:jc w:val="center"/>
        <w:rPr>
          <w:rFonts w:ascii="Book Antiqua" w:hAnsi="Book Antiqua" w:cs="Arial"/>
          <w:caps/>
        </w:rPr>
      </w:pPr>
      <w:r w:rsidRPr="00C5425A">
        <w:rPr>
          <w:rFonts w:ascii="Book Antiqua" w:hAnsi="Book Antiqua" w:cs="Arial"/>
          <w:caps/>
        </w:rPr>
        <w:t xml:space="preserve">(ANONYMITY DIRECTION </w:t>
      </w:r>
      <w:bookmarkStart w:id="0" w:name="Text21"/>
      <w:r w:rsidRPr="00C5425A">
        <w:rPr>
          <w:rFonts w:ascii="Book Antiqua" w:hAnsi="Book Antiqua" w:cs="Arial"/>
          <w:caps/>
          <w:noProof/>
        </w:rPr>
        <w:t>NOT MADE</w:t>
      </w:r>
      <w:bookmarkEnd w:id="0"/>
      <w:r w:rsidRPr="00C5425A">
        <w:rPr>
          <w:rFonts w:ascii="Book Antiqua" w:hAnsi="Book Antiqua" w:cs="Arial"/>
          <w:caps/>
        </w:rPr>
        <w:t xml:space="preserve">)   </w:t>
      </w:r>
    </w:p>
    <w:p w:rsidR="005512BD" w:rsidRPr="007417DB" w:rsidRDefault="005512BD" w:rsidP="00DD5071">
      <w:pPr>
        <w:jc w:val="right"/>
        <w:rPr>
          <w:rFonts w:ascii="Book Antiqua" w:hAnsi="Book Antiqua" w:cs="Arial"/>
          <w:u w:val="single"/>
        </w:rPr>
      </w:pPr>
      <w:r w:rsidRPr="007417DB">
        <w:rPr>
          <w:rFonts w:ascii="Book Antiqua" w:hAnsi="Book Antiqua" w:cs="Arial"/>
          <w:u w:val="single"/>
        </w:rPr>
        <w:t>Respondent</w:t>
      </w:r>
    </w:p>
    <w:p w:rsidR="005512BD" w:rsidRDefault="005512BD" w:rsidP="00DD5071">
      <w:pPr>
        <w:rPr>
          <w:rFonts w:ascii="Book Antiqua" w:hAnsi="Book Antiqua" w:cs="Arial"/>
          <w:u w:val="single"/>
        </w:rPr>
      </w:pPr>
    </w:p>
    <w:p w:rsidR="005512BD" w:rsidRDefault="005512BD" w:rsidP="00DD5071">
      <w:pPr>
        <w:rPr>
          <w:rFonts w:ascii="Book Antiqua" w:hAnsi="Book Antiqua" w:cs="Arial"/>
          <w:b/>
        </w:rPr>
      </w:pPr>
      <w:r w:rsidRPr="007417DB">
        <w:rPr>
          <w:rFonts w:ascii="Book Antiqua" w:hAnsi="Book Antiqua" w:cs="Arial"/>
          <w:b/>
          <w:u w:val="single"/>
        </w:rPr>
        <w:t>Representation</w:t>
      </w:r>
      <w:r w:rsidRPr="007417DB">
        <w:rPr>
          <w:rFonts w:ascii="Book Antiqua" w:hAnsi="Book Antiqua" w:cs="Arial"/>
          <w:b/>
        </w:rPr>
        <w:t>:</w:t>
      </w:r>
    </w:p>
    <w:p w:rsidR="00C5425A" w:rsidRPr="007417DB" w:rsidRDefault="00C5425A" w:rsidP="00DD5071">
      <w:pPr>
        <w:rPr>
          <w:rFonts w:ascii="Book Antiqua" w:hAnsi="Book Antiqua" w:cs="Arial"/>
        </w:rPr>
      </w:pPr>
    </w:p>
    <w:p w:rsidR="005512BD" w:rsidRPr="007417DB" w:rsidRDefault="005512BD" w:rsidP="00DE7DB7">
      <w:pPr>
        <w:tabs>
          <w:tab w:val="left" w:pos="2520"/>
        </w:tabs>
        <w:rPr>
          <w:rFonts w:ascii="Book Antiqua" w:hAnsi="Book Antiqua" w:cs="Arial"/>
        </w:rPr>
      </w:pPr>
      <w:r w:rsidRPr="007417DB">
        <w:rPr>
          <w:rFonts w:ascii="Book Antiqua" w:hAnsi="Book Antiqua" w:cs="Arial"/>
        </w:rPr>
        <w:t>For the Appellant:</w:t>
      </w:r>
      <w:r w:rsidRPr="007417DB">
        <w:rPr>
          <w:rFonts w:ascii="Book Antiqua" w:hAnsi="Book Antiqua" w:cs="Arial"/>
        </w:rPr>
        <w:tab/>
        <w:t xml:space="preserve">Mr C Bates, Senior Home Office Presenting Officer  </w:t>
      </w:r>
    </w:p>
    <w:p w:rsidR="005512BD" w:rsidRPr="007417DB" w:rsidRDefault="005512BD" w:rsidP="00DE7DB7">
      <w:pPr>
        <w:tabs>
          <w:tab w:val="left" w:pos="2520"/>
        </w:tabs>
        <w:rPr>
          <w:rFonts w:ascii="Book Antiqua" w:hAnsi="Book Antiqua" w:cs="Arial"/>
        </w:rPr>
      </w:pPr>
      <w:r w:rsidRPr="007417DB">
        <w:rPr>
          <w:rFonts w:ascii="Book Antiqua" w:hAnsi="Book Antiqua" w:cs="Arial"/>
        </w:rPr>
        <w:t>For the Respondent:</w:t>
      </w:r>
      <w:r w:rsidRPr="007417DB">
        <w:rPr>
          <w:rFonts w:ascii="Book Antiqua" w:hAnsi="Book Antiqua" w:cs="Arial"/>
        </w:rPr>
        <w:tab/>
        <w:t xml:space="preserve">Mr M Biggs, instructed by JKR Solicitors  </w:t>
      </w:r>
    </w:p>
    <w:p w:rsidR="005512BD" w:rsidRPr="007417DB" w:rsidRDefault="005512BD" w:rsidP="00402B9E">
      <w:pPr>
        <w:tabs>
          <w:tab w:val="left" w:pos="2520"/>
        </w:tabs>
        <w:jc w:val="center"/>
        <w:rPr>
          <w:rFonts w:ascii="Book Antiqua" w:hAnsi="Book Antiqua" w:cs="Arial"/>
        </w:rPr>
      </w:pPr>
    </w:p>
    <w:p w:rsidR="005512BD" w:rsidRPr="007417DB" w:rsidRDefault="005512BD" w:rsidP="00402B9E">
      <w:pPr>
        <w:tabs>
          <w:tab w:val="left" w:pos="2520"/>
        </w:tabs>
        <w:jc w:val="center"/>
        <w:rPr>
          <w:rFonts w:ascii="Book Antiqua" w:hAnsi="Book Antiqua" w:cs="Arial"/>
        </w:rPr>
      </w:pPr>
    </w:p>
    <w:p w:rsidR="005512BD" w:rsidRPr="007417DB" w:rsidRDefault="005512BD" w:rsidP="00402B9E">
      <w:pPr>
        <w:tabs>
          <w:tab w:val="left" w:pos="2520"/>
        </w:tabs>
        <w:jc w:val="center"/>
        <w:rPr>
          <w:rFonts w:ascii="Book Antiqua" w:hAnsi="Book Antiqua" w:cs="Arial"/>
        </w:rPr>
      </w:pPr>
      <w:r w:rsidRPr="007417DB">
        <w:rPr>
          <w:rFonts w:ascii="Book Antiqua" w:hAnsi="Book Antiqua" w:cs="Arial"/>
          <w:b/>
          <w:u w:val="single"/>
        </w:rPr>
        <w:t xml:space="preserve">DECISION AND REASONS  </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 xml:space="preserve">Although the Appellant is the Secretary of State I refer to the parties as they were in the First-tier Tribunal.  </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The Appellant</w:t>
      </w:r>
      <w:r>
        <w:rPr>
          <w:rFonts w:ascii="Book Antiqua" w:hAnsi="Book Antiqua" w:cs="Arial"/>
        </w:rPr>
        <w:t>,</w:t>
      </w:r>
      <w:r w:rsidRPr="007417DB">
        <w:rPr>
          <w:rFonts w:ascii="Book Antiqua" w:hAnsi="Book Antiqua" w:cs="Arial"/>
        </w:rPr>
        <w:t xml:space="preserve"> a national of India</w:t>
      </w:r>
      <w:r>
        <w:rPr>
          <w:rFonts w:ascii="Book Antiqua" w:hAnsi="Book Antiqua" w:cs="Arial"/>
        </w:rPr>
        <w:t>,</w:t>
      </w:r>
      <w:r w:rsidRPr="007417DB">
        <w:rPr>
          <w:rFonts w:ascii="Book Antiqua" w:hAnsi="Book Antiqua" w:cs="Arial"/>
        </w:rPr>
        <w:t xml:space="preserve"> appealed to the First-tier Tribunal against a decision of the Secretary of State dated 14</w:t>
      </w:r>
      <w:r w:rsidRPr="007417DB">
        <w:rPr>
          <w:rFonts w:ascii="Book Antiqua" w:hAnsi="Book Antiqua" w:cs="Arial"/>
          <w:vertAlign w:val="superscript"/>
        </w:rPr>
        <w:t>th</w:t>
      </w:r>
      <w:r w:rsidRPr="007417DB">
        <w:rPr>
          <w:rFonts w:ascii="Book Antiqua" w:hAnsi="Book Antiqua" w:cs="Arial"/>
        </w:rPr>
        <w:t xml:space="preserve"> August 2014 refusing </w:t>
      </w:r>
      <w:r>
        <w:rPr>
          <w:rFonts w:ascii="Book Antiqua" w:hAnsi="Book Antiqua" w:cs="Arial"/>
        </w:rPr>
        <w:t>his</w:t>
      </w:r>
      <w:r w:rsidRPr="007417DB">
        <w:rPr>
          <w:rFonts w:ascii="Book Antiqua" w:hAnsi="Book Antiqua" w:cs="Arial"/>
        </w:rPr>
        <w:t xml:space="preserve"> application for indefinite leave to remain in the UK under paragraph 276B of the Immigration Rules on the basis of his long residence.</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First-tier Tribunal Judge Hussain allowed the appeal in a decision promulgated on 23</w:t>
      </w:r>
      <w:r w:rsidRPr="007417DB">
        <w:rPr>
          <w:rFonts w:ascii="Book Antiqua" w:hAnsi="Book Antiqua" w:cs="Arial"/>
          <w:vertAlign w:val="superscript"/>
        </w:rPr>
        <w:t>rd</w:t>
      </w:r>
      <w:r w:rsidRPr="007417DB">
        <w:rPr>
          <w:rFonts w:ascii="Book Antiqua" w:hAnsi="Book Antiqua" w:cs="Arial"/>
        </w:rPr>
        <w:t> February 2018.  The Secretary of State now appeals with permission granted by First-tier Tribunal Judge Andrew on 5</w:t>
      </w:r>
      <w:r w:rsidRPr="007417DB">
        <w:rPr>
          <w:rFonts w:ascii="Book Antiqua" w:hAnsi="Book Antiqua" w:cs="Arial"/>
          <w:vertAlign w:val="superscript"/>
        </w:rPr>
        <w:t>th</w:t>
      </w:r>
      <w:r w:rsidRPr="007417DB">
        <w:rPr>
          <w:rFonts w:ascii="Book Antiqua" w:hAnsi="Book Antiqua" w:cs="Arial"/>
        </w:rPr>
        <w:t xml:space="preserve"> June 2018.  </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lastRenderedPageBreak/>
        <w:t>The Appellant first entered the UK on 11</w:t>
      </w:r>
      <w:r w:rsidRPr="007417DB">
        <w:rPr>
          <w:rFonts w:ascii="Book Antiqua" w:hAnsi="Book Antiqua" w:cs="Arial"/>
          <w:vertAlign w:val="superscript"/>
        </w:rPr>
        <w:t>th</w:t>
      </w:r>
      <w:r w:rsidRPr="007417DB">
        <w:rPr>
          <w:rFonts w:ascii="Book Antiqua" w:hAnsi="Book Antiqua" w:cs="Arial"/>
        </w:rPr>
        <w:t xml:space="preserve"> June 2005 with entry clearance as a student.  His leave to remain as a student was extended on a number of occasions until 28</w:t>
      </w:r>
      <w:r w:rsidRPr="007417DB">
        <w:rPr>
          <w:rFonts w:ascii="Book Antiqua" w:hAnsi="Book Antiqua" w:cs="Arial"/>
          <w:vertAlign w:val="superscript"/>
        </w:rPr>
        <w:t>th</w:t>
      </w:r>
      <w:r w:rsidRPr="007417DB">
        <w:rPr>
          <w:rFonts w:ascii="Book Antiqua" w:hAnsi="Book Antiqua" w:cs="Arial"/>
        </w:rPr>
        <w:t xml:space="preserve"> July 2013.  His application for leave to remain outside the Rules was granted until 30</w:t>
      </w:r>
      <w:r w:rsidRPr="007417DB">
        <w:rPr>
          <w:rFonts w:ascii="Book Antiqua" w:hAnsi="Book Antiqua" w:cs="Arial"/>
          <w:vertAlign w:val="superscript"/>
        </w:rPr>
        <w:t>th</w:t>
      </w:r>
      <w:r w:rsidRPr="007417DB">
        <w:rPr>
          <w:rFonts w:ascii="Book Antiqua" w:hAnsi="Book Antiqua" w:cs="Arial"/>
        </w:rPr>
        <w:t> November 2015 but his leave to remain was curtailed on 1</w:t>
      </w:r>
      <w:r w:rsidRPr="007417DB">
        <w:rPr>
          <w:rFonts w:ascii="Book Antiqua" w:hAnsi="Book Antiqua" w:cs="Arial"/>
          <w:vertAlign w:val="superscript"/>
        </w:rPr>
        <w:t>st</w:t>
      </w:r>
      <w:r w:rsidRPr="007417DB">
        <w:rPr>
          <w:rFonts w:ascii="Book Antiqua" w:hAnsi="Book Antiqua" w:cs="Arial"/>
        </w:rPr>
        <w:t xml:space="preserve"> October 2015 and he applied for indefinite leave to remain on the basis of his long residence</w:t>
      </w:r>
      <w:r w:rsidRPr="007C3B03">
        <w:rPr>
          <w:rFonts w:ascii="Book Antiqua" w:hAnsi="Book Antiqua" w:cs="Arial"/>
        </w:rPr>
        <w:t xml:space="preserve"> </w:t>
      </w:r>
      <w:r w:rsidRPr="007417DB">
        <w:rPr>
          <w:rFonts w:ascii="Book Antiqua" w:hAnsi="Book Antiqua" w:cs="Arial"/>
        </w:rPr>
        <w:t>on 26</w:t>
      </w:r>
      <w:r w:rsidRPr="007417DB">
        <w:rPr>
          <w:rFonts w:ascii="Book Antiqua" w:hAnsi="Book Antiqua" w:cs="Arial"/>
          <w:vertAlign w:val="superscript"/>
        </w:rPr>
        <w:t>th</w:t>
      </w:r>
      <w:r w:rsidRPr="007417DB">
        <w:rPr>
          <w:rFonts w:ascii="Book Antiqua" w:hAnsi="Book Antiqua" w:cs="Arial"/>
        </w:rPr>
        <w:t xml:space="preserve"> October 2015.  </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 xml:space="preserve">The Secretary of State refused </w:t>
      </w:r>
      <w:r>
        <w:rPr>
          <w:rFonts w:ascii="Book Antiqua" w:hAnsi="Book Antiqua" w:cs="Arial"/>
        </w:rPr>
        <w:t>the</w:t>
      </w:r>
      <w:r w:rsidRPr="007417DB">
        <w:rPr>
          <w:rFonts w:ascii="Book Antiqua" w:hAnsi="Book Antiqua" w:cs="Arial"/>
        </w:rPr>
        <w:t xml:space="preserve"> application under paragraph 276B(ii) and (iii)</w:t>
      </w:r>
      <w:r>
        <w:rPr>
          <w:rFonts w:ascii="Book Antiqua" w:hAnsi="Book Antiqua" w:cs="Arial"/>
        </w:rPr>
        <w:t xml:space="preserve"> of the Rules</w:t>
      </w:r>
      <w:r w:rsidRPr="007417DB">
        <w:rPr>
          <w:rFonts w:ascii="Book Antiqua" w:hAnsi="Book Antiqua" w:cs="Arial"/>
        </w:rPr>
        <w:t xml:space="preserve">.  The Secretary of State also refused the application under paragraph 322(2) and 322(1A) on the basis of </w:t>
      </w:r>
      <w:r>
        <w:rPr>
          <w:rFonts w:ascii="Book Antiqua" w:hAnsi="Book Antiqua" w:cs="Arial"/>
        </w:rPr>
        <w:t xml:space="preserve">the fact that the Appellant submitted a </w:t>
      </w:r>
      <w:r w:rsidRPr="007417DB">
        <w:rPr>
          <w:rFonts w:ascii="Book Antiqua" w:hAnsi="Book Antiqua" w:cs="Arial"/>
        </w:rPr>
        <w:t>TOEIC certificate from Educational Testing Service (ETS) with his application dated 8</w:t>
      </w:r>
      <w:r w:rsidRPr="007417DB">
        <w:rPr>
          <w:rFonts w:ascii="Book Antiqua" w:hAnsi="Book Antiqua" w:cs="Arial"/>
          <w:vertAlign w:val="superscript"/>
        </w:rPr>
        <w:t>th</w:t>
      </w:r>
      <w:r w:rsidRPr="007417DB">
        <w:rPr>
          <w:rFonts w:ascii="Book Antiqua" w:hAnsi="Book Antiqua" w:cs="Arial"/>
        </w:rPr>
        <w:t xml:space="preserve"> October 2012</w:t>
      </w:r>
      <w:r>
        <w:rPr>
          <w:rFonts w:ascii="Book Antiqua" w:hAnsi="Book Antiqua" w:cs="Arial"/>
        </w:rPr>
        <w:t xml:space="preserve"> which the Secretary of State considered had been fraudulently obtained</w:t>
      </w:r>
      <w:r w:rsidRPr="007417DB">
        <w:rPr>
          <w:rFonts w:ascii="Book Antiqua" w:hAnsi="Book Antiqua" w:cs="Arial"/>
        </w:rPr>
        <w:t xml:space="preserve">.  </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At the hearing in the First-tier Tribunal the judge noted at paragraph 8 that the Presenting Officer confirmed that</w:t>
      </w:r>
      <w:r>
        <w:rPr>
          <w:rFonts w:ascii="Book Antiqua" w:hAnsi="Book Antiqua" w:cs="Arial"/>
        </w:rPr>
        <w:t>,</w:t>
      </w:r>
      <w:r w:rsidRPr="007417DB">
        <w:rPr>
          <w:rFonts w:ascii="Book Antiqua" w:hAnsi="Book Antiqua" w:cs="Arial"/>
        </w:rPr>
        <w:t xml:space="preserve"> other than the good character requirement in the substantive Immigration Rules (paragraph 276B)</w:t>
      </w:r>
      <w:r>
        <w:rPr>
          <w:rFonts w:ascii="Book Antiqua" w:hAnsi="Book Antiqua" w:cs="Arial"/>
        </w:rPr>
        <w:t>,</w:t>
      </w:r>
      <w:r w:rsidRPr="007417DB">
        <w:rPr>
          <w:rFonts w:ascii="Book Antiqua" w:hAnsi="Book Antiqua" w:cs="Arial"/>
        </w:rPr>
        <w:t xml:space="preserve"> the Appellant satisfied all of the requirements of the Immigration Rules.</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 xml:space="preserve">The judge heard oral evidence from the Appellant. The judge reminded himself about that the evidential and legal burden is on the Respondent to justify a refusal on one or more of the general </w:t>
      </w:r>
      <w:r>
        <w:rPr>
          <w:rFonts w:ascii="Book Antiqua" w:hAnsi="Book Antiqua" w:cs="Arial"/>
        </w:rPr>
        <w:t>g</w:t>
      </w:r>
      <w:r w:rsidRPr="007417DB">
        <w:rPr>
          <w:rFonts w:ascii="Book Antiqua" w:hAnsi="Book Antiqua" w:cs="Arial"/>
        </w:rPr>
        <w:t xml:space="preserve">rounds of </w:t>
      </w:r>
      <w:r>
        <w:rPr>
          <w:rFonts w:ascii="Book Antiqua" w:hAnsi="Book Antiqua" w:cs="Arial"/>
        </w:rPr>
        <w:t>r</w:t>
      </w:r>
      <w:r w:rsidRPr="007417DB">
        <w:rPr>
          <w:rFonts w:ascii="Book Antiqua" w:hAnsi="Book Antiqua" w:cs="Arial"/>
        </w:rPr>
        <w:t>efusal</w:t>
      </w:r>
      <w:r>
        <w:rPr>
          <w:rFonts w:ascii="Book Antiqua" w:hAnsi="Book Antiqua" w:cs="Arial"/>
        </w:rPr>
        <w:t xml:space="preserve">. The judge noted that </w:t>
      </w:r>
      <w:r w:rsidRPr="007417DB">
        <w:rPr>
          <w:rFonts w:ascii="Book Antiqua" w:hAnsi="Book Antiqua" w:cs="Arial"/>
        </w:rPr>
        <w:t>it has now been held that the generic material that the Secretary of State routinely produces in ETS cases together with the “look up tool” is sufficient to discharge the evidential burden on the Secretary of State and once that is discharged it is for the Appellant to persuade the court that he did not resort to the use of a proxy tester</w:t>
      </w:r>
      <w:r>
        <w:rPr>
          <w:rFonts w:ascii="Book Antiqua" w:hAnsi="Book Antiqua" w:cs="Arial"/>
        </w:rPr>
        <w:t xml:space="preserve"> [12]</w:t>
      </w:r>
      <w:r w:rsidRPr="007417DB">
        <w:rPr>
          <w:rFonts w:ascii="Book Antiqua" w:hAnsi="Book Antiqua" w:cs="Arial"/>
        </w:rPr>
        <w:t xml:space="preserve">.  The judge considered the decision in </w:t>
      </w:r>
      <w:r w:rsidRPr="007417DB">
        <w:rPr>
          <w:rFonts w:ascii="Book Antiqua" w:hAnsi="Book Antiqua" w:cs="Arial"/>
          <w:b/>
          <w:u w:val="single"/>
        </w:rPr>
        <w:t>MA</w:t>
      </w:r>
      <w:r w:rsidRPr="007417DB">
        <w:rPr>
          <w:rFonts w:ascii="Book Antiqua" w:hAnsi="Book Antiqua" w:cs="Arial"/>
          <w:b/>
        </w:rPr>
        <w:t xml:space="preserve"> (ETS – TOEIC testing) [2016] UKUT 00450 (IAC)</w:t>
      </w:r>
      <w:r>
        <w:rPr>
          <w:rFonts w:ascii="Book Antiqua" w:hAnsi="Book Antiqua" w:cs="Arial"/>
          <w:b/>
        </w:rPr>
        <w:t xml:space="preserve"> </w:t>
      </w:r>
      <w:r>
        <w:rPr>
          <w:rFonts w:ascii="Book Antiqua" w:hAnsi="Book Antiqua" w:cs="Arial"/>
        </w:rPr>
        <w:t>[13]</w:t>
      </w:r>
      <w:r w:rsidRPr="007417DB">
        <w:rPr>
          <w:rFonts w:ascii="Book Antiqua" w:hAnsi="Book Antiqua" w:cs="Arial"/>
        </w:rPr>
        <w:t>.</w:t>
      </w:r>
    </w:p>
    <w:p w:rsidR="005512BD" w:rsidRDefault="005512BD" w:rsidP="00DC2ABF">
      <w:pPr>
        <w:numPr>
          <w:ilvl w:val="0"/>
          <w:numId w:val="3"/>
        </w:numPr>
        <w:spacing w:before="240"/>
        <w:jc w:val="both"/>
        <w:rPr>
          <w:rFonts w:ascii="Book Antiqua" w:hAnsi="Book Antiqua" w:cs="Arial"/>
        </w:rPr>
      </w:pPr>
      <w:r w:rsidRPr="007417DB">
        <w:rPr>
          <w:rFonts w:ascii="Book Antiqua" w:hAnsi="Book Antiqua" w:cs="Arial"/>
        </w:rPr>
        <w:t xml:space="preserve">The judge considered the evidence produced by the Secretary of State and the Appellant and the judge concluded that he was satisfied that the Appellant did sit the test himself and allowed the appeal.  </w:t>
      </w:r>
    </w:p>
    <w:p w:rsidR="005512BD" w:rsidRPr="00FC760C" w:rsidRDefault="005512BD" w:rsidP="00FC760C">
      <w:pPr>
        <w:spacing w:before="240"/>
        <w:jc w:val="both"/>
        <w:rPr>
          <w:rFonts w:ascii="Book Antiqua" w:hAnsi="Book Antiqua" w:cs="Arial"/>
          <w:u w:val="single"/>
        </w:rPr>
      </w:pPr>
      <w:r w:rsidRPr="00FC760C">
        <w:rPr>
          <w:rFonts w:ascii="Book Antiqua" w:hAnsi="Book Antiqua" w:cs="Arial"/>
          <w:u w:val="single"/>
        </w:rPr>
        <w:t xml:space="preserve">Grounds of appeal </w:t>
      </w:r>
    </w:p>
    <w:p w:rsidR="005512BD" w:rsidRPr="007417DB" w:rsidRDefault="005512BD" w:rsidP="00FC760C">
      <w:pPr>
        <w:numPr>
          <w:ilvl w:val="0"/>
          <w:numId w:val="3"/>
        </w:numPr>
        <w:spacing w:before="240"/>
        <w:jc w:val="both"/>
        <w:rPr>
          <w:rFonts w:ascii="Book Antiqua" w:hAnsi="Book Antiqua" w:cs="Arial"/>
        </w:rPr>
      </w:pPr>
      <w:r w:rsidRPr="007417DB">
        <w:rPr>
          <w:rFonts w:ascii="Book Antiqua" w:hAnsi="Book Antiqua" w:cs="Arial"/>
        </w:rPr>
        <w:t>The Grounds of Appeal essentially take issue with the decision of the First-tier Tribunal on three grounds.</w:t>
      </w:r>
      <w:r>
        <w:rPr>
          <w:rFonts w:ascii="Book Antiqua" w:hAnsi="Book Antiqua" w:cs="Arial"/>
        </w:rPr>
        <w:t xml:space="preserve"> </w:t>
      </w:r>
      <w:r w:rsidRPr="007417DB">
        <w:rPr>
          <w:rFonts w:ascii="Book Antiqua" w:hAnsi="Book Antiqua" w:cs="Arial"/>
        </w:rPr>
        <w:t>The first ground contends that the judge failed to adequately address whether the Appellant had offered an innocent explanation in response to the Secretary of State’s allegation that he used a proxy to take the TOEIC.</w:t>
      </w:r>
    </w:p>
    <w:p w:rsidR="005512BD" w:rsidRPr="007417DB" w:rsidRDefault="005512BD" w:rsidP="00FC760C">
      <w:pPr>
        <w:numPr>
          <w:ilvl w:val="0"/>
          <w:numId w:val="3"/>
        </w:numPr>
        <w:spacing w:before="240"/>
        <w:jc w:val="both"/>
        <w:rPr>
          <w:rFonts w:ascii="Book Antiqua" w:hAnsi="Book Antiqua" w:cs="Arial"/>
        </w:rPr>
      </w:pPr>
      <w:r>
        <w:rPr>
          <w:rFonts w:ascii="Book Antiqua" w:hAnsi="Book Antiqua" w:cs="Arial"/>
        </w:rPr>
        <w:t>It is contended in the</w:t>
      </w:r>
      <w:r w:rsidRPr="007417DB">
        <w:rPr>
          <w:rFonts w:ascii="Book Antiqua" w:hAnsi="Book Antiqua" w:cs="Arial"/>
        </w:rPr>
        <w:t xml:space="preserve"> second ground that the judge gave inadequate reasons for relying on the fact that the Appellant speaks English contrary to the guidance in </w:t>
      </w:r>
      <w:r w:rsidRPr="007417DB">
        <w:rPr>
          <w:rFonts w:ascii="Book Antiqua" w:hAnsi="Book Antiqua" w:cs="Arial"/>
          <w:b/>
          <w:u w:val="single"/>
        </w:rPr>
        <w:t>MA</w:t>
      </w:r>
      <w:r w:rsidRPr="007417DB">
        <w:rPr>
          <w:rFonts w:ascii="Book Antiqua" w:hAnsi="Book Antiqua" w:cs="Arial"/>
        </w:rPr>
        <w:t>.</w:t>
      </w:r>
      <w:r>
        <w:rPr>
          <w:rFonts w:ascii="Book Antiqua" w:hAnsi="Book Antiqua" w:cs="Arial"/>
        </w:rPr>
        <w:t xml:space="preserve"> </w:t>
      </w:r>
      <w:r w:rsidRPr="007417DB">
        <w:rPr>
          <w:rFonts w:ascii="Book Antiqua" w:hAnsi="Book Antiqua" w:cs="Arial"/>
        </w:rPr>
        <w:t>It is contended that the judge materially erred by failing to give adequate reasons for holding that a person who clearly speaks English would therefore have no reason to secure a test certificate by deception.</w:t>
      </w:r>
    </w:p>
    <w:p w:rsidR="005512BD" w:rsidRDefault="005512BD" w:rsidP="00DC2ABF">
      <w:pPr>
        <w:numPr>
          <w:ilvl w:val="0"/>
          <w:numId w:val="3"/>
        </w:numPr>
        <w:spacing w:before="240"/>
        <w:jc w:val="both"/>
        <w:rPr>
          <w:rFonts w:ascii="Book Antiqua" w:hAnsi="Book Antiqua" w:cs="Arial"/>
        </w:rPr>
      </w:pPr>
      <w:r w:rsidRPr="007417DB">
        <w:rPr>
          <w:rFonts w:ascii="Book Antiqua" w:hAnsi="Book Antiqua" w:cs="Arial"/>
        </w:rPr>
        <w:t xml:space="preserve">The third ground contends that the judge erred by failing to consider Section 117B of the Nationality, Immigration and Asylum Act 2002.  </w:t>
      </w:r>
    </w:p>
    <w:p w:rsidR="003A615B" w:rsidRDefault="003A615B" w:rsidP="00FC760C">
      <w:pPr>
        <w:spacing w:before="240"/>
        <w:jc w:val="both"/>
        <w:rPr>
          <w:rFonts w:ascii="Book Antiqua" w:hAnsi="Book Antiqua" w:cs="Arial"/>
          <w:u w:val="single"/>
        </w:rPr>
      </w:pPr>
    </w:p>
    <w:p w:rsidR="005512BD" w:rsidRPr="00FC760C" w:rsidRDefault="005512BD" w:rsidP="00FC760C">
      <w:pPr>
        <w:spacing w:before="240"/>
        <w:jc w:val="both"/>
        <w:rPr>
          <w:rFonts w:ascii="Book Antiqua" w:hAnsi="Book Antiqua" w:cs="Arial"/>
          <w:u w:val="single"/>
        </w:rPr>
      </w:pPr>
      <w:r w:rsidRPr="00FC760C">
        <w:rPr>
          <w:rFonts w:ascii="Book Antiqua" w:hAnsi="Book Antiqua" w:cs="Arial"/>
          <w:u w:val="single"/>
        </w:rPr>
        <w:lastRenderedPageBreak/>
        <w:t>Error of law</w:t>
      </w:r>
    </w:p>
    <w:p w:rsidR="005512BD" w:rsidRPr="007417DB" w:rsidRDefault="005512BD" w:rsidP="00DC2ABF">
      <w:pPr>
        <w:numPr>
          <w:ilvl w:val="0"/>
          <w:numId w:val="3"/>
        </w:numPr>
        <w:spacing w:before="240"/>
        <w:jc w:val="both"/>
        <w:rPr>
          <w:rFonts w:ascii="Book Antiqua" w:hAnsi="Book Antiqua" w:cs="Arial"/>
        </w:rPr>
      </w:pPr>
      <w:r w:rsidRPr="007417DB">
        <w:rPr>
          <w:rFonts w:ascii="Book Antiqua" w:hAnsi="Book Antiqua" w:cs="Arial"/>
        </w:rPr>
        <w:t>At the hearing before me Mr Bates accepted, on the basis that the Presenting Officer identified the issues in the appeal as recorded at paragraph 8 as being only in relation to whether the Appellant met the good character requirement of the substantive Immigration Rules, that the judge could not be criticised for failing to engage with Section 117B.</w:t>
      </w:r>
    </w:p>
    <w:p w:rsidR="005512BD" w:rsidRPr="007417DB" w:rsidRDefault="005512BD" w:rsidP="007644A2">
      <w:pPr>
        <w:numPr>
          <w:ilvl w:val="0"/>
          <w:numId w:val="3"/>
        </w:numPr>
        <w:spacing w:before="240"/>
        <w:jc w:val="both"/>
        <w:rPr>
          <w:rFonts w:ascii="Book Antiqua" w:hAnsi="Book Antiqua" w:cs="Arial"/>
        </w:rPr>
      </w:pPr>
      <w:r w:rsidRPr="007417DB">
        <w:rPr>
          <w:rFonts w:ascii="Book Antiqua" w:hAnsi="Book Antiqua" w:cs="Arial"/>
        </w:rPr>
        <w:t>I would also note that in circumstances such as these where if the Appellant could meet the only element of the Rules in dispute and therefore met the requirements of the Immigration</w:t>
      </w:r>
      <w:r>
        <w:rPr>
          <w:rFonts w:ascii="Book Antiqua" w:hAnsi="Book Antiqua" w:cs="Arial"/>
        </w:rPr>
        <w:t xml:space="preserve"> Rules,</w:t>
      </w:r>
      <w:r w:rsidRPr="007417DB">
        <w:rPr>
          <w:rFonts w:ascii="Book Antiqua" w:hAnsi="Book Antiqua" w:cs="Arial"/>
        </w:rPr>
        <w:t xml:space="preserve"> there was no additional requirement on the judge to go on to consider the public interest given that the Appellant would have met the requirements of the Rules.</w:t>
      </w:r>
      <w:r>
        <w:rPr>
          <w:rFonts w:ascii="Book Antiqua" w:hAnsi="Book Antiqua" w:cs="Arial"/>
        </w:rPr>
        <w:t xml:space="preserve"> </w:t>
      </w:r>
      <w:r w:rsidRPr="007417DB">
        <w:rPr>
          <w:rFonts w:ascii="Book Antiqua" w:hAnsi="Book Antiqua" w:cs="Arial"/>
        </w:rPr>
        <w:t xml:space="preserve">In these circumstances the judge did not err in failing to consider Section 117B.  </w:t>
      </w:r>
    </w:p>
    <w:p w:rsidR="005512BD" w:rsidRPr="007417DB" w:rsidRDefault="005512BD" w:rsidP="00B710A9">
      <w:pPr>
        <w:numPr>
          <w:ilvl w:val="0"/>
          <w:numId w:val="3"/>
        </w:numPr>
        <w:spacing w:before="240"/>
        <w:jc w:val="both"/>
        <w:rPr>
          <w:rFonts w:ascii="Book Antiqua" w:hAnsi="Book Antiqua" w:cs="Arial"/>
        </w:rPr>
      </w:pPr>
      <w:r w:rsidRPr="00D6656E">
        <w:rPr>
          <w:rFonts w:ascii="Book Antiqua" w:hAnsi="Book Antiqua"/>
        </w:rPr>
        <w:t xml:space="preserve">The procedure in appeals such as this is set out in the case of </w:t>
      </w:r>
      <w:r w:rsidRPr="00D6656E">
        <w:rPr>
          <w:rFonts w:ascii="Book Antiqua" w:hAnsi="Book Antiqua"/>
          <w:b/>
          <w:u w:val="single"/>
        </w:rPr>
        <w:t xml:space="preserve">SM and </w:t>
      </w:r>
      <w:proofErr w:type="spellStart"/>
      <w:r w:rsidRPr="00D6656E">
        <w:rPr>
          <w:rFonts w:ascii="Book Antiqua" w:hAnsi="Book Antiqua"/>
          <w:b/>
          <w:u w:val="single"/>
        </w:rPr>
        <w:t>Qadir</w:t>
      </w:r>
      <w:proofErr w:type="spellEnd"/>
      <w:r w:rsidRPr="00D6656E">
        <w:rPr>
          <w:rFonts w:ascii="Book Antiqua" w:hAnsi="Book Antiqua"/>
        </w:rPr>
        <w:t xml:space="preserve"> </w:t>
      </w:r>
      <w:r w:rsidRPr="00D6656E">
        <w:rPr>
          <w:rFonts w:ascii="Book Antiqua" w:hAnsi="Book Antiqua"/>
          <w:b/>
          <w:color w:val="000000"/>
        </w:rPr>
        <w:t>(ETS - Evidence - Burden of Proof) [2016] UKUT 229 (IAC)</w:t>
      </w:r>
      <w:r>
        <w:rPr>
          <w:rFonts w:ascii="Book Antiqua" w:hAnsi="Book Antiqua"/>
          <w:b/>
          <w:color w:val="000000"/>
        </w:rPr>
        <w:t xml:space="preserve"> </w:t>
      </w:r>
      <w:r>
        <w:rPr>
          <w:rFonts w:ascii="Book Antiqua" w:hAnsi="Book Antiqua"/>
          <w:color w:val="000000"/>
        </w:rPr>
        <w:t xml:space="preserve">where the Tribunal set out how the </w:t>
      </w:r>
      <w:r w:rsidRPr="005415F8">
        <w:rPr>
          <w:rFonts w:ascii="Book Antiqua" w:hAnsi="Book Antiqua" w:cs="Arial"/>
        </w:rPr>
        <w:t xml:space="preserve">evidential burden </w:t>
      </w:r>
      <w:r>
        <w:rPr>
          <w:rFonts w:ascii="Book Antiqua" w:hAnsi="Book Antiqua" w:cs="Arial"/>
        </w:rPr>
        <w:t>is</w:t>
      </w:r>
      <w:r w:rsidRPr="005415F8">
        <w:rPr>
          <w:rFonts w:ascii="Book Antiqua" w:hAnsi="Book Antiqua" w:cs="Arial"/>
        </w:rPr>
        <w:t xml:space="preserve"> on the Secretary of State </w:t>
      </w:r>
      <w:r>
        <w:rPr>
          <w:rFonts w:ascii="Book Antiqua" w:hAnsi="Book Antiqua" w:cs="Arial"/>
        </w:rPr>
        <w:t>to establish</w:t>
      </w:r>
      <w:r w:rsidRPr="008914B1">
        <w:rPr>
          <w:rFonts w:ascii="Book Antiqua" w:hAnsi="Book Antiqua" w:cs="Arial"/>
        </w:rPr>
        <w:t xml:space="preserve"> sufficient evidence of deception</w:t>
      </w:r>
      <w:r>
        <w:rPr>
          <w:rFonts w:ascii="Book Antiqua" w:hAnsi="Book Antiqua" w:cs="Arial"/>
        </w:rPr>
        <w:t xml:space="preserve">, the burned then shifts to the Appellant to raise </w:t>
      </w:r>
      <w:r w:rsidRPr="005415F8">
        <w:rPr>
          <w:rFonts w:ascii="Book Antiqua" w:hAnsi="Book Antiqua" w:cs="Arial"/>
        </w:rPr>
        <w:t>an innocent explanation</w:t>
      </w:r>
      <w:r>
        <w:rPr>
          <w:rFonts w:ascii="Book Antiqua" w:hAnsi="Book Antiqua" w:cs="Arial"/>
        </w:rPr>
        <w:t xml:space="preserve">. It is then for the Secretary of State to </w:t>
      </w:r>
      <w:r w:rsidRPr="005415F8">
        <w:rPr>
          <w:rFonts w:ascii="Book Antiqua" w:hAnsi="Book Antiqua" w:cs="Arial"/>
        </w:rPr>
        <w:t>establish, on the balance of pro</w:t>
      </w:r>
      <w:r>
        <w:rPr>
          <w:rFonts w:ascii="Book Antiqua" w:hAnsi="Book Antiqua" w:cs="Arial"/>
        </w:rPr>
        <w:t>babilities, that the Appellant’s</w:t>
      </w:r>
      <w:r w:rsidRPr="005415F8">
        <w:rPr>
          <w:rFonts w:ascii="Book Antiqua" w:hAnsi="Book Antiqua" w:cs="Arial"/>
        </w:rPr>
        <w:t xml:space="preserve"> </w:t>
      </w:r>
      <w:r w:rsidRPr="00B710A9">
        <w:rPr>
          <w:rFonts w:ascii="Book Antiqua" w:hAnsi="Book Antiqua" w:cs="Arial"/>
          <w:i/>
        </w:rPr>
        <w:t>prima facie</w:t>
      </w:r>
      <w:r w:rsidRPr="00B710A9">
        <w:rPr>
          <w:rFonts w:ascii="Book Antiqua" w:hAnsi="Book Antiqua" w:cs="Arial"/>
        </w:rPr>
        <w:t xml:space="preserve"> </w:t>
      </w:r>
      <w:r w:rsidRPr="005415F8">
        <w:rPr>
          <w:rFonts w:ascii="Book Antiqua" w:hAnsi="Book Antiqua" w:cs="Arial"/>
        </w:rPr>
        <w:t>innocent explanation</w:t>
      </w:r>
      <w:r>
        <w:rPr>
          <w:rFonts w:ascii="Book Antiqua" w:hAnsi="Book Antiqua" w:cs="Arial"/>
        </w:rPr>
        <w:t xml:space="preserve"> is</w:t>
      </w:r>
      <w:r w:rsidRPr="005415F8">
        <w:rPr>
          <w:rFonts w:ascii="Book Antiqua" w:hAnsi="Book Antiqua" w:cs="Arial"/>
        </w:rPr>
        <w:t xml:space="preserve"> to be rejected</w:t>
      </w:r>
      <w:r>
        <w:rPr>
          <w:rFonts w:ascii="Book Antiqua" w:hAnsi="Book Antiqua" w:cs="Arial"/>
        </w:rPr>
        <w:t xml:space="preserve"> in order to discharge the legal </w:t>
      </w:r>
      <w:r w:rsidRPr="005415F8">
        <w:rPr>
          <w:rFonts w:ascii="Book Antiqua" w:hAnsi="Book Antiqua" w:cs="Arial"/>
        </w:rPr>
        <w:t>burden of proof.</w:t>
      </w:r>
      <w:r>
        <w:rPr>
          <w:rFonts w:ascii="Book Antiqua" w:hAnsi="Book Antiqua" w:cs="Arial"/>
        </w:rPr>
        <w:t xml:space="preserve"> </w:t>
      </w:r>
      <w:r w:rsidRPr="00D6656E">
        <w:rPr>
          <w:rFonts w:ascii="Book Antiqua" w:hAnsi="Book Antiqua"/>
        </w:rPr>
        <w:t xml:space="preserve">This was further considered in the case of </w:t>
      </w:r>
      <w:r w:rsidRPr="00D6656E">
        <w:rPr>
          <w:rFonts w:ascii="Book Antiqua" w:hAnsi="Book Antiqua"/>
          <w:b/>
          <w:u w:val="single"/>
        </w:rPr>
        <w:t>MA</w:t>
      </w:r>
      <w:r w:rsidRPr="00D6656E">
        <w:rPr>
          <w:rFonts w:ascii="Book Antiqua" w:hAnsi="Book Antiqua"/>
        </w:rPr>
        <w:t xml:space="preserve"> where the </w:t>
      </w:r>
      <w:r>
        <w:rPr>
          <w:rFonts w:ascii="Book Antiqua" w:hAnsi="Book Antiqua"/>
        </w:rPr>
        <w:t>Tribunal emphasised</w:t>
      </w:r>
      <w:r w:rsidRPr="00D6656E">
        <w:rPr>
          <w:rFonts w:ascii="Book Antiqua" w:hAnsi="Book Antiqua"/>
        </w:rPr>
        <w:t xml:space="preserve"> that the question of whether a person engaged in fraud in procuring a TOEIC English language proficiency qualification will invariably be intrinsically fact sensitive.</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Arial"/>
        </w:rPr>
        <w:t xml:space="preserve">Mr Bates submitted that the Secretary of State had discharged the initial evidential </w:t>
      </w:r>
      <w:r w:rsidRPr="007417DB">
        <w:rPr>
          <w:rFonts w:ascii="Book Antiqua" w:hAnsi="Book Antiqua" w:cs="Calibri"/>
        </w:rPr>
        <w:t xml:space="preserve">burden by </w:t>
      </w:r>
      <w:r>
        <w:rPr>
          <w:rFonts w:ascii="Book Antiqua" w:hAnsi="Book Antiqua" w:cs="Calibri"/>
        </w:rPr>
        <w:t>providing</w:t>
      </w:r>
      <w:r w:rsidRPr="007417DB">
        <w:rPr>
          <w:rFonts w:ascii="Book Antiqua" w:hAnsi="Book Antiqua" w:cs="Calibri"/>
        </w:rPr>
        <w:t xml:space="preserve"> the </w:t>
      </w:r>
      <w:r w:rsidRPr="00B710A9">
        <w:rPr>
          <w:rFonts w:ascii="Book Antiqua" w:hAnsi="Book Antiqua" w:cs="Calibri"/>
          <w:i/>
        </w:rPr>
        <w:t>look up tool</w:t>
      </w:r>
      <w:r w:rsidRPr="007417DB">
        <w:rPr>
          <w:rFonts w:ascii="Book Antiqua" w:hAnsi="Book Antiqua" w:cs="Calibri"/>
        </w:rPr>
        <w:t xml:space="preserve"> and that the judge appears to have accepted that the evidential burden had been discharged.  Mr Bates did not dispute this position.</w:t>
      </w:r>
    </w:p>
    <w:p w:rsidR="005512BD" w:rsidRDefault="005512BD" w:rsidP="00B710A9">
      <w:pPr>
        <w:numPr>
          <w:ilvl w:val="0"/>
          <w:numId w:val="3"/>
        </w:numPr>
        <w:spacing w:before="240"/>
        <w:jc w:val="both"/>
        <w:rPr>
          <w:rFonts w:ascii="Book Antiqua" w:hAnsi="Book Antiqua" w:cs="Arial"/>
        </w:rPr>
      </w:pPr>
      <w:r>
        <w:rPr>
          <w:rFonts w:ascii="Book Antiqua" w:hAnsi="Book Antiqua" w:cs="Calibri"/>
        </w:rPr>
        <w:t>Accordingly</w:t>
      </w:r>
      <w:r w:rsidR="003A615B">
        <w:rPr>
          <w:rFonts w:ascii="Book Antiqua" w:hAnsi="Book Antiqua" w:cs="Calibri"/>
        </w:rPr>
        <w:t xml:space="preserve">, </w:t>
      </w:r>
      <w:r>
        <w:rPr>
          <w:rFonts w:ascii="Book Antiqua" w:hAnsi="Book Antiqua" w:cs="Calibri"/>
        </w:rPr>
        <w:t>the</w:t>
      </w:r>
      <w:r w:rsidRPr="007417DB">
        <w:rPr>
          <w:rFonts w:ascii="Book Antiqua" w:hAnsi="Book Antiqua" w:cs="Calibri"/>
        </w:rPr>
        <w:t xml:space="preserve"> burden moved onto the Appellant to provide </w:t>
      </w:r>
      <w:r>
        <w:rPr>
          <w:rFonts w:ascii="Book Antiqua" w:hAnsi="Book Antiqua" w:cs="Calibri"/>
        </w:rPr>
        <w:t>an</w:t>
      </w:r>
      <w:r w:rsidRPr="007417DB">
        <w:rPr>
          <w:rFonts w:ascii="Book Antiqua" w:hAnsi="Book Antiqua" w:cs="Calibri"/>
        </w:rPr>
        <w:t xml:space="preserve"> innocent explanation.</w:t>
      </w:r>
      <w:r>
        <w:rPr>
          <w:rFonts w:ascii="Book Antiqua" w:hAnsi="Book Antiqua" w:cs="Arial"/>
        </w:rPr>
        <w:t xml:space="preserve"> </w:t>
      </w:r>
      <w:r w:rsidRPr="007417DB">
        <w:rPr>
          <w:rFonts w:ascii="Book Antiqua" w:hAnsi="Book Antiqua" w:cs="Calibri"/>
        </w:rPr>
        <w:t>The judge heard oral evidence from the Appellant as set out at paragraphs 9 and 10 of the decision. The judge also had documentary evidence before him.  It is clear from paragraphs 13 to 21 that the judge took into account a number of factors.</w:t>
      </w:r>
      <w:r>
        <w:rPr>
          <w:rFonts w:ascii="Book Antiqua" w:hAnsi="Book Antiqua" w:cs="Arial"/>
        </w:rPr>
        <w:t xml:space="preserve"> </w:t>
      </w:r>
    </w:p>
    <w:p w:rsidR="005512BD" w:rsidRPr="007417DB" w:rsidRDefault="005512BD" w:rsidP="00B710A9">
      <w:pPr>
        <w:numPr>
          <w:ilvl w:val="0"/>
          <w:numId w:val="3"/>
        </w:numPr>
        <w:spacing w:before="240"/>
        <w:jc w:val="both"/>
        <w:rPr>
          <w:rFonts w:ascii="Book Antiqua" w:hAnsi="Book Antiqua" w:cs="Arial"/>
        </w:rPr>
      </w:pPr>
      <w:r w:rsidRPr="007417DB">
        <w:rPr>
          <w:rFonts w:ascii="Book Antiqua" w:hAnsi="Book Antiqua" w:cs="Calibri"/>
        </w:rPr>
        <w:t>The judge took into account the fact that the Secretary of State had carried out an interview with the Appellant on 19</w:t>
      </w:r>
      <w:r w:rsidRPr="007417DB">
        <w:rPr>
          <w:rFonts w:ascii="Book Antiqua" w:hAnsi="Book Antiqua" w:cs="Calibri"/>
          <w:vertAlign w:val="superscript"/>
        </w:rPr>
        <w:t>th</w:t>
      </w:r>
      <w:r w:rsidRPr="007417DB">
        <w:rPr>
          <w:rFonts w:ascii="Book Antiqua" w:hAnsi="Book Antiqua" w:cs="Calibri"/>
        </w:rPr>
        <w:t xml:space="preserve"> February 2016 in relation to the TOEIC test.  The judge noted that the interview records were only available because the Appellant had obtained them and that the Respondent had not included them in the Respondent’s bundle.</w:t>
      </w:r>
      <w:r>
        <w:rPr>
          <w:rFonts w:ascii="Book Antiqua" w:hAnsi="Book Antiqua" w:cs="Arial"/>
        </w:rPr>
        <w:t xml:space="preserve"> </w:t>
      </w:r>
      <w:r w:rsidRPr="007417DB">
        <w:rPr>
          <w:rFonts w:ascii="Book Antiqua" w:hAnsi="Book Antiqua" w:cs="Calibri"/>
        </w:rPr>
        <w:t>The judge also noted that</w:t>
      </w:r>
      <w:r>
        <w:rPr>
          <w:rFonts w:ascii="Book Antiqua" w:hAnsi="Book Antiqua" w:cs="Calibri"/>
        </w:rPr>
        <w:t xml:space="preserve">, </w:t>
      </w:r>
      <w:r w:rsidRPr="007417DB">
        <w:rPr>
          <w:rFonts w:ascii="Book Antiqua" w:hAnsi="Book Antiqua" w:cs="Calibri"/>
        </w:rPr>
        <w:t>although it was normally the case that an Appellant would be interviewed only where the TOEIC results were “questionable”, rather than “invalid”</w:t>
      </w:r>
      <w:r>
        <w:rPr>
          <w:rFonts w:ascii="Book Antiqua" w:hAnsi="Book Antiqua" w:cs="Calibri"/>
        </w:rPr>
        <w:t xml:space="preserve"> (</w:t>
      </w:r>
      <w:r w:rsidRPr="007417DB">
        <w:rPr>
          <w:rFonts w:ascii="Book Antiqua" w:hAnsi="Book Antiqua" w:cs="Calibri"/>
        </w:rPr>
        <w:t>as in this case</w:t>
      </w:r>
      <w:r>
        <w:rPr>
          <w:rFonts w:ascii="Book Antiqua" w:hAnsi="Book Antiqua" w:cs="Calibri"/>
        </w:rPr>
        <w:t>)</w:t>
      </w:r>
      <w:r w:rsidRPr="007417DB">
        <w:rPr>
          <w:rFonts w:ascii="Book Antiqua" w:hAnsi="Book Antiqua" w:cs="Calibri"/>
        </w:rPr>
        <w:t>, the Secretary of State still called the Appellant for an interview and the Home Office Presenting Officer was unable to explain why this was the case.</w:t>
      </w:r>
      <w:r w:rsidRPr="00B710A9">
        <w:rPr>
          <w:rFonts w:ascii="Book Antiqua" w:hAnsi="Book Antiqua" w:cs="Calibri"/>
        </w:rPr>
        <w:t xml:space="preserve"> </w:t>
      </w:r>
    </w:p>
    <w:p w:rsidR="005512BD" w:rsidRPr="007417DB" w:rsidRDefault="005512BD" w:rsidP="00B710A9">
      <w:pPr>
        <w:numPr>
          <w:ilvl w:val="0"/>
          <w:numId w:val="3"/>
        </w:numPr>
        <w:spacing w:before="240"/>
        <w:jc w:val="both"/>
        <w:rPr>
          <w:rFonts w:ascii="Book Antiqua" w:hAnsi="Book Antiqua" w:cs="Arial"/>
        </w:rPr>
      </w:pPr>
      <w:r>
        <w:rPr>
          <w:rFonts w:ascii="Book Antiqua" w:hAnsi="Book Antiqua" w:cs="Calibri"/>
        </w:rPr>
        <w:t xml:space="preserve">The judge took into account </w:t>
      </w:r>
      <w:r w:rsidRPr="007417DB">
        <w:rPr>
          <w:rFonts w:ascii="Book Antiqua" w:hAnsi="Book Antiqua" w:cs="Calibri"/>
        </w:rPr>
        <w:t>the contents of the interview record noting that the Appellant maintained his decision that he took his test at the London School of Scholars rather than South Quay Colleg</w:t>
      </w:r>
      <w:r>
        <w:rPr>
          <w:rFonts w:ascii="Book Antiqua" w:hAnsi="Book Antiqua" w:cs="Calibri"/>
        </w:rPr>
        <w:t>e as alleged by ETS</w:t>
      </w:r>
      <w:r w:rsidRPr="007417DB">
        <w:rPr>
          <w:rFonts w:ascii="Book Antiqua" w:hAnsi="Book Antiqua" w:cs="Calibri"/>
        </w:rPr>
        <w:t xml:space="preserve">. The judge took into </w:t>
      </w:r>
      <w:r w:rsidRPr="007417DB">
        <w:rPr>
          <w:rFonts w:ascii="Book Antiqua" w:hAnsi="Book Antiqua" w:cs="Calibri"/>
        </w:rPr>
        <w:lastRenderedPageBreak/>
        <w:t>account that at the end of the interview</w:t>
      </w:r>
      <w:r w:rsidRPr="00B710A9">
        <w:rPr>
          <w:rFonts w:ascii="Book Antiqua" w:hAnsi="Book Antiqua" w:cs="Calibri"/>
        </w:rPr>
        <w:t xml:space="preserve"> </w:t>
      </w:r>
      <w:r w:rsidRPr="007417DB">
        <w:rPr>
          <w:rFonts w:ascii="Book Antiqua" w:hAnsi="Book Antiqua" w:cs="Calibri"/>
        </w:rPr>
        <w:t>the Respondent concluded that the Appellant was “credible”</w:t>
      </w:r>
      <w:r>
        <w:rPr>
          <w:rFonts w:ascii="Book Antiqua" w:hAnsi="Book Antiqua" w:cs="Calibri"/>
        </w:rPr>
        <w:t xml:space="preserve"> [16]</w:t>
      </w:r>
      <w:r w:rsidRPr="007417DB">
        <w:rPr>
          <w:rFonts w:ascii="Book Antiqua" w:hAnsi="Book Antiqua" w:cs="Calibri"/>
        </w:rPr>
        <w:t>.</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Calibri"/>
        </w:rPr>
        <w:t xml:space="preserve"> The judge </w:t>
      </w:r>
      <w:r>
        <w:rPr>
          <w:rFonts w:ascii="Book Antiqua" w:hAnsi="Book Antiqua" w:cs="Calibri"/>
        </w:rPr>
        <w:t xml:space="preserve">also </w:t>
      </w:r>
      <w:r w:rsidRPr="007417DB">
        <w:rPr>
          <w:rFonts w:ascii="Book Antiqua" w:hAnsi="Book Antiqua" w:cs="Calibri"/>
        </w:rPr>
        <w:t xml:space="preserve">took into account that the Appellant had obtained a recording of the alleged voice recording from TOIEC and accepted that the voice was not his, but noted the Appellant </w:t>
      </w:r>
      <w:r>
        <w:rPr>
          <w:rFonts w:ascii="Book Antiqua" w:hAnsi="Book Antiqua" w:cs="Calibri"/>
        </w:rPr>
        <w:t xml:space="preserve">had </w:t>
      </w:r>
      <w:r w:rsidRPr="007417DB">
        <w:rPr>
          <w:rFonts w:ascii="Book Antiqua" w:hAnsi="Book Antiqua" w:cs="Calibri"/>
        </w:rPr>
        <w:t xml:space="preserve">queried whether there was evidence that the voice recording presented by TOEIC </w:t>
      </w:r>
      <w:r>
        <w:rPr>
          <w:rFonts w:ascii="Book Antiqua" w:hAnsi="Book Antiqua" w:cs="Calibri"/>
        </w:rPr>
        <w:t>actually related</w:t>
      </w:r>
      <w:r w:rsidRPr="007417DB">
        <w:rPr>
          <w:rFonts w:ascii="Book Antiqua" w:hAnsi="Book Antiqua" w:cs="Calibri"/>
        </w:rPr>
        <w:t xml:space="preserve"> to the test taken at the centre where he claims to have sat.  The judge also took into account the fact that the Appellant has raised this issue with ETS most recently in a letter of 22</w:t>
      </w:r>
      <w:r w:rsidRPr="007417DB">
        <w:rPr>
          <w:rFonts w:ascii="Book Antiqua" w:hAnsi="Book Antiqua" w:cs="Calibri"/>
          <w:vertAlign w:val="superscript"/>
        </w:rPr>
        <w:t>nd</w:t>
      </w:r>
      <w:r w:rsidRPr="007417DB">
        <w:rPr>
          <w:rFonts w:ascii="Book Antiqua" w:hAnsi="Book Antiqua" w:cs="Calibri"/>
        </w:rPr>
        <w:t xml:space="preserve"> December 2017</w:t>
      </w:r>
      <w:r>
        <w:rPr>
          <w:rFonts w:ascii="Book Antiqua" w:hAnsi="Book Antiqua" w:cs="Calibri"/>
        </w:rPr>
        <w:t xml:space="preserve"> [</w:t>
      </w:r>
      <w:r w:rsidRPr="007417DB">
        <w:rPr>
          <w:rFonts w:ascii="Book Antiqua" w:hAnsi="Book Antiqua" w:cs="Calibri"/>
        </w:rPr>
        <w:t>17</w:t>
      </w:r>
      <w:r>
        <w:rPr>
          <w:rFonts w:ascii="Book Antiqua" w:hAnsi="Book Antiqua" w:cs="Calibri"/>
        </w:rPr>
        <w:t>]</w:t>
      </w:r>
      <w:r w:rsidRPr="007417DB">
        <w:rPr>
          <w:rFonts w:ascii="Book Antiqua" w:hAnsi="Book Antiqua" w:cs="Calibri"/>
        </w:rPr>
        <w:t>.</w:t>
      </w:r>
    </w:p>
    <w:p w:rsidR="005512BD" w:rsidRPr="007417DB" w:rsidRDefault="005512BD" w:rsidP="005D253A">
      <w:pPr>
        <w:numPr>
          <w:ilvl w:val="0"/>
          <w:numId w:val="3"/>
        </w:numPr>
        <w:spacing w:before="240"/>
        <w:jc w:val="both"/>
        <w:rPr>
          <w:rFonts w:ascii="Book Antiqua" w:hAnsi="Book Antiqua" w:cs="Arial"/>
        </w:rPr>
      </w:pPr>
      <w:r>
        <w:rPr>
          <w:rFonts w:ascii="Book Antiqua" w:hAnsi="Book Antiqua" w:cs="Calibri"/>
        </w:rPr>
        <w:t>At the hearing</w:t>
      </w:r>
      <w:r w:rsidRPr="007417DB">
        <w:rPr>
          <w:rFonts w:ascii="Book Antiqua" w:hAnsi="Book Antiqua" w:cs="Calibri"/>
        </w:rPr>
        <w:t xml:space="preserve"> Mr Bates suggested that the judge did not take into account the fact that this letter had only been sent a short time before the hearing.  However</w:t>
      </w:r>
      <w:r w:rsidR="0028157A">
        <w:rPr>
          <w:rFonts w:ascii="Book Antiqua" w:hAnsi="Book Antiqua" w:cs="Calibri"/>
        </w:rPr>
        <w:t>,</w:t>
      </w:r>
      <w:r>
        <w:rPr>
          <w:rFonts w:ascii="Book Antiqua" w:hAnsi="Book Antiqua" w:cs="Calibri"/>
        </w:rPr>
        <w:t xml:space="preserve"> the judge properly noted that </w:t>
      </w:r>
      <w:r w:rsidRPr="007417DB">
        <w:rPr>
          <w:rFonts w:ascii="Book Antiqua" w:hAnsi="Book Antiqua" w:cs="Calibri"/>
        </w:rPr>
        <w:t xml:space="preserve">the Appellant </w:t>
      </w:r>
      <w:r>
        <w:rPr>
          <w:rFonts w:ascii="Book Antiqua" w:hAnsi="Book Antiqua" w:cs="Calibri"/>
        </w:rPr>
        <w:t xml:space="preserve">had </w:t>
      </w:r>
      <w:r w:rsidRPr="007417DB">
        <w:rPr>
          <w:rFonts w:ascii="Book Antiqua" w:hAnsi="Book Antiqua" w:cs="Calibri"/>
        </w:rPr>
        <w:t>raised the issue as to the location of the test as far back as February 2016</w:t>
      </w:r>
      <w:r>
        <w:rPr>
          <w:rFonts w:ascii="Book Antiqua" w:hAnsi="Book Antiqua" w:cs="Calibri"/>
        </w:rPr>
        <w:t xml:space="preserve"> [19]</w:t>
      </w:r>
      <w:r w:rsidRPr="007417DB">
        <w:rPr>
          <w:rFonts w:ascii="Book Antiqua" w:hAnsi="Book Antiqua" w:cs="Calibri"/>
        </w:rPr>
        <w:t>.</w:t>
      </w:r>
      <w:r>
        <w:rPr>
          <w:rFonts w:ascii="Book Antiqua" w:hAnsi="Book Antiqua" w:cs="Calibri"/>
        </w:rPr>
        <w:t xml:space="preserve"> It is clear that this was also a factor in the judge’s mind when making his decision.</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Calibri"/>
        </w:rPr>
        <w:t xml:space="preserve">At paragraph 19 the judge </w:t>
      </w:r>
      <w:r>
        <w:rPr>
          <w:rFonts w:ascii="Book Antiqua" w:hAnsi="Book Antiqua" w:cs="Calibri"/>
        </w:rPr>
        <w:t xml:space="preserve">took into account in the Appellant's favour the fact that the </w:t>
      </w:r>
      <w:r w:rsidRPr="007417DB">
        <w:rPr>
          <w:rFonts w:ascii="Book Antiqua" w:hAnsi="Book Antiqua" w:cs="Calibri"/>
        </w:rPr>
        <w:t xml:space="preserve">Secretary of State had not sought any explanation from ETS </w:t>
      </w:r>
      <w:r>
        <w:rPr>
          <w:rFonts w:ascii="Book Antiqua" w:hAnsi="Book Antiqua" w:cs="Calibri"/>
        </w:rPr>
        <w:t>in response to</w:t>
      </w:r>
      <w:r w:rsidRPr="007417DB">
        <w:rPr>
          <w:rFonts w:ascii="Book Antiqua" w:hAnsi="Book Antiqua" w:cs="Calibri"/>
        </w:rPr>
        <w:t xml:space="preserve"> the Appellant’s assertion that he has had the test elsewhere</w:t>
      </w:r>
      <w:r>
        <w:rPr>
          <w:rFonts w:ascii="Book Antiqua" w:hAnsi="Book Antiqua" w:cs="Calibri"/>
        </w:rPr>
        <w:t xml:space="preserve">. He also took into account </w:t>
      </w:r>
      <w:r w:rsidRPr="007417DB">
        <w:rPr>
          <w:rFonts w:ascii="Book Antiqua" w:hAnsi="Book Antiqua" w:cs="Calibri"/>
        </w:rPr>
        <w:t>the failure of ETS to respond to the Appellant’s request</w:t>
      </w:r>
      <w:r>
        <w:rPr>
          <w:rFonts w:ascii="Book Antiqua" w:hAnsi="Book Antiqua" w:cs="Calibri"/>
        </w:rPr>
        <w:t>. The judge considered that this</w:t>
      </w:r>
      <w:r w:rsidRPr="007417DB">
        <w:rPr>
          <w:rFonts w:ascii="Book Antiqua" w:hAnsi="Book Antiqua" w:cs="Calibri"/>
        </w:rPr>
        <w:t xml:space="preserve"> raised serious questions as to whether the claim that the Appellant sat his test at South Quay College is at all reliable.  </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Calibri"/>
        </w:rPr>
        <w:t>I take into account the documentary evidence which was before the judge.  I note that the Appellant made two witness statements. The Appellant also produced the record of interview with the Home Office along with copies of correspondence with ETS and their representative.</w:t>
      </w:r>
    </w:p>
    <w:p w:rsidR="005512BD" w:rsidRPr="00210D0C" w:rsidRDefault="005512BD" w:rsidP="005D253A">
      <w:pPr>
        <w:numPr>
          <w:ilvl w:val="0"/>
          <w:numId w:val="3"/>
        </w:numPr>
        <w:spacing w:before="240"/>
        <w:jc w:val="both"/>
        <w:rPr>
          <w:rFonts w:ascii="Book Antiqua" w:hAnsi="Book Antiqua" w:cs="Arial"/>
        </w:rPr>
      </w:pPr>
      <w:r w:rsidRPr="007417DB">
        <w:rPr>
          <w:rFonts w:ascii="Book Antiqua" w:hAnsi="Book Antiqua" w:cs="Calibri"/>
        </w:rPr>
        <w:t xml:space="preserve">It is also apparent from the decision that the judge took into account the Appellant’s oral evidence.  </w:t>
      </w:r>
      <w:r>
        <w:rPr>
          <w:rFonts w:ascii="Book Antiqua" w:hAnsi="Book Antiqua" w:cs="Calibri"/>
        </w:rPr>
        <w:t>At</w:t>
      </w:r>
      <w:r w:rsidRPr="007417DB">
        <w:rPr>
          <w:rFonts w:ascii="Book Antiqua" w:hAnsi="Book Antiqua" w:cs="Calibri"/>
        </w:rPr>
        <w:t xml:space="preserve"> paragraph 10 </w:t>
      </w:r>
      <w:r>
        <w:rPr>
          <w:rFonts w:ascii="Book Antiqua" w:hAnsi="Book Antiqua" w:cs="Calibri"/>
        </w:rPr>
        <w:t xml:space="preserve">the judge recorded the Appellant's explanation as to the </w:t>
      </w:r>
      <w:r w:rsidRPr="007417DB">
        <w:rPr>
          <w:rFonts w:ascii="Book Antiqua" w:hAnsi="Book Antiqua" w:cs="Calibri"/>
        </w:rPr>
        <w:t>circumstances surrounding his arrangements to sit the test at London School of Scholars as set out in his witness statement.  It is more than clear that the judge accepted the Appellant’s</w:t>
      </w:r>
      <w:r>
        <w:rPr>
          <w:rFonts w:ascii="Book Antiqua" w:hAnsi="Book Antiqua" w:cs="Calibri"/>
        </w:rPr>
        <w:t xml:space="preserve"> oral evidence</w:t>
      </w:r>
      <w:r w:rsidRPr="007417DB">
        <w:rPr>
          <w:rFonts w:ascii="Book Antiqua" w:hAnsi="Book Antiqua" w:cs="Calibri"/>
        </w:rPr>
        <w:t xml:space="preserve">.  </w:t>
      </w:r>
    </w:p>
    <w:p w:rsidR="005512BD" w:rsidRPr="00210D0C" w:rsidRDefault="005512BD" w:rsidP="005D253A">
      <w:pPr>
        <w:numPr>
          <w:ilvl w:val="0"/>
          <w:numId w:val="3"/>
        </w:numPr>
        <w:spacing w:before="240"/>
        <w:jc w:val="both"/>
        <w:rPr>
          <w:rFonts w:ascii="Book Antiqua" w:hAnsi="Book Antiqua" w:cs="Arial"/>
        </w:rPr>
      </w:pPr>
      <w:r w:rsidRPr="007417DB">
        <w:rPr>
          <w:rFonts w:ascii="Book Antiqua" w:hAnsi="Book Antiqua" w:cs="Calibri"/>
        </w:rPr>
        <w:t xml:space="preserve">In my view the judge has given adequate </w:t>
      </w:r>
      <w:r>
        <w:rPr>
          <w:rFonts w:ascii="Book Antiqua" w:hAnsi="Book Antiqua" w:cs="Calibri"/>
        </w:rPr>
        <w:t>reasons</w:t>
      </w:r>
      <w:r w:rsidRPr="007417DB">
        <w:rPr>
          <w:rFonts w:ascii="Book Antiqua" w:hAnsi="Book Antiqua" w:cs="Calibri"/>
        </w:rPr>
        <w:t xml:space="preserve"> for accepting the Appellant’s explanation as to where and when he sat the test and took into account the Appellant’s longstanding dispute as to the TOEIC certificates and the allegation that he used a proxy.  </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Calibri"/>
        </w:rPr>
        <w:t>The third ground contends that the judge erred at paragraph 20 in failing to give adequate reasons for holding that a person who speaks English would have no reason to secure a test certificate by deception.  However</w:t>
      </w:r>
      <w:r w:rsidR="0028157A">
        <w:rPr>
          <w:rFonts w:ascii="Book Antiqua" w:hAnsi="Book Antiqua" w:cs="Calibri"/>
        </w:rPr>
        <w:t>,</w:t>
      </w:r>
      <w:bookmarkStart w:id="1" w:name="_GoBack"/>
      <w:bookmarkEnd w:id="1"/>
      <w:r w:rsidRPr="007417DB">
        <w:rPr>
          <w:rFonts w:ascii="Book Antiqua" w:hAnsi="Book Antiqua" w:cs="Calibri"/>
        </w:rPr>
        <w:t xml:space="preserve"> that is not what the judge said.  </w:t>
      </w:r>
      <w:r>
        <w:rPr>
          <w:rFonts w:ascii="Book Antiqua" w:hAnsi="Book Antiqua" w:cs="Calibri"/>
        </w:rPr>
        <w:t>After</w:t>
      </w:r>
      <w:r w:rsidRPr="007417DB">
        <w:rPr>
          <w:rFonts w:ascii="Book Antiqua" w:hAnsi="Book Antiqua" w:cs="Calibri"/>
        </w:rPr>
        <w:t xml:space="preserve"> considering all of the other issue</w:t>
      </w:r>
      <w:r>
        <w:rPr>
          <w:rFonts w:ascii="Book Antiqua" w:hAnsi="Book Antiqua" w:cs="Calibri"/>
        </w:rPr>
        <w:t>, the judge</w:t>
      </w:r>
      <w:r w:rsidRPr="007417DB">
        <w:rPr>
          <w:rFonts w:ascii="Book Antiqua" w:hAnsi="Book Antiqua" w:cs="Calibri"/>
        </w:rPr>
        <w:t xml:space="preserve"> noted that the Appellant had also sat an IELTS test in October 2011, a year before the TOEIC test.  The judge went on to say</w:t>
      </w:r>
      <w:r>
        <w:rPr>
          <w:rFonts w:ascii="Book Antiqua" w:hAnsi="Book Antiqua" w:cs="Calibri"/>
        </w:rPr>
        <w:t>;</w:t>
      </w:r>
      <w:r w:rsidRPr="007417DB">
        <w:rPr>
          <w:rFonts w:ascii="Book Antiqua" w:hAnsi="Book Antiqua" w:cs="Calibri"/>
        </w:rPr>
        <w:t xml:space="preserve">            </w:t>
      </w:r>
    </w:p>
    <w:p w:rsidR="005512BD" w:rsidRPr="00F94A2C" w:rsidRDefault="005512BD" w:rsidP="00F94A2C">
      <w:pPr>
        <w:spacing w:before="120"/>
        <w:ind w:left="1134" w:right="567"/>
        <w:jc w:val="both"/>
        <w:rPr>
          <w:rFonts w:ascii="Book Antiqua" w:hAnsi="Book Antiqua" w:cs="Arial"/>
          <w:sz w:val="22"/>
        </w:rPr>
      </w:pPr>
      <w:r w:rsidRPr="00F94A2C">
        <w:rPr>
          <w:rFonts w:ascii="Book Antiqua" w:hAnsi="Book Antiqua" w:cs="Calibri"/>
          <w:sz w:val="22"/>
        </w:rPr>
        <w:t xml:space="preserve">“Whilst I am aware that despite having the ability to pass the TOEIC test, an applicant may choose to appoint a proxy, in this case, I have found no good evidence why a candidate of the calibre that the present Appellant is, would choose to hire a person to sit in his place, by contrast, I have found the Secretary </w:t>
      </w:r>
      <w:r w:rsidRPr="00F94A2C">
        <w:rPr>
          <w:rFonts w:ascii="Book Antiqua" w:hAnsi="Book Antiqua" w:cs="Calibri"/>
          <w:sz w:val="22"/>
        </w:rPr>
        <w:lastRenderedPageBreak/>
        <w:t>of State’s evidence to be lacking in coherency and raising many more questions than there are answers”.</w:t>
      </w:r>
    </w:p>
    <w:p w:rsidR="005512BD" w:rsidRDefault="005512BD" w:rsidP="005D253A">
      <w:pPr>
        <w:numPr>
          <w:ilvl w:val="0"/>
          <w:numId w:val="3"/>
        </w:numPr>
        <w:spacing w:before="240"/>
        <w:jc w:val="both"/>
        <w:rPr>
          <w:rFonts w:ascii="Book Antiqua" w:hAnsi="Book Antiqua" w:cs="Arial"/>
        </w:rPr>
      </w:pPr>
      <w:r>
        <w:rPr>
          <w:rFonts w:ascii="Book Antiqua" w:hAnsi="Book Antiqua" w:cs="Arial"/>
        </w:rPr>
        <w:t xml:space="preserve">In </w:t>
      </w:r>
      <w:r w:rsidRPr="00227F73">
        <w:rPr>
          <w:rFonts w:ascii="Book Antiqua" w:hAnsi="Book Antiqua" w:cs="Arial"/>
          <w:b/>
          <w:u w:val="single"/>
        </w:rPr>
        <w:t>MA</w:t>
      </w:r>
      <w:r>
        <w:rPr>
          <w:rFonts w:ascii="Book Antiqua" w:hAnsi="Book Antiqua" w:cs="Arial"/>
        </w:rPr>
        <w:t xml:space="preserve"> the Tribunal gave the following guidance at paragraph 57:</w:t>
      </w:r>
    </w:p>
    <w:p w:rsidR="005512BD" w:rsidRPr="00F94A2C" w:rsidRDefault="005512BD" w:rsidP="00F94A2C">
      <w:pPr>
        <w:pStyle w:val="p"/>
        <w:numPr>
          <w:ilvl w:val="0"/>
          <w:numId w:val="0"/>
        </w:numPr>
        <w:spacing w:before="120"/>
        <w:ind w:left="1134" w:right="567"/>
        <w:rPr>
          <w:sz w:val="22"/>
        </w:rPr>
      </w:pPr>
      <w:r w:rsidRPr="00F94A2C">
        <w:rPr>
          <w:sz w:val="22"/>
        </w:rPr>
        <w:t xml:space="preserve">“...  In the abstract, of course, there is a range of reasons why persons proficient in English may engage in TOEIC fraud.  These include, </w:t>
      </w:r>
      <w:proofErr w:type="spellStart"/>
      <w:r w:rsidRPr="00F94A2C">
        <w:rPr>
          <w:sz w:val="22"/>
        </w:rPr>
        <w:t>inexhaustively</w:t>
      </w:r>
      <w:proofErr w:type="spellEnd"/>
      <w:r w:rsidRPr="00F94A2C">
        <w:rPr>
          <w:sz w:val="22"/>
        </w:rPr>
        <w:t>, lack of</w:t>
      </w:r>
      <w:r w:rsidRPr="00F94A2C">
        <w:rPr>
          <w:color w:val="FF0000"/>
          <w:sz w:val="22"/>
        </w:rPr>
        <w:t xml:space="preserve"> </w:t>
      </w:r>
      <w:r w:rsidRPr="00F94A2C">
        <w:rPr>
          <w:sz w:val="22"/>
        </w:rPr>
        <w:t xml:space="preserve">confidence, fear of failure, lack of time and commitment and contempt for the immigration system.  These reasons could conceivably overlap in individual cases and there is scope for </w:t>
      </w:r>
      <w:r w:rsidRPr="00F94A2C">
        <w:rPr>
          <w:sz w:val="22"/>
          <w:u w:val="single"/>
        </w:rPr>
        <w:t>other</w:t>
      </w:r>
      <w:r w:rsidRPr="00F94A2C">
        <w:rPr>
          <w:sz w:val="22"/>
        </w:rPr>
        <w:t xml:space="preserve"> explanations for deceitful conduct in this sphere. “ </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Arial"/>
        </w:rPr>
        <w:t xml:space="preserve">Here it is clear that the judge was engaging in fact sensitive analysis of this particular case taking into account all of the evidence, including the fact that the Appellant had previously passed another English language test and the standard of the Appellant’s English.  I am satisfied that the judge </w:t>
      </w:r>
      <w:r w:rsidRPr="007417DB">
        <w:rPr>
          <w:rFonts w:ascii="Book Antiqua" w:hAnsi="Book Antiqua" w:cs="Calibri"/>
        </w:rPr>
        <w:t xml:space="preserve">has not simply concluded that because the Appellant speaks English he would have no reason to engage a proxy.  </w:t>
      </w:r>
    </w:p>
    <w:p w:rsidR="005512BD" w:rsidRPr="007417DB" w:rsidRDefault="005512BD" w:rsidP="005D253A">
      <w:pPr>
        <w:numPr>
          <w:ilvl w:val="0"/>
          <w:numId w:val="3"/>
        </w:numPr>
        <w:spacing w:before="240"/>
        <w:jc w:val="both"/>
        <w:rPr>
          <w:rFonts w:ascii="Book Antiqua" w:hAnsi="Book Antiqua" w:cs="Arial"/>
        </w:rPr>
      </w:pPr>
      <w:r w:rsidRPr="007417DB">
        <w:rPr>
          <w:rFonts w:ascii="Book Antiqua" w:hAnsi="Book Antiqua" w:cs="Calibri"/>
        </w:rPr>
        <w:t xml:space="preserve">In these circumstances I find that the judge has adequately reasoned his decision and it is clear why the judge reached the conclusions he did.  The grounds have not been made out.  </w:t>
      </w:r>
    </w:p>
    <w:p w:rsidR="005512BD" w:rsidRPr="007417DB" w:rsidRDefault="005512BD" w:rsidP="00441BDD">
      <w:pPr>
        <w:spacing w:before="240"/>
        <w:jc w:val="both"/>
        <w:rPr>
          <w:rFonts w:ascii="Book Antiqua" w:hAnsi="Book Antiqua" w:cs="Arial"/>
          <w:b/>
          <w:u w:val="single"/>
        </w:rPr>
      </w:pPr>
      <w:r w:rsidRPr="007417DB">
        <w:rPr>
          <w:rFonts w:ascii="Book Antiqua" w:hAnsi="Book Antiqua" w:cs="Arial"/>
          <w:b/>
          <w:u w:val="single"/>
        </w:rPr>
        <w:t xml:space="preserve">Notice of Decision  </w:t>
      </w:r>
    </w:p>
    <w:p w:rsidR="005512BD" w:rsidRPr="007417DB" w:rsidRDefault="005512BD" w:rsidP="00441BDD">
      <w:pPr>
        <w:numPr>
          <w:ilvl w:val="0"/>
          <w:numId w:val="3"/>
        </w:numPr>
        <w:spacing w:before="240"/>
        <w:jc w:val="both"/>
        <w:rPr>
          <w:rFonts w:ascii="Book Antiqua" w:hAnsi="Book Antiqua" w:cs="Arial"/>
        </w:rPr>
      </w:pPr>
      <w:r w:rsidRPr="007417DB">
        <w:rPr>
          <w:rFonts w:ascii="Book Antiqua" w:hAnsi="Book Antiqua" w:cs="Arial"/>
        </w:rPr>
        <w:t xml:space="preserve">The decision of the First-tier Tribunal does not contain a material error of law.  </w:t>
      </w:r>
    </w:p>
    <w:p w:rsidR="005512BD" w:rsidRPr="007417DB" w:rsidRDefault="005512BD" w:rsidP="00441BDD">
      <w:pPr>
        <w:spacing w:before="240"/>
        <w:ind w:left="567"/>
        <w:jc w:val="both"/>
        <w:rPr>
          <w:rFonts w:ascii="Book Antiqua" w:hAnsi="Book Antiqua" w:cs="Arial"/>
        </w:rPr>
      </w:pPr>
      <w:r w:rsidRPr="007417DB">
        <w:rPr>
          <w:rFonts w:ascii="Book Antiqua" w:hAnsi="Book Antiqua" w:cs="Arial"/>
        </w:rPr>
        <w:t xml:space="preserve">The decision of the First-tier Tribunal shall stand.  </w:t>
      </w:r>
    </w:p>
    <w:p w:rsidR="005512BD" w:rsidRPr="007417DB" w:rsidRDefault="005512BD" w:rsidP="00227F73">
      <w:pPr>
        <w:spacing w:before="240"/>
        <w:ind w:left="567"/>
        <w:jc w:val="both"/>
        <w:rPr>
          <w:rFonts w:ascii="Book Antiqua" w:hAnsi="Book Antiqua" w:cs="Arial"/>
        </w:rPr>
      </w:pPr>
      <w:r w:rsidRPr="007417DB">
        <w:rPr>
          <w:rFonts w:ascii="Book Antiqua" w:hAnsi="Book Antiqua" w:cs="Arial"/>
        </w:rPr>
        <w:t xml:space="preserve">No anonymity direction is made.  </w:t>
      </w:r>
    </w:p>
    <w:p w:rsidR="005512BD" w:rsidRDefault="005512BD" w:rsidP="000369F5">
      <w:pPr>
        <w:tabs>
          <w:tab w:val="left" w:pos="2520"/>
        </w:tabs>
        <w:jc w:val="both"/>
        <w:rPr>
          <w:rFonts w:ascii="Book Antiqua" w:hAnsi="Book Antiqua" w:cs="Arial"/>
        </w:rPr>
      </w:pPr>
    </w:p>
    <w:p w:rsidR="00F94A2C" w:rsidRPr="007417DB" w:rsidRDefault="00F94A2C" w:rsidP="000369F5">
      <w:pPr>
        <w:tabs>
          <w:tab w:val="left" w:pos="2520"/>
        </w:tabs>
        <w:jc w:val="both"/>
        <w:rPr>
          <w:rFonts w:ascii="Book Antiqua" w:hAnsi="Book Antiqua" w:cs="Arial"/>
        </w:rPr>
      </w:pPr>
    </w:p>
    <w:p w:rsidR="005512BD" w:rsidRPr="007417DB" w:rsidRDefault="005512BD" w:rsidP="000369F5">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17</w:t>
      </w:r>
      <w:r w:rsidRPr="00227F73">
        <w:rPr>
          <w:rFonts w:ascii="Book Antiqua" w:hAnsi="Book Antiqua" w:cs="Arial"/>
          <w:vertAlign w:val="superscript"/>
        </w:rPr>
        <w:t>th</w:t>
      </w:r>
      <w:r>
        <w:rPr>
          <w:rFonts w:ascii="Book Antiqua" w:hAnsi="Book Antiqua" w:cs="Arial"/>
        </w:rPr>
        <w:t xml:space="preserve"> August 2018</w:t>
      </w:r>
      <w:r w:rsidRPr="007417DB">
        <w:rPr>
          <w:rFonts w:ascii="Book Antiqua" w:hAnsi="Book Antiqua" w:cs="Arial"/>
        </w:rPr>
        <w:t xml:space="preserve">  </w:t>
      </w:r>
    </w:p>
    <w:p w:rsidR="005512BD" w:rsidRPr="007417DB" w:rsidRDefault="005512BD" w:rsidP="000369F5">
      <w:pPr>
        <w:tabs>
          <w:tab w:val="left" w:pos="2520"/>
        </w:tabs>
        <w:jc w:val="both"/>
        <w:rPr>
          <w:rFonts w:ascii="Book Antiqua" w:hAnsi="Book Antiqua" w:cs="Arial"/>
        </w:rPr>
      </w:pPr>
    </w:p>
    <w:p w:rsidR="005512BD" w:rsidRPr="007417DB" w:rsidRDefault="005512BD" w:rsidP="000369F5">
      <w:pPr>
        <w:tabs>
          <w:tab w:val="left" w:pos="2520"/>
        </w:tabs>
        <w:jc w:val="both"/>
        <w:rPr>
          <w:rFonts w:ascii="Book Antiqua" w:hAnsi="Book Antiqua" w:cs="Arial"/>
        </w:rPr>
      </w:pPr>
      <w:r w:rsidRPr="007417DB">
        <w:rPr>
          <w:rFonts w:ascii="Book Antiqua" w:hAnsi="Book Antiqua" w:cs="Arial"/>
        </w:rPr>
        <w:t xml:space="preserve">Deputy Upper Tribunal Judge Grimes </w:t>
      </w:r>
    </w:p>
    <w:p w:rsidR="005512BD" w:rsidRPr="007417DB" w:rsidRDefault="005512BD" w:rsidP="000369F5">
      <w:pPr>
        <w:tabs>
          <w:tab w:val="left" w:pos="2520"/>
        </w:tabs>
        <w:jc w:val="both"/>
        <w:rPr>
          <w:rFonts w:ascii="Book Antiqua" w:hAnsi="Book Antiqua" w:cs="Arial"/>
        </w:rPr>
      </w:pPr>
    </w:p>
    <w:p w:rsidR="005512BD" w:rsidRDefault="005512BD" w:rsidP="000369F5">
      <w:pPr>
        <w:tabs>
          <w:tab w:val="left" w:pos="2520"/>
        </w:tabs>
        <w:jc w:val="both"/>
        <w:rPr>
          <w:rFonts w:ascii="Book Antiqua" w:hAnsi="Book Antiqua" w:cs="Arial"/>
        </w:rPr>
      </w:pPr>
    </w:p>
    <w:p w:rsidR="00F94A2C" w:rsidRPr="007417DB" w:rsidRDefault="00F94A2C" w:rsidP="000369F5">
      <w:pPr>
        <w:tabs>
          <w:tab w:val="left" w:pos="2520"/>
        </w:tabs>
        <w:jc w:val="both"/>
        <w:rPr>
          <w:rFonts w:ascii="Book Antiqua" w:hAnsi="Book Antiqua" w:cs="Arial"/>
        </w:rPr>
      </w:pPr>
    </w:p>
    <w:p w:rsidR="005512BD" w:rsidRPr="007417DB" w:rsidRDefault="005512BD" w:rsidP="009D2749">
      <w:pPr>
        <w:jc w:val="both"/>
        <w:rPr>
          <w:rFonts w:ascii="Book Antiqua" w:hAnsi="Book Antiqua" w:cs="Arial"/>
          <w:b/>
          <w:u w:val="single"/>
        </w:rPr>
      </w:pPr>
      <w:r w:rsidRPr="007417DB">
        <w:rPr>
          <w:rFonts w:ascii="Book Antiqua" w:hAnsi="Book Antiqua" w:cs="Arial"/>
          <w:b/>
          <w:u w:val="single"/>
        </w:rPr>
        <w:t xml:space="preserve">TO THE RESPONDENT  </w:t>
      </w:r>
    </w:p>
    <w:p w:rsidR="005512BD" w:rsidRPr="007417DB" w:rsidRDefault="005512BD" w:rsidP="009D2749">
      <w:pPr>
        <w:ind w:left="567" w:hanging="567"/>
        <w:jc w:val="both"/>
        <w:rPr>
          <w:rFonts w:ascii="Book Antiqua" w:hAnsi="Book Antiqua" w:cs="Arial"/>
        </w:rPr>
      </w:pPr>
      <w:r w:rsidRPr="007417DB">
        <w:rPr>
          <w:rFonts w:ascii="Book Antiqua" w:hAnsi="Book Antiqua" w:cs="Arial"/>
          <w:b/>
          <w:u w:val="single"/>
        </w:rPr>
        <w:t xml:space="preserve">FEE AWARD  </w:t>
      </w:r>
    </w:p>
    <w:p w:rsidR="005512BD" w:rsidRPr="007417DB" w:rsidRDefault="005512BD" w:rsidP="009D2749">
      <w:pPr>
        <w:ind w:left="567" w:hanging="567"/>
        <w:jc w:val="both"/>
        <w:rPr>
          <w:rFonts w:ascii="Book Antiqua" w:hAnsi="Book Antiqua" w:cs="Arial"/>
        </w:rPr>
      </w:pPr>
    </w:p>
    <w:p w:rsidR="005512BD" w:rsidRPr="007417DB" w:rsidRDefault="005512BD" w:rsidP="009D2749">
      <w:pPr>
        <w:jc w:val="both"/>
        <w:rPr>
          <w:rFonts w:ascii="Book Antiqua" w:hAnsi="Book Antiqua" w:cs="Arial"/>
        </w:rPr>
      </w:pPr>
      <w:r w:rsidRPr="007417DB">
        <w:rPr>
          <w:rFonts w:ascii="Book Antiqua" w:hAnsi="Book Antiqua" w:cs="Arial"/>
        </w:rPr>
        <w:t xml:space="preserve">I maintain the fee award made by the First-tier Tribunal.  </w:t>
      </w:r>
    </w:p>
    <w:p w:rsidR="005512BD" w:rsidRDefault="005512BD" w:rsidP="009D2749">
      <w:pPr>
        <w:jc w:val="both"/>
        <w:rPr>
          <w:rFonts w:ascii="Book Antiqua" w:hAnsi="Book Antiqua" w:cs="Arial"/>
        </w:rPr>
      </w:pPr>
    </w:p>
    <w:p w:rsidR="00F94A2C" w:rsidRPr="007417DB" w:rsidRDefault="00F94A2C" w:rsidP="009D2749">
      <w:pPr>
        <w:jc w:val="both"/>
        <w:rPr>
          <w:rFonts w:ascii="Book Antiqua" w:hAnsi="Book Antiqua" w:cs="Arial"/>
        </w:rPr>
      </w:pPr>
    </w:p>
    <w:p w:rsidR="005512BD" w:rsidRPr="007417DB" w:rsidRDefault="005512BD" w:rsidP="009D2749">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17</w:t>
      </w:r>
      <w:r w:rsidRPr="00227F73">
        <w:rPr>
          <w:rFonts w:ascii="Book Antiqua" w:hAnsi="Book Antiqua" w:cs="Arial"/>
          <w:vertAlign w:val="superscript"/>
        </w:rPr>
        <w:t>th</w:t>
      </w:r>
      <w:r>
        <w:rPr>
          <w:rFonts w:ascii="Book Antiqua" w:hAnsi="Book Antiqua" w:cs="Arial"/>
        </w:rPr>
        <w:t xml:space="preserve"> August 2018</w:t>
      </w:r>
      <w:r w:rsidRPr="007417DB">
        <w:rPr>
          <w:rFonts w:ascii="Book Antiqua" w:hAnsi="Book Antiqua" w:cs="Arial"/>
        </w:rPr>
        <w:t xml:space="preserve"> </w:t>
      </w:r>
    </w:p>
    <w:p w:rsidR="005512BD" w:rsidRPr="007417DB" w:rsidRDefault="005512BD" w:rsidP="009D2749">
      <w:pPr>
        <w:tabs>
          <w:tab w:val="left" w:pos="2520"/>
        </w:tabs>
        <w:jc w:val="both"/>
        <w:rPr>
          <w:rFonts w:ascii="Book Antiqua" w:hAnsi="Book Antiqua" w:cs="Arial"/>
        </w:rPr>
      </w:pPr>
    </w:p>
    <w:p w:rsidR="005512BD" w:rsidRPr="00F5664C" w:rsidRDefault="005512BD" w:rsidP="009E3CCE">
      <w:pPr>
        <w:tabs>
          <w:tab w:val="left" w:pos="2520"/>
        </w:tabs>
        <w:jc w:val="both"/>
        <w:rPr>
          <w:rFonts w:ascii="Book Antiqua" w:hAnsi="Book Antiqua" w:cs="Arial"/>
        </w:rPr>
      </w:pPr>
      <w:r w:rsidRPr="007417DB">
        <w:rPr>
          <w:rFonts w:ascii="Book Antiqua" w:hAnsi="Book Antiqua" w:cs="Arial"/>
        </w:rPr>
        <w:t>Deputy Upper Tribunal Judge Grimes</w:t>
      </w:r>
    </w:p>
    <w:sectPr w:rsidR="005512BD" w:rsidRPr="00F5664C" w:rsidSect="00C5425A">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2BD" w:rsidRDefault="005512BD">
      <w:r>
        <w:separator/>
      </w:r>
    </w:p>
  </w:endnote>
  <w:endnote w:type="continuationSeparator" w:id="0">
    <w:p w:rsidR="005512BD" w:rsidRDefault="0055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2BD" w:rsidRPr="00C5425A" w:rsidRDefault="005512BD" w:rsidP="00593795">
    <w:pPr>
      <w:pStyle w:val="Footer"/>
      <w:jc w:val="center"/>
      <w:rPr>
        <w:rFonts w:ascii="Book Antiqua" w:hAnsi="Book Antiqua" w:cs="Arial"/>
      </w:rPr>
    </w:pPr>
    <w:r w:rsidRPr="00C5425A">
      <w:rPr>
        <w:rStyle w:val="PageNumber"/>
        <w:rFonts w:ascii="Book Antiqua" w:hAnsi="Book Antiqua" w:cs="Arial"/>
      </w:rPr>
      <w:fldChar w:fldCharType="begin"/>
    </w:r>
    <w:r w:rsidRPr="00C5425A">
      <w:rPr>
        <w:rStyle w:val="PageNumber"/>
        <w:rFonts w:ascii="Book Antiqua" w:hAnsi="Book Antiqua" w:cs="Arial"/>
      </w:rPr>
      <w:instrText xml:space="preserve"> PAGE </w:instrText>
    </w:r>
    <w:r w:rsidRPr="00C5425A">
      <w:rPr>
        <w:rStyle w:val="PageNumber"/>
        <w:rFonts w:ascii="Book Antiqua" w:hAnsi="Book Antiqua" w:cs="Arial"/>
      </w:rPr>
      <w:fldChar w:fldCharType="separate"/>
    </w:r>
    <w:r w:rsidR="004C4160">
      <w:rPr>
        <w:rStyle w:val="PageNumber"/>
        <w:rFonts w:ascii="Book Antiqua" w:hAnsi="Book Antiqua" w:cs="Arial"/>
        <w:noProof/>
      </w:rPr>
      <w:t>5</w:t>
    </w:r>
    <w:r w:rsidRPr="00C5425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2BD" w:rsidRPr="00F5664C" w:rsidRDefault="005512B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2BD" w:rsidRDefault="005512BD">
      <w:r>
        <w:separator/>
      </w:r>
    </w:p>
  </w:footnote>
  <w:footnote w:type="continuationSeparator" w:id="0">
    <w:p w:rsidR="005512BD" w:rsidRDefault="00551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2BD" w:rsidRDefault="005512B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4C624C">
      <w:rPr>
        <w:rFonts w:ascii="Book Antiqua" w:hAnsi="Book Antiqua" w:cs="Arial"/>
        <w:sz w:val="16"/>
        <w:szCs w:val="16"/>
      </w:rPr>
      <w:t>HU/20854/2016</w:t>
    </w:r>
  </w:p>
  <w:p w:rsidR="00C5425A" w:rsidRPr="00F5664C" w:rsidRDefault="00C5425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2BD" w:rsidRPr="00F5664C" w:rsidRDefault="005512B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A81F78"/>
    <w:multiLevelType w:val="hybridMultilevel"/>
    <w:tmpl w:val="C8C81A56"/>
    <w:lvl w:ilvl="0" w:tplc="8E56EC74">
      <w:start w:val="1"/>
      <w:numFmt w:val="lowerRoman"/>
      <w:lvlText w:val="(%1)"/>
      <w:lvlJc w:val="left"/>
      <w:pPr>
        <w:ind w:left="4689" w:hanging="720"/>
      </w:pPr>
      <w:rPr>
        <w:rFonts w:cs="Times New Roman" w:hint="default"/>
      </w:rPr>
    </w:lvl>
    <w:lvl w:ilvl="1" w:tplc="08090019" w:tentative="1">
      <w:start w:val="1"/>
      <w:numFmt w:val="lowerLetter"/>
      <w:lvlText w:val="%2."/>
      <w:lvlJc w:val="left"/>
      <w:pPr>
        <w:ind w:left="5049" w:hanging="360"/>
      </w:pPr>
      <w:rPr>
        <w:rFonts w:cs="Times New Roman"/>
      </w:rPr>
    </w:lvl>
    <w:lvl w:ilvl="2" w:tplc="0809001B" w:tentative="1">
      <w:start w:val="1"/>
      <w:numFmt w:val="lowerRoman"/>
      <w:lvlText w:val="%3."/>
      <w:lvlJc w:val="right"/>
      <w:pPr>
        <w:ind w:left="5769" w:hanging="180"/>
      </w:pPr>
      <w:rPr>
        <w:rFonts w:cs="Times New Roman"/>
      </w:rPr>
    </w:lvl>
    <w:lvl w:ilvl="3" w:tplc="0809000F" w:tentative="1">
      <w:start w:val="1"/>
      <w:numFmt w:val="decimal"/>
      <w:lvlText w:val="%4."/>
      <w:lvlJc w:val="left"/>
      <w:pPr>
        <w:ind w:left="6489" w:hanging="360"/>
      </w:pPr>
      <w:rPr>
        <w:rFonts w:cs="Times New Roman"/>
      </w:rPr>
    </w:lvl>
    <w:lvl w:ilvl="4" w:tplc="08090019" w:tentative="1">
      <w:start w:val="1"/>
      <w:numFmt w:val="lowerLetter"/>
      <w:lvlText w:val="%5."/>
      <w:lvlJc w:val="left"/>
      <w:pPr>
        <w:ind w:left="7209" w:hanging="360"/>
      </w:pPr>
      <w:rPr>
        <w:rFonts w:cs="Times New Roman"/>
      </w:rPr>
    </w:lvl>
    <w:lvl w:ilvl="5" w:tplc="0809001B" w:tentative="1">
      <w:start w:val="1"/>
      <w:numFmt w:val="lowerRoman"/>
      <w:lvlText w:val="%6."/>
      <w:lvlJc w:val="right"/>
      <w:pPr>
        <w:ind w:left="7929" w:hanging="180"/>
      </w:pPr>
      <w:rPr>
        <w:rFonts w:cs="Times New Roman"/>
      </w:rPr>
    </w:lvl>
    <w:lvl w:ilvl="6" w:tplc="0809000F" w:tentative="1">
      <w:start w:val="1"/>
      <w:numFmt w:val="decimal"/>
      <w:lvlText w:val="%7."/>
      <w:lvlJc w:val="left"/>
      <w:pPr>
        <w:ind w:left="8649" w:hanging="360"/>
      </w:pPr>
      <w:rPr>
        <w:rFonts w:cs="Times New Roman"/>
      </w:rPr>
    </w:lvl>
    <w:lvl w:ilvl="7" w:tplc="08090019" w:tentative="1">
      <w:start w:val="1"/>
      <w:numFmt w:val="lowerLetter"/>
      <w:lvlText w:val="%8."/>
      <w:lvlJc w:val="left"/>
      <w:pPr>
        <w:ind w:left="9369" w:hanging="360"/>
      </w:pPr>
      <w:rPr>
        <w:rFonts w:cs="Times New Roman"/>
      </w:rPr>
    </w:lvl>
    <w:lvl w:ilvl="8" w:tplc="0809001B" w:tentative="1">
      <w:start w:val="1"/>
      <w:numFmt w:val="lowerRoman"/>
      <w:lvlText w:val="%9."/>
      <w:lvlJc w:val="right"/>
      <w:pPr>
        <w:ind w:left="10089" w:hanging="180"/>
      </w:pPr>
      <w:rPr>
        <w:rFonts w:cs="Times New Roman"/>
      </w:rPr>
    </w:lvl>
  </w:abstractNum>
  <w:abstractNum w:abstractNumId="3"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A25564D"/>
    <w:multiLevelType w:val="hybridMultilevel"/>
    <w:tmpl w:val="086A2022"/>
    <w:lvl w:ilvl="0" w:tplc="258A91A2">
      <w:start w:val="1"/>
      <w:numFmt w:val="decimal"/>
      <w:pStyle w:val="p"/>
      <w:lvlText w:val="(%1)"/>
      <w:lvlJc w:val="left"/>
      <w:pPr>
        <w:ind w:left="735" w:hanging="735"/>
      </w:pPr>
      <w:rPr>
        <w:rFonts w:cs="Times New Roman" w:hint="default"/>
      </w:rPr>
    </w:lvl>
    <w:lvl w:ilvl="1" w:tplc="4742129E">
      <w:start w:val="1"/>
      <w:numFmt w:val="lowerRoman"/>
      <w:pStyle w:val="subrom15"/>
      <w:lvlText w:val="(%2)"/>
      <w:lvlJc w:val="left"/>
      <w:pPr>
        <w:tabs>
          <w:tab w:val="num" w:pos="1418"/>
        </w:tabs>
        <w:ind w:left="1418" w:hanging="851"/>
      </w:pPr>
      <w:rPr>
        <w:rFonts w:cs="Times New Roman" w:hint="default"/>
      </w:rPr>
    </w:lvl>
    <w:lvl w:ilvl="2" w:tplc="0809001B" w:tentative="1">
      <w:start w:val="1"/>
      <w:numFmt w:val="lowerRoman"/>
      <w:lvlText w:val="%3."/>
      <w:lvlJc w:val="right"/>
      <w:pPr>
        <w:ind w:left="1778" w:hanging="180"/>
      </w:pPr>
      <w:rPr>
        <w:rFonts w:cs="Times New Roman"/>
      </w:rPr>
    </w:lvl>
    <w:lvl w:ilvl="3" w:tplc="0809000F" w:tentative="1">
      <w:start w:val="1"/>
      <w:numFmt w:val="decimal"/>
      <w:lvlText w:val="%4."/>
      <w:lvlJc w:val="left"/>
      <w:pPr>
        <w:ind w:left="2498" w:hanging="360"/>
      </w:pPr>
      <w:rPr>
        <w:rFonts w:cs="Times New Roman"/>
      </w:rPr>
    </w:lvl>
    <w:lvl w:ilvl="4" w:tplc="08090019" w:tentative="1">
      <w:start w:val="1"/>
      <w:numFmt w:val="lowerLetter"/>
      <w:lvlText w:val="%5."/>
      <w:lvlJc w:val="left"/>
      <w:pPr>
        <w:ind w:left="3218" w:hanging="360"/>
      </w:pPr>
      <w:rPr>
        <w:rFonts w:cs="Times New Roman"/>
      </w:rPr>
    </w:lvl>
    <w:lvl w:ilvl="5" w:tplc="0809001B" w:tentative="1">
      <w:start w:val="1"/>
      <w:numFmt w:val="lowerRoman"/>
      <w:lvlText w:val="%6."/>
      <w:lvlJc w:val="right"/>
      <w:pPr>
        <w:ind w:left="3938" w:hanging="180"/>
      </w:pPr>
      <w:rPr>
        <w:rFonts w:cs="Times New Roman"/>
      </w:rPr>
    </w:lvl>
    <w:lvl w:ilvl="6" w:tplc="0809000F" w:tentative="1">
      <w:start w:val="1"/>
      <w:numFmt w:val="decimal"/>
      <w:lvlText w:val="%7."/>
      <w:lvlJc w:val="left"/>
      <w:pPr>
        <w:ind w:left="4658" w:hanging="360"/>
      </w:pPr>
      <w:rPr>
        <w:rFonts w:cs="Times New Roman"/>
      </w:rPr>
    </w:lvl>
    <w:lvl w:ilvl="7" w:tplc="08090019" w:tentative="1">
      <w:start w:val="1"/>
      <w:numFmt w:val="lowerLetter"/>
      <w:lvlText w:val="%8."/>
      <w:lvlJc w:val="left"/>
      <w:pPr>
        <w:ind w:left="5378" w:hanging="360"/>
      </w:pPr>
      <w:rPr>
        <w:rFonts w:cs="Times New Roman"/>
      </w:rPr>
    </w:lvl>
    <w:lvl w:ilvl="8" w:tplc="0809001B" w:tentative="1">
      <w:start w:val="1"/>
      <w:numFmt w:val="lowerRoman"/>
      <w:lvlText w:val="%9."/>
      <w:lvlJc w:val="right"/>
      <w:pPr>
        <w:ind w:left="6098" w:hanging="180"/>
      </w:pPr>
      <w:rPr>
        <w:rFonts w:cs="Times New Roman"/>
      </w:rPr>
    </w:lvl>
  </w:abstractNum>
  <w:abstractNum w:abstractNumId="9" w15:restartNumberingAfterBreak="0">
    <w:nsid w:val="46D802E6"/>
    <w:multiLevelType w:val="hybridMultilevel"/>
    <w:tmpl w:val="653654BA"/>
    <w:lvl w:ilvl="0" w:tplc="E9981BB8">
      <w:start w:val="21"/>
      <w:numFmt w:val="decimal"/>
      <w:lvlText w:val="%1."/>
      <w:lvlJc w:val="left"/>
      <w:pPr>
        <w:tabs>
          <w:tab w:val="num" w:pos="720"/>
        </w:tabs>
        <w:ind w:left="720" w:hanging="360"/>
      </w:pPr>
      <w:rPr>
        <w:rFonts w:cs="Times New Roman" w:hint="default"/>
        <w:i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5"/>
  </w:num>
  <w:num w:numId="2">
    <w:abstractNumId w:val="15"/>
  </w:num>
  <w:num w:numId="3">
    <w:abstractNumId w:val="3"/>
  </w:num>
  <w:num w:numId="4">
    <w:abstractNumId w:val="12"/>
  </w:num>
  <w:num w:numId="5">
    <w:abstractNumId w:val="22"/>
  </w:num>
  <w:num w:numId="6">
    <w:abstractNumId w:val="13"/>
  </w:num>
  <w:num w:numId="7">
    <w:abstractNumId w:val="20"/>
  </w:num>
  <w:num w:numId="8">
    <w:abstractNumId w:val="10"/>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21"/>
  </w:num>
  <w:num w:numId="20">
    <w:abstractNumId w:val="19"/>
  </w:num>
  <w:num w:numId="21">
    <w:abstractNumId w:val="2"/>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4C"/>
    <w:rsid w:val="00000621"/>
    <w:rsid w:val="00001BA7"/>
    <w:rsid w:val="000036C2"/>
    <w:rsid w:val="00013787"/>
    <w:rsid w:val="00020E44"/>
    <w:rsid w:val="000218E8"/>
    <w:rsid w:val="00033D3D"/>
    <w:rsid w:val="000369F5"/>
    <w:rsid w:val="000653C3"/>
    <w:rsid w:val="00071A7E"/>
    <w:rsid w:val="000746C0"/>
    <w:rsid w:val="00074D1D"/>
    <w:rsid w:val="0008124D"/>
    <w:rsid w:val="00092580"/>
    <w:rsid w:val="000D2CB0"/>
    <w:rsid w:val="000D5D94"/>
    <w:rsid w:val="000E4659"/>
    <w:rsid w:val="00102975"/>
    <w:rsid w:val="00106EF7"/>
    <w:rsid w:val="001165A7"/>
    <w:rsid w:val="00142356"/>
    <w:rsid w:val="00151487"/>
    <w:rsid w:val="00151BB7"/>
    <w:rsid w:val="00155D8A"/>
    <w:rsid w:val="00164127"/>
    <w:rsid w:val="0016457F"/>
    <w:rsid w:val="00167D3A"/>
    <w:rsid w:val="00174CAF"/>
    <w:rsid w:val="001A1E2C"/>
    <w:rsid w:val="001B183A"/>
    <w:rsid w:val="001D10F8"/>
    <w:rsid w:val="001D4560"/>
    <w:rsid w:val="001E29EC"/>
    <w:rsid w:val="001E4FB5"/>
    <w:rsid w:val="001F0CB9"/>
    <w:rsid w:val="001F2716"/>
    <w:rsid w:val="002003B6"/>
    <w:rsid w:val="0020133A"/>
    <w:rsid w:val="002035AD"/>
    <w:rsid w:val="00206870"/>
    <w:rsid w:val="00207617"/>
    <w:rsid w:val="00210D0C"/>
    <w:rsid w:val="0021627A"/>
    <w:rsid w:val="00227F73"/>
    <w:rsid w:val="00231182"/>
    <w:rsid w:val="002376DC"/>
    <w:rsid w:val="00245CD0"/>
    <w:rsid w:val="0028157A"/>
    <w:rsid w:val="00283659"/>
    <w:rsid w:val="00292A8F"/>
    <w:rsid w:val="002B1460"/>
    <w:rsid w:val="002C0976"/>
    <w:rsid w:val="002C13D4"/>
    <w:rsid w:val="002C4E73"/>
    <w:rsid w:val="002D210F"/>
    <w:rsid w:val="002D68BF"/>
    <w:rsid w:val="002E4A61"/>
    <w:rsid w:val="002E4D04"/>
    <w:rsid w:val="002E6F9F"/>
    <w:rsid w:val="0031701D"/>
    <w:rsid w:val="0032236E"/>
    <w:rsid w:val="0033041F"/>
    <w:rsid w:val="00335420"/>
    <w:rsid w:val="0033634F"/>
    <w:rsid w:val="00336CBF"/>
    <w:rsid w:val="00337911"/>
    <w:rsid w:val="003546C8"/>
    <w:rsid w:val="00357283"/>
    <w:rsid w:val="003649EF"/>
    <w:rsid w:val="00367CE1"/>
    <w:rsid w:val="003A615B"/>
    <w:rsid w:val="003A7CF2"/>
    <w:rsid w:val="003B0789"/>
    <w:rsid w:val="003C2809"/>
    <w:rsid w:val="003C5CE5"/>
    <w:rsid w:val="003C617B"/>
    <w:rsid w:val="003D5412"/>
    <w:rsid w:val="003E267B"/>
    <w:rsid w:val="003E7C2F"/>
    <w:rsid w:val="003E7CD1"/>
    <w:rsid w:val="003F29AB"/>
    <w:rsid w:val="003F3D22"/>
    <w:rsid w:val="003F4252"/>
    <w:rsid w:val="003F6F8D"/>
    <w:rsid w:val="0040203A"/>
    <w:rsid w:val="00402B9E"/>
    <w:rsid w:val="00417D03"/>
    <w:rsid w:val="00423932"/>
    <w:rsid w:val="004249CB"/>
    <w:rsid w:val="0044127D"/>
    <w:rsid w:val="00441BDD"/>
    <w:rsid w:val="004445D1"/>
    <w:rsid w:val="004448DB"/>
    <w:rsid w:val="00446C9A"/>
    <w:rsid w:val="00454D06"/>
    <w:rsid w:val="004603F0"/>
    <w:rsid w:val="00460AFF"/>
    <w:rsid w:val="00477193"/>
    <w:rsid w:val="00485C86"/>
    <w:rsid w:val="0049353B"/>
    <w:rsid w:val="004A1848"/>
    <w:rsid w:val="004A3012"/>
    <w:rsid w:val="004C4160"/>
    <w:rsid w:val="004C624C"/>
    <w:rsid w:val="004D057D"/>
    <w:rsid w:val="004D4C7E"/>
    <w:rsid w:val="004E5A0D"/>
    <w:rsid w:val="005024D7"/>
    <w:rsid w:val="005034CA"/>
    <w:rsid w:val="00507FEC"/>
    <w:rsid w:val="0051063A"/>
    <w:rsid w:val="00510F0E"/>
    <w:rsid w:val="00515A8D"/>
    <w:rsid w:val="0052622E"/>
    <w:rsid w:val="00531024"/>
    <w:rsid w:val="005415F8"/>
    <w:rsid w:val="005479E1"/>
    <w:rsid w:val="005512BD"/>
    <w:rsid w:val="005570FD"/>
    <w:rsid w:val="005575EA"/>
    <w:rsid w:val="0057790C"/>
    <w:rsid w:val="005868AA"/>
    <w:rsid w:val="00593795"/>
    <w:rsid w:val="005A6C91"/>
    <w:rsid w:val="005A75FF"/>
    <w:rsid w:val="005B7789"/>
    <w:rsid w:val="005C0E52"/>
    <w:rsid w:val="005C62B6"/>
    <w:rsid w:val="005D253A"/>
    <w:rsid w:val="005F21D1"/>
    <w:rsid w:val="005F3807"/>
    <w:rsid w:val="00603BC2"/>
    <w:rsid w:val="006117EE"/>
    <w:rsid w:val="00617691"/>
    <w:rsid w:val="006179C6"/>
    <w:rsid w:val="006232B3"/>
    <w:rsid w:val="0065791C"/>
    <w:rsid w:val="00664DD7"/>
    <w:rsid w:val="006875E9"/>
    <w:rsid w:val="00690B8A"/>
    <w:rsid w:val="00691223"/>
    <w:rsid w:val="006912BA"/>
    <w:rsid w:val="006B5AB6"/>
    <w:rsid w:val="006B7814"/>
    <w:rsid w:val="006D1DFA"/>
    <w:rsid w:val="006D506B"/>
    <w:rsid w:val="006D56F2"/>
    <w:rsid w:val="006E3C90"/>
    <w:rsid w:val="006F0D95"/>
    <w:rsid w:val="006F0EE5"/>
    <w:rsid w:val="006F59E5"/>
    <w:rsid w:val="00704B61"/>
    <w:rsid w:val="00723AE3"/>
    <w:rsid w:val="0073472C"/>
    <w:rsid w:val="007417DB"/>
    <w:rsid w:val="00742A8D"/>
    <w:rsid w:val="007552A9"/>
    <w:rsid w:val="00755E8E"/>
    <w:rsid w:val="00760B1E"/>
    <w:rsid w:val="00761858"/>
    <w:rsid w:val="00761DFA"/>
    <w:rsid w:val="007644A2"/>
    <w:rsid w:val="00767D59"/>
    <w:rsid w:val="00776E97"/>
    <w:rsid w:val="00780FD7"/>
    <w:rsid w:val="00784A1C"/>
    <w:rsid w:val="007912AD"/>
    <w:rsid w:val="007968B6"/>
    <w:rsid w:val="007A1F28"/>
    <w:rsid w:val="007B0824"/>
    <w:rsid w:val="007C3B03"/>
    <w:rsid w:val="007D41E6"/>
    <w:rsid w:val="007E11B3"/>
    <w:rsid w:val="007E794B"/>
    <w:rsid w:val="007F0C20"/>
    <w:rsid w:val="007F64D9"/>
    <w:rsid w:val="00824973"/>
    <w:rsid w:val="008303B8"/>
    <w:rsid w:val="00830A5E"/>
    <w:rsid w:val="00833DCE"/>
    <w:rsid w:val="00836BFF"/>
    <w:rsid w:val="00840E20"/>
    <w:rsid w:val="00841DE1"/>
    <w:rsid w:val="00842418"/>
    <w:rsid w:val="0085587E"/>
    <w:rsid w:val="00871D34"/>
    <w:rsid w:val="00883002"/>
    <w:rsid w:val="00886721"/>
    <w:rsid w:val="008914B1"/>
    <w:rsid w:val="008B270C"/>
    <w:rsid w:val="008B6F75"/>
    <w:rsid w:val="008C3155"/>
    <w:rsid w:val="008C3D3D"/>
    <w:rsid w:val="008C5903"/>
    <w:rsid w:val="008D4131"/>
    <w:rsid w:val="008F1932"/>
    <w:rsid w:val="008F294D"/>
    <w:rsid w:val="00914266"/>
    <w:rsid w:val="00921062"/>
    <w:rsid w:val="0093083E"/>
    <w:rsid w:val="0093633C"/>
    <w:rsid w:val="00956471"/>
    <w:rsid w:val="009600E6"/>
    <w:rsid w:val="00966ECF"/>
    <w:rsid w:val="009727A3"/>
    <w:rsid w:val="00986189"/>
    <w:rsid w:val="00987774"/>
    <w:rsid w:val="009A11E8"/>
    <w:rsid w:val="009A2577"/>
    <w:rsid w:val="009A2AF0"/>
    <w:rsid w:val="009B10F7"/>
    <w:rsid w:val="009C31DC"/>
    <w:rsid w:val="009D2749"/>
    <w:rsid w:val="009E3CCE"/>
    <w:rsid w:val="009E4E62"/>
    <w:rsid w:val="009F5220"/>
    <w:rsid w:val="009F7C4D"/>
    <w:rsid w:val="00A109AB"/>
    <w:rsid w:val="00A15234"/>
    <w:rsid w:val="00A201AB"/>
    <w:rsid w:val="00A31C8B"/>
    <w:rsid w:val="00A547BD"/>
    <w:rsid w:val="00A845DC"/>
    <w:rsid w:val="00A97AEE"/>
    <w:rsid w:val="00AB1213"/>
    <w:rsid w:val="00AC3C44"/>
    <w:rsid w:val="00AC3ECE"/>
    <w:rsid w:val="00AC5CF6"/>
    <w:rsid w:val="00AD1323"/>
    <w:rsid w:val="00B144FA"/>
    <w:rsid w:val="00B16F58"/>
    <w:rsid w:val="00B22ECB"/>
    <w:rsid w:val="00B30648"/>
    <w:rsid w:val="00B33C77"/>
    <w:rsid w:val="00B3524D"/>
    <w:rsid w:val="00B40F69"/>
    <w:rsid w:val="00B46616"/>
    <w:rsid w:val="00B610E3"/>
    <w:rsid w:val="00B61205"/>
    <w:rsid w:val="00B617C4"/>
    <w:rsid w:val="00B626FA"/>
    <w:rsid w:val="00B6642F"/>
    <w:rsid w:val="00B7040A"/>
    <w:rsid w:val="00B710A9"/>
    <w:rsid w:val="00B96FA0"/>
    <w:rsid w:val="00BA1878"/>
    <w:rsid w:val="00BB5122"/>
    <w:rsid w:val="00BD2112"/>
    <w:rsid w:val="00BD4196"/>
    <w:rsid w:val="00BF22CA"/>
    <w:rsid w:val="00BF50B0"/>
    <w:rsid w:val="00C26032"/>
    <w:rsid w:val="00C265B0"/>
    <w:rsid w:val="00C321B5"/>
    <w:rsid w:val="00C345E1"/>
    <w:rsid w:val="00C355EA"/>
    <w:rsid w:val="00C42A8E"/>
    <w:rsid w:val="00C5425A"/>
    <w:rsid w:val="00C55DF4"/>
    <w:rsid w:val="00C57C80"/>
    <w:rsid w:val="00C653B3"/>
    <w:rsid w:val="00C66BC1"/>
    <w:rsid w:val="00C72F9D"/>
    <w:rsid w:val="00C87995"/>
    <w:rsid w:val="00C96A13"/>
    <w:rsid w:val="00C977BA"/>
    <w:rsid w:val="00CB6E35"/>
    <w:rsid w:val="00CE16C3"/>
    <w:rsid w:val="00CE1A46"/>
    <w:rsid w:val="00CE3C51"/>
    <w:rsid w:val="00CF10FE"/>
    <w:rsid w:val="00CF253F"/>
    <w:rsid w:val="00CF56B4"/>
    <w:rsid w:val="00CF56BC"/>
    <w:rsid w:val="00CF77C7"/>
    <w:rsid w:val="00D02247"/>
    <w:rsid w:val="00D1370E"/>
    <w:rsid w:val="00D20F09"/>
    <w:rsid w:val="00D22636"/>
    <w:rsid w:val="00D40FD9"/>
    <w:rsid w:val="00D42AF1"/>
    <w:rsid w:val="00D53769"/>
    <w:rsid w:val="00D6656E"/>
    <w:rsid w:val="00D77591"/>
    <w:rsid w:val="00D85C13"/>
    <w:rsid w:val="00D91BE3"/>
    <w:rsid w:val="00D92A95"/>
    <w:rsid w:val="00D94AFC"/>
    <w:rsid w:val="00DB09CA"/>
    <w:rsid w:val="00DB70AE"/>
    <w:rsid w:val="00DB7231"/>
    <w:rsid w:val="00DC2ABF"/>
    <w:rsid w:val="00DD5071"/>
    <w:rsid w:val="00DD5C39"/>
    <w:rsid w:val="00DE26AF"/>
    <w:rsid w:val="00DE7DB7"/>
    <w:rsid w:val="00DF640B"/>
    <w:rsid w:val="00E00A0A"/>
    <w:rsid w:val="00E011F0"/>
    <w:rsid w:val="00E03F8D"/>
    <w:rsid w:val="00E056D9"/>
    <w:rsid w:val="00E07F57"/>
    <w:rsid w:val="00E15C92"/>
    <w:rsid w:val="00E20E18"/>
    <w:rsid w:val="00E33E03"/>
    <w:rsid w:val="00E50BCE"/>
    <w:rsid w:val="00E57D9F"/>
    <w:rsid w:val="00E61292"/>
    <w:rsid w:val="00E625C7"/>
    <w:rsid w:val="00E66658"/>
    <w:rsid w:val="00E76309"/>
    <w:rsid w:val="00E77C4D"/>
    <w:rsid w:val="00E81D01"/>
    <w:rsid w:val="00E92A7C"/>
    <w:rsid w:val="00EB12E9"/>
    <w:rsid w:val="00ED6D93"/>
    <w:rsid w:val="00EE45D8"/>
    <w:rsid w:val="00EE463B"/>
    <w:rsid w:val="00F004CD"/>
    <w:rsid w:val="00F22EDA"/>
    <w:rsid w:val="00F238E1"/>
    <w:rsid w:val="00F3224D"/>
    <w:rsid w:val="00F33E0E"/>
    <w:rsid w:val="00F5664C"/>
    <w:rsid w:val="00F57049"/>
    <w:rsid w:val="00F65E1A"/>
    <w:rsid w:val="00F94297"/>
    <w:rsid w:val="00F94A2C"/>
    <w:rsid w:val="00FA48F0"/>
    <w:rsid w:val="00FB306F"/>
    <w:rsid w:val="00FB7E80"/>
    <w:rsid w:val="00FC760C"/>
    <w:rsid w:val="00FD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6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F9F"/>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2E08B9"/>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2E08B9"/>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2E08B9"/>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paragraph" w:styleId="ListParagraph">
    <w:name w:val="List Paragraph"/>
    <w:basedOn w:val="Normal"/>
    <w:uiPriority w:val="99"/>
    <w:qFormat/>
    <w:rsid w:val="00D6656E"/>
    <w:pPr>
      <w:ind w:left="720"/>
    </w:pPr>
  </w:style>
  <w:style w:type="paragraph" w:customStyle="1" w:styleId="p">
    <w:name w:val="p"/>
    <w:basedOn w:val="Normal"/>
    <w:uiPriority w:val="99"/>
    <w:rsid w:val="00210D0C"/>
    <w:pPr>
      <w:numPr>
        <w:numId w:val="23"/>
      </w:numPr>
      <w:spacing w:before="240"/>
      <w:jc w:val="both"/>
    </w:pPr>
    <w:rPr>
      <w:rFonts w:ascii="Book Antiqua" w:hAnsi="Book Antiqua" w:cs="Arial"/>
    </w:rPr>
  </w:style>
  <w:style w:type="paragraph" w:customStyle="1" w:styleId="subrom15">
    <w:name w:val="subrom1.5"/>
    <w:basedOn w:val="p"/>
    <w:uiPriority w:val="99"/>
    <w:rsid w:val="00210D0C"/>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2018</Words>
  <Characters>9900</Characters>
  <Application>Microsoft Office Word</Application>
  <DocSecurity>0</DocSecurity>
  <Lines>82</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2018-09-10T16:00:00Z</dcterms:created>
  <dcterms:modified xsi:type="dcterms:W3CDTF">2018-09-10T16:00:00Z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