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F5664C" w:rsidRDefault="00046B9D" w:rsidP="00C321B5">
      <w:pPr>
        <w:jc w:val="center"/>
        <w:rPr>
          <w:rFonts w:ascii="Book Antiqua" w:hAnsi="Book Antiqua" w:cs="Arial"/>
          <w:sz w:val="16"/>
          <w:szCs w:val="16"/>
        </w:rPr>
      </w:pPr>
      <w:r>
        <w:rPr>
          <w:noProof/>
        </w:rPr>
        <w:drawing>
          <wp:inline distT="0" distB="0" distL="0" distR="0" wp14:anchorId="23E20186" wp14:editId="30613A10">
            <wp:extent cx="10312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906780"/>
                    </a:xfrm>
                    <a:prstGeom prst="rect">
                      <a:avLst/>
                    </a:prstGeom>
                    <a:noFill/>
                    <a:ln>
                      <a:noFill/>
                    </a:ln>
                  </pic:spPr>
                </pic:pic>
              </a:graphicData>
            </a:graphic>
          </wp:inline>
        </w:drawing>
      </w:r>
    </w:p>
    <w:p w:rsidR="00B705D9" w:rsidRPr="008A3E76" w:rsidRDefault="00B705D9">
      <w:pPr>
        <w:rPr>
          <w:rFonts w:ascii="Book Antiqua" w:hAnsi="Book Antiqua" w:cs="Arial"/>
          <w:sz w:val="16"/>
          <w:szCs w:val="16"/>
          <w:lang w:val="fr-FR"/>
        </w:rPr>
      </w:pPr>
    </w:p>
    <w:p w:rsidR="00B705D9" w:rsidRPr="008A3E76" w:rsidRDefault="00B705D9" w:rsidP="00B626FA">
      <w:pPr>
        <w:tabs>
          <w:tab w:val="right" w:pos="9639"/>
        </w:tabs>
        <w:rPr>
          <w:rFonts w:ascii="Book Antiqua" w:hAnsi="Book Antiqua" w:cs="Arial"/>
          <w:b/>
          <w:lang w:val="fr-FR"/>
        </w:rPr>
      </w:pPr>
      <w:proofErr w:type="spellStart"/>
      <w:r w:rsidRPr="008A3E76">
        <w:rPr>
          <w:rFonts w:ascii="Book Antiqua" w:hAnsi="Book Antiqua" w:cs="Arial"/>
          <w:b/>
          <w:lang w:val="fr-FR"/>
        </w:rPr>
        <w:t>Upper</w:t>
      </w:r>
      <w:proofErr w:type="spellEnd"/>
      <w:r w:rsidRPr="008A3E76">
        <w:rPr>
          <w:rFonts w:ascii="Book Antiqua" w:hAnsi="Book Antiqua" w:cs="Arial"/>
          <w:b/>
          <w:lang w:val="fr-FR"/>
        </w:rPr>
        <w:t xml:space="preserve"> Tribunal </w:t>
      </w:r>
    </w:p>
    <w:p w:rsidR="00B705D9" w:rsidRPr="00F5664C" w:rsidRDefault="00B705D9"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0070390B">
        <w:rPr>
          <w:rFonts w:ascii="Book Antiqua" w:hAnsi="Book Antiqua" w:cs="Arial"/>
          <w:caps/>
        </w:rPr>
        <w:t>hu/20949/2016</w:t>
      </w:r>
      <w:bookmarkEnd w:id="0"/>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4673"/>
        <w:gridCol w:w="5335"/>
      </w:tblGrid>
      <w:tr w:rsidR="00B705D9" w:rsidRPr="00F5664C" w:rsidTr="00D07C1D">
        <w:tc>
          <w:tcPr>
            <w:tcW w:w="4673" w:type="dxa"/>
          </w:tcPr>
          <w:p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5335" w:type="dxa"/>
          </w:tcPr>
          <w:p w:rsidR="00B705D9" w:rsidRPr="00321493" w:rsidRDefault="00D07C1D" w:rsidP="00321493">
            <w:pPr>
              <w:jc w:val="both"/>
              <w:rPr>
                <w:rFonts w:ascii="Book Antiqua" w:hAnsi="Book Antiqua" w:cs="Arial"/>
                <w:b/>
              </w:rPr>
            </w:pPr>
            <w:r>
              <w:rPr>
                <w:rFonts w:ascii="Book Antiqua" w:hAnsi="Book Antiqua" w:cs="Arial"/>
                <w:b/>
              </w:rPr>
              <w:t>Decision &amp; Reasons Promulgated</w:t>
            </w:r>
          </w:p>
        </w:tc>
      </w:tr>
      <w:tr w:rsidR="00B705D9" w:rsidRPr="00F5664C" w:rsidTr="00D07C1D">
        <w:tc>
          <w:tcPr>
            <w:tcW w:w="4673" w:type="dxa"/>
          </w:tcPr>
          <w:p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70390B">
              <w:rPr>
                <w:rFonts w:ascii="Book Antiqua" w:hAnsi="Book Antiqua" w:cs="Arial"/>
                <w:b/>
              </w:rPr>
              <w:t>1</w:t>
            </w:r>
            <w:r w:rsidR="008A3E76">
              <w:rPr>
                <w:rFonts w:ascii="Book Antiqua" w:hAnsi="Book Antiqua" w:cs="Arial"/>
                <w:b/>
              </w:rPr>
              <w:t>1</w:t>
            </w:r>
            <w:r w:rsidR="0070390B">
              <w:rPr>
                <w:rFonts w:ascii="Book Antiqua" w:hAnsi="Book Antiqua" w:cs="Arial"/>
                <w:b/>
              </w:rPr>
              <w:t xml:space="preserve"> July 2018</w:t>
            </w:r>
          </w:p>
        </w:tc>
        <w:tc>
          <w:tcPr>
            <w:tcW w:w="5335" w:type="dxa"/>
          </w:tcPr>
          <w:p w:rsidR="00B705D9" w:rsidRPr="00321493" w:rsidRDefault="00D07C1D" w:rsidP="00321493">
            <w:pPr>
              <w:jc w:val="both"/>
              <w:rPr>
                <w:rFonts w:ascii="Book Antiqua" w:hAnsi="Book Antiqua" w:cs="Arial"/>
                <w:b/>
              </w:rPr>
            </w:pPr>
            <w:r>
              <w:rPr>
                <w:rFonts w:ascii="Book Antiqua" w:hAnsi="Book Antiqua" w:cs="Arial"/>
                <w:b/>
              </w:rPr>
              <w:t>On 23 August 2018</w:t>
            </w:r>
          </w:p>
        </w:tc>
      </w:tr>
      <w:tr w:rsidR="00B705D9" w:rsidRPr="00F5664C" w:rsidTr="00D07C1D">
        <w:tc>
          <w:tcPr>
            <w:tcW w:w="4673" w:type="dxa"/>
          </w:tcPr>
          <w:p w:rsidR="00B705D9" w:rsidRPr="00321493" w:rsidRDefault="00B705D9" w:rsidP="00321493">
            <w:pPr>
              <w:jc w:val="both"/>
              <w:rPr>
                <w:rFonts w:ascii="Book Antiqua" w:hAnsi="Book Antiqua" w:cs="Arial"/>
                <w:b/>
              </w:rPr>
            </w:pPr>
          </w:p>
        </w:tc>
        <w:tc>
          <w:tcPr>
            <w:tcW w:w="5335" w:type="dxa"/>
          </w:tcPr>
          <w:p w:rsidR="00B705D9" w:rsidRPr="00321493" w:rsidRDefault="00B705D9" w:rsidP="00321493">
            <w:pPr>
              <w:jc w:val="both"/>
              <w:rPr>
                <w:rFonts w:ascii="Book Antiqua" w:hAnsi="Book Antiqua" w:cs="Arial"/>
                <w:b/>
              </w:rPr>
            </w:pPr>
          </w:p>
        </w:tc>
      </w:tr>
    </w:tbl>
    <w:p w:rsidR="00B705D9" w:rsidRPr="00F5664C" w:rsidRDefault="00B705D9" w:rsidP="00A15234">
      <w:pPr>
        <w:jc w:val="center"/>
        <w:rPr>
          <w:rFonts w:ascii="Book Antiqua" w:hAnsi="Book Antiqua" w:cs="Arial"/>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rsidR="00B705D9" w:rsidRPr="00F5664C" w:rsidRDefault="00B705D9" w:rsidP="00DE279E">
      <w:pPr>
        <w:jc w:val="center"/>
        <w:rPr>
          <w:rFonts w:ascii="Book Antiqua" w:hAnsi="Book Antiqua" w:cs="Arial"/>
          <w:b/>
        </w:rPr>
      </w:pPr>
    </w:p>
    <w:p w:rsidR="0075590E" w:rsidRDefault="0075590E" w:rsidP="00A15234">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B705D9" w:rsidRPr="00A60EA2" w:rsidRDefault="0070390B" w:rsidP="00742A8D">
      <w:pPr>
        <w:jc w:val="center"/>
        <w:rPr>
          <w:rFonts w:ascii="Book Antiqua" w:hAnsi="Book Antiqua" w:cs="Arial"/>
          <w:b/>
          <w:caps/>
          <w:sz w:val="26"/>
        </w:rPr>
      </w:pPr>
      <w:r w:rsidRPr="00A60EA2">
        <w:rPr>
          <w:rFonts w:ascii="Book Antiqua" w:hAnsi="Book Antiqua" w:cs="Arial"/>
          <w:b/>
          <w:caps/>
          <w:sz w:val="26"/>
        </w:rPr>
        <w:t>SOBIKAN BASKARAN</w:t>
      </w:r>
    </w:p>
    <w:p w:rsidR="00B705D9" w:rsidRPr="00A60EA2" w:rsidRDefault="00B705D9" w:rsidP="00742A8D">
      <w:pPr>
        <w:jc w:val="center"/>
        <w:rPr>
          <w:rFonts w:ascii="Book Antiqua" w:hAnsi="Book Antiqua" w:cs="Arial"/>
          <w:b/>
          <w:caps/>
          <w:sz w:val="22"/>
        </w:rPr>
      </w:pPr>
      <w:r w:rsidRPr="00A60EA2">
        <w:rPr>
          <w:rFonts w:ascii="Book Antiqua" w:hAnsi="Book Antiqua" w:cs="Arial"/>
          <w:b/>
          <w:caps/>
          <w:sz w:val="22"/>
        </w:rPr>
        <w:t>(no anonymity order)</w:t>
      </w:r>
    </w:p>
    <w:p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Pr="00F5664C" w:rsidRDefault="00B705D9" w:rsidP="00704B61">
      <w:pPr>
        <w:jc w:val="center"/>
        <w:rPr>
          <w:rFonts w:ascii="Book Antiqua" w:hAnsi="Book Antiqua" w:cs="Arial"/>
          <w:b/>
        </w:rPr>
      </w:pPr>
    </w:p>
    <w:bookmarkStart w:id="1" w:name="Text7"/>
    <w:p w:rsidR="00B705D9" w:rsidRPr="00DE279E" w:rsidRDefault="00B705D9" w:rsidP="00DE279E">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Default="00B705D9" w:rsidP="00DD5071">
      <w:pPr>
        <w:rPr>
          <w:rFonts w:ascii="Book Antiqua" w:hAnsi="Book Antiqua" w:cs="Arial"/>
          <w:u w:val="single"/>
        </w:rPr>
      </w:pPr>
    </w:p>
    <w:p w:rsidR="0075590E" w:rsidRPr="00F5664C" w:rsidRDefault="0075590E" w:rsidP="00DD5071">
      <w:pPr>
        <w:rPr>
          <w:rFonts w:ascii="Book Antiqua" w:hAnsi="Book Antiqua" w:cs="Arial"/>
          <w:u w:val="single"/>
        </w:rPr>
      </w:pPr>
    </w:p>
    <w:p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0390B">
        <w:rPr>
          <w:rFonts w:ascii="Book Antiqua" w:hAnsi="Book Antiqua" w:cs="Arial"/>
        </w:rPr>
        <w:t xml:space="preserve">Ms C Physsas, Counsel </w:t>
      </w:r>
      <w:r>
        <w:rPr>
          <w:rFonts w:ascii="Book Antiqua" w:hAnsi="Book Antiqua" w:cs="Arial"/>
        </w:rPr>
        <w:t xml:space="preserve">instructed by </w:t>
      </w:r>
      <w:r w:rsidR="0070390B">
        <w:rPr>
          <w:rFonts w:ascii="Book Antiqua" w:hAnsi="Book Antiqua" w:cs="Arial"/>
        </w:rPr>
        <w:t>Genga &amp; Co Solicitors Ltd</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0390B">
        <w:rPr>
          <w:rFonts w:ascii="Book Antiqua" w:hAnsi="Book Antiqua" w:cs="Arial"/>
        </w:rPr>
        <w:t>Mr E Tufan</w:t>
      </w:r>
      <w:r>
        <w:rPr>
          <w:rFonts w:ascii="Book Antiqua" w:hAnsi="Book Antiqua" w:cs="Arial"/>
        </w:rPr>
        <w:t>, a Senior Home Office Presenting Officer</w:t>
      </w:r>
    </w:p>
    <w:p w:rsidR="00B705D9" w:rsidRDefault="00B705D9" w:rsidP="00402B9E">
      <w:pPr>
        <w:tabs>
          <w:tab w:val="left" w:pos="2520"/>
        </w:tabs>
        <w:jc w:val="center"/>
        <w:rPr>
          <w:rFonts w:ascii="Book Antiqua" w:hAnsi="Book Antiqua" w:cs="Arial"/>
        </w:rPr>
      </w:pPr>
    </w:p>
    <w:p w:rsidR="0075590E" w:rsidRPr="00F5664C" w:rsidRDefault="0075590E" w:rsidP="00402B9E">
      <w:pPr>
        <w:tabs>
          <w:tab w:val="left" w:pos="2520"/>
        </w:tabs>
        <w:jc w:val="center"/>
        <w:rPr>
          <w:rFonts w:ascii="Book Antiqua" w:hAnsi="Book Antiqua" w:cs="Arial"/>
        </w:rPr>
      </w:pPr>
    </w:p>
    <w:p w:rsidR="00B705D9" w:rsidRPr="00A60EA2"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rsidR="007A081F" w:rsidRDefault="0070390B" w:rsidP="005930B2">
      <w:pPr>
        <w:numPr>
          <w:ilvl w:val="0"/>
          <w:numId w:val="3"/>
        </w:numPr>
        <w:spacing w:before="240"/>
        <w:jc w:val="both"/>
        <w:rPr>
          <w:rFonts w:ascii="Book Antiqua" w:hAnsi="Book Antiqua" w:cs="Arial"/>
        </w:rPr>
      </w:pPr>
      <w:r>
        <w:rPr>
          <w:rFonts w:ascii="Book Antiqua" w:hAnsi="Book Antiqua" w:cs="Arial"/>
        </w:rPr>
        <w:t>The applicant</w:t>
      </w:r>
      <w:r w:rsidR="00C242C6">
        <w:rPr>
          <w:rFonts w:ascii="Book Antiqua" w:hAnsi="Book Antiqua" w:cs="Arial"/>
        </w:rPr>
        <w:t xml:space="preserve"> </w:t>
      </w:r>
      <w:r>
        <w:rPr>
          <w:rFonts w:ascii="Book Antiqua" w:hAnsi="Book Antiqua" w:cs="Arial"/>
        </w:rPr>
        <w:t xml:space="preserve">is a Sri Lankan Tamil originally from the </w:t>
      </w:r>
      <w:proofErr w:type="spellStart"/>
      <w:r>
        <w:rPr>
          <w:rFonts w:ascii="Book Antiqua" w:hAnsi="Book Antiqua" w:cs="Arial"/>
        </w:rPr>
        <w:t>Vanni</w:t>
      </w:r>
      <w:proofErr w:type="spellEnd"/>
      <w:r>
        <w:rPr>
          <w:rFonts w:ascii="Book Antiqua" w:hAnsi="Book Antiqua" w:cs="Arial"/>
        </w:rPr>
        <w:t xml:space="preserve"> who </w:t>
      </w:r>
      <w:r w:rsidR="00F86114">
        <w:rPr>
          <w:rFonts w:ascii="Book Antiqua" w:hAnsi="Book Antiqua" w:cs="Arial"/>
        </w:rPr>
        <w:t xml:space="preserve">says he arrived in the United Kingdom aged 13, on 25 October 2009, claiming asylum 2 days later.  He </w:t>
      </w:r>
      <w:r w:rsidR="007A081F">
        <w:rPr>
          <w:rFonts w:ascii="Book Antiqua" w:hAnsi="Book Antiqua" w:cs="Arial"/>
        </w:rPr>
        <w:t>went to live with his great-aunt and great-uncle.  He has had no contact with his family in Sri Lanka since 2011.</w:t>
      </w:r>
    </w:p>
    <w:p w:rsidR="00D82CAB" w:rsidRDefault="00D82CAB" w:rsidP="00D82CAB">
      <w:pPr>
        <w:numPr>
          <w:ilvl w:val="0"/>
          <w:numId w:val="3"/>
        </w:numPr>
        <w:spacing w:before="240"/>
        <w:jc w:val="both"/>
        <w:rPr>
          <w:rFonts w:ascii="Book Antiqua" w:hAnsi="Book Antiqua" w:cs="Arial"/>
        </w:rPr>
      </w:pPr>
      <w:r w:rsidRPr="005930B2">
        <w:rPr>
          <w:rFonts w:ascii="Book Antiqua" w:hAnsi="Book Antiqua" w:cs="Arial"/>
        </w:rPr>
        <w:t xml:space="preserve">The appellant appeals </w:t>
      </w:r>
      <w:r>
        <w:rPr>
          <w:rFonts w:ascii="Book Antiqua" w:hAnsi="Book Antiqua" w:cs="Arial"/>
        </w:rPr>
        <w:t xml:space="preserve">on human rights grounds </w:t>
      </w:r>
      <w:r w:rsidRPr="005930B2">
        <w:rPr>
          <w:rFonts w:ascii="Book Antiqua" w:hAnsi="Book Antiqua" w:cs="Arial"/>
        </w:rPr>
        <w:t xml:space="preserve">against the </w:t>
      </w:r>
      <w:r>
        <w:rPr>
          <w:rFonts w:ascii="Book Antiqua" w:hAnsi="Book Antiqua" w:cs="Arial"/>
        </w:rPr>
        <w:t xml:space="preserve">decision of the First-tier Tribunal dismissing his appeal against the </w:t>
      </w:r>
      <w:r w:rsidRPr="005930B2">
        <w:rPr>
          <w:rFonts w:ascii="Book Antiqua" w:hAnsi="Book Antiqua" w:cs="Arial"/>
        </w:rPr>
        <w:t>respondent’s decision to refuse him further leave to remain</w:t>
      </w:r>
      <w:r>
        <w:rPr>
          <w:rFonts w:ascii="Book Antiqua" w:hAnsi="Book Antiqua" w:cs="Arial"/>
        </w:rPr>
        <w:t xml:space="preserve"> in accordance with her discretionary leave policy</w:t>
      </w:r>
      <w:r w:rsidRPr="005930B2">
        <w:rPr>
          <w:rFonts w:ascii="Book Antiqua" w:hAnsi="Book Antiqua" w:cs="Arial"/>
        </w:rPr>
        <w:t>.</w:t>
      </w:r>
    </w:p>
    <w:p w:rsidR="00D82CAB" w:rsidRDefault="00D82CAB" w:rsidP="00D82CAB">
      <w:pPr>
        <w:numPr>
          <w:ilvl w:val="0"/>
          <w:numId w:val="3"/>
        </w:numPr>
        <w:spacing w:before="240"/>
        <w:jc w:val="both"/>
        <w:rPr>
          <w:rFonts w:ascii="Book Antiqua" w:hAnsi="Book Antiqua" w:cs="Arial"/>
        </w:rPr>
      </w:pPr>
      <w:r w:rsidRPr="00D96AB0">
        <w:rPr>
          <w:rFonts w:ascii="Book Antiqua" w:hAnsi="Book Antiqua" w:cs="Arial"/>
        </w:rPr>
        <w:lastRenderedPageBreak/>
        <w:t>The appellant is now an adult, and section 55 of the Borders, Citizenship and Immigration Act 2009 is not in issue</w:t>
      </w:r>
      <w:r>
        <w:rPr>
          <w:rFonts w:ascii="Book Antiqua" w:hAnsi="Book Antiqua" w:cs="Arial"/>
        </w:rPr>
        <w:t xml:space="preserve"> before me</w:t>
      </w:r>
      <w:r w:rsidRPr="00D96AB0">
        <w:rPr>
          <w:rFonts w:ascii="Book Antiqua" w:hAnsi="Book Antiqua" w:cs="Arial"/>
        </w:rPr>
        <w:t>.</w:t>
      </w:r>
    </w:p>
    <w:p w:rsidR="00D82CAB" w:rsidRPr="00D82CAB" w:rsidRDefault="00D82CAB" w:rsidP="00D82CAB">
      <w:pPr>
        <w:spacing w:before="240"/>
        <w:jc w:val="both"/>
        <w:rPr>
          <w:rFonts w:ascii="Book Antiqua" w:hAnsi="Book Antiqua" w:cs="Arial"/>
          <w:b/>
        </w:rPr>
      </w:pPr>
      <w:r>
        <w:rPr>
          <w:rFonts w:ascii="Book Antiqua" w:hAnsi="Book Antiqua" w:cs="Arial"/>
          <w:b/>
        </w:rPr>
        <w:t xml:space="preserve">Background </w:t>
      </w:r>
    </w:p>
    <w:p w:rsidR="00D82CAB" w:rsidRDefault="007A081F" w:rsidP="00D82CAB">
      <w:pPr>
        <w:numPr>
          <w:ilvl w:val="0"/>
          <w:numId w:val="3"/>
        </w:numPr>
        <w:spacing w:before="240"/>
        <w:jc w:val="both"/>
        <w:rPr>
          <w:rFonts w:ascii="Book Antiqua" w:hAnsi="Book Antiqua" w:cs="Arial"/>
        </w:rPr>
      </w:pPr>
      <w:r>
        <w:rPr>
          <w:rFonts w:ascii="Book Antiqua" w:hAnsi="Book Antiqua" w:cs="Arial"/>
        </w:rPr>
        <w:t xml:space="preserve">The respondent refused to grant the appellant asylum.  However, </w:t>
      </w:r>
      <w:r w:rsidR="00F86114">
        <w:rPr>
          <w:rFonts w:ascii="Book Antiqua" w:hAnsi="Book Antiqua" w:cs="Arial"/>
        </w:rPr>
        <w:t xml:space="preserve">as he was </w:t>
      </w:r>
      <w:r w:rsidR="00F86114" w:rsidRPr="00F86114">
        <w:rPr>
          <w:rFonts w:ascii="Book Antiqua" w:hAnsi="Book Antiqua" w:cs="Arial"/>
        </w:rPr>
        <w:t xml:space="preserve">an unaccompanied </w:t>
      </w:r>
      <w:r w:rsidR="00F86114">
        <w:rPr>
          <w:rFonts w:ascii="Book Antiqua" w:hAnsi="Book Antiqua" w:cs="Arial"/>
        </w:rPr>
        <w:t>minor, the appellant was given discretionary leave</w:t>
      </w:r>
      <w:r w:rsidR="005930B2">
        <w:rPr>
          <w:rFonts w:ascii="Book Antiqua" w:hAnsi="Book Antiqua" w:cs="Arial"/>
        </w:rPr>
        <w:t xml:space="preserve"> to remain, </w:t>
      </w:r>
      <w:r w:rsidR="005D56C0">
        <w:rPr>
          <w:rFonts w:ascii="Book Antiqua" w:hAnsi="Book Antiqua" w:cs="Arial"/>
        </w:rPr>
        <w:t xml:space="preserve">from </w:t>
      </w:r>
      <w:r w:rsidR="004D7F1B">
        <w:rPr>
          <w:rFonts w:ascii="Book Antiqua" w:hAnsi="Book Antiqua" w:cs="Arial"/>
        </w:rPr>
        <w:t>31 December 2009 to 31 December 2012</w:t>
      </w:r>
      <w:r>
        <w:rPr>
          <w:rFonts w:ascii="Book Antiqua" w:hAnsi="Book Antiqua" w:cs="Arial"/>
        </w:rPr>
        <w:t xml:space="preserve">.  </w:t>
      </w:r>
    </w:p>
    <w:p w:rsidR="00E00B36" w:rsidRDefault="007A081F" w:rsidP="00D82CAB">
      <w:pPr>
        <w:numPr>
          <w:ilvl w:val="0"/>
          <w:numId w:val="3"/>
        </w:numPr>
        <w:spacing w:before="240"/>
        <w:jc w:val="both"/>
        <w:rPr>
          <w:rFonts w:ascii="Book Antiqua" w:hAnsi="Book Antiqua" w:cs="Arial"/>
        </w:rPr>
      </w:pPr>
      <w:r>
        <w:rPr>
          <w:rFonts w:ascii="Book Antiqua" w:hAnsi="Book Antiqua" w:cs="Arial"/>
        </w:rPr>
        <w:t xml:space="preserve">His </w:t>
      </w:r>
      <w:r w:rsidR="00D82CAB" w:rsidRPr="00D82CAB">
        <w:rPr>
          <w:rFonts w:ascii="Book Antiqua" w:hAnsi="Book Antiqua" w:cs="Arial"/>
        </w:rPr>
        <w:t xml:space="preserve">great-uncle and great-aunt </w:t>
      </w:r>
      <w:r>
        <w:rPr>
          <w:rFonts w:ascii="Book Antiqua" w:hAnsi="Book Antiqua" w:cs="Arial"/>
        </w:rPr>
        <w:t xml:space="preserve">overlooked the need to renew </w:t>
      </w:r>
      <w:r w:rsidR="00D6760D">
        <w:rPr>
          <w:rFonts w:ascii="Book Antiqua" w:hAnsi="Book Antiqua" w:cs="Arial"/>
        </w:rPr>
        <w:t xml:space="preserve">the discretionary leave in December 2012: they could have made an application to renew within 28 days (that is to say, not later than 28 January 2013), but the application </w:t>
      </w:r>
      <w:r w:rsidR="00B260AE">
        <w:rPr>
          <w:rFonts w:ascii="Book Antiqua" w:hAnsi="Book Antiqua" w:cs="Arial"/>
        </w:rPr>
        <w:t>was not made until 11 March 2013, just under 2½ months out of time, and 6 weeks outside the 28-day grace period.  The appellant was not responsible for that delay</w:t>
      </w:r>
      <w:r w:rsidR="00E00B36">
        <w:rPr>
          <w:rFonts w:ascii="Book Antiqua" w:hAnsi="Book Antiqua" w:cs="Arial"/>
        </w:rPr>
        <w:t xml:space="preserve"> as he was still a child.  The respondent granted the appellant a further period of discretionary leave, </w:t>
      </w:r>
      <w:r w:rsidR="004D7F1B">
        <w:rPr>
          <w:rFonts w:ascii="Book Antiqua" w:hAnsi="Book Antiqua" w:cs="Arial"/>
        </w:rPr>
        <w:t>from 1 May 2013 to 3 May 2016</w:t>
      </w:r>
      <w:r w:rsidR="00F86114">
        <w:rPr>
          <w:rFonts w:ascii="Book Antiqua" w:hAnsi="Book Antiqua" w:cs="Arial"/>
        </w:rPr>
        <w:t>.</w:t>
      </w:r>
      <w:r w:rsidR="004D7F1B">
        <w:rPr>
          <w:rFonts w:ascii="Book Antiqua" w:hAnsi="Book Antiqua" w:cs="Arial"/>
        </w:rPr>
        <w:t xml:space="preserve">  </w:t>
      </w:r>
    </w:p>
    <w:p w:rsidR="001F7D1D" w:rsidRDefault="004D7F1B" w:rsidP="005930B2">
      <w:pPr>
        <w:numPr>
          <w:ilvl w:val="0"/>
          <w:numId w:val="3"/>
        </w:numPr>
        <w:spacing w:before="240"/>
        <w:jc w:val="both"/>
        <w:rPr>
          <w:rFonts w:ascii="Book Antiqua" w:hAnsi="Book Antiqua" w:cs="Arial"/>
        </w:rPr>
      </w:pPr>
      <w:r>
        <w:rPr>
          <w:rFonts w:ascii="Book Antiqua" w:hAnsi="Book Antiqua" w:cs="Arial"/>
        </w:rPr>
        <w:t xml:space="preserve">The appellant submitted an in-time application for further leave to remain on </w:t>
      </w:r>
      <w:r w:rsidR="00DB4838">
        <w:rPr>
          <w:rFonts w:ascii="Book Antiqua" w:hAnsi="Book Antiqua" w:cs="Arial"/>
        </w:rPr>
        <w:t>25 April 2016, such that the conditions of his previous leave to remain were extended under section 3C of the Immigration Act 1971 (as amended).</w:t>
      </w:r>
      <w:r w:rsidR="00F86114">
        <w:rPr>
          <w:rFonts w:ascii="Book Antiqua" w:hAnsi="Book Antiqua" w:cs="Arial"/>
        </w:rPr>
        <w:t xml:space="preserve">  </w:t>
      </w:r>
      <w:r w:rsidR="00E00B36">
        <w:rPr>
          <w:rFonts w:ascii="Book Antiqua" w:hAnsi="Book Antiqua" w:cs="Arial"/>
        </w:rPr>
        <w:t xml:space="preserve">The respondent refused, </w:t>
      </w:r>
      <w:r w:rsidR="006D0D0B">
        <w:rPr>
          <w:rFonts w:ascii="Book Antiqua" w:hAnsi="Book Antiqua" w:cs="Arial"/>
        </w:rPr>
        <w:t>relying on the interruption between January and March 2013</w:t>
      </w:r>
      <w:r w:rsidR="00D82CAB">
        <w:rPr>
          <w:rFonts w:ascii="Book Antiqua" w:hAnsi="Book Antiqua" w:cs="Arial"/>
        </w:rPr>
        <w:t xml:space="preserve"> and applying the Immigration Rules as they stood in 2016</w:t>
      </w:r>
      <w:r w:rsidR="006D0D0B">
        <w:rPr>
          <w:rFonts w:ascii="Book Antiqua" w:hAnsi="Book Antiqua" w:cs="Arial"/>
        </w:rPr>
        <w:t xml:space="preserve">. </w:t>
      </w:r>
    </w:p>
    <w:p w:rsidR="009828F5" w:rsidRPr="009828F5" w:rsidRDefault="009828F5" w:rsidP="009828F5">
      <w:pPr>
        <w:spacing w:before="240"/>
        <w:jc w:val="both"/>
        <w:rPr>
          <w:rFonts w:ascii="Book Antiqua" w:hAnsi="Book Antiqua" w:cs="Arial"/>
          <w:b/>
        </w:rPr>
      </w:pPr>
      <w:r>
        <w:rPr>
          <w:rFonts w:ascii="Book Antiqua" w:hAnsi="Book Antiqua" w:cs="Arial"/>
          <w:b/>
        </w:rPr>
        <w:t xml:space="preserve">Refusal of leave to remain </w:t>
      </w:r>
    </w:p>
    <w:p w:rsidR="00F86114" w:rsidRDefault="00F86114" w:rsidP="00F86114">
      <w:pPr>
        <w:numPr>
          <w:ilvl w:val="0"/>
          <w:numId w:val="3"/>
        </w:numPr>
        <w:spacing w:before="240"/>
        <w:jc w:val="both"/>
        <w:rPr>
          <w:rFonts w:ascii="Book Antiqua" w:hAnsi="Book Antiqua" w:cs="Arial"/>
        </w:rPr>
      </w:pPr>
      <w:r w:rsidRPr="00F86114">
        <w:rPr>
          <w:rFonts w:ascii="Book Antiqua" w:hAnsi="Book Antiqua" w:cs="Arial"/>
        </w:rPr>
        <w:t>On 13 August 2016</w:t>
      </w:r>
      <w:r w:rsidR="001F7D1D">
        <w:rPr>
          <w:rFonts w:ascii="Book Antiqua" w:hAnsi="Book Antiqua" w:cs="Arial"/>
        </w:rPr>
        <w:t>, when</w:t>
      </w:r>
      <w:r>
        <w:rPr>
          <w:rFonts w:ascii="Book Antiqua" w:hAnsi="Book Antiqua" w:cs="Arial"/>
        </w:rPr>
        <w:t xml:space="preserve"> refusing further leave,</w:t>
      </w:r>
      <w:r w:rsidRPr="00F86114">
        <w:rPr>
          <w:rFonts w:ascii="Book Antiqua" w:hAnsi="Book Antiqua" w:cs="Arial"/>
        </w:rPr>
        <w:t xml:space="preserve"> </w:t>
      </w:r>
      <w:r>
        <w:rPr>
          <w:rFonts w:ascii="Book Antiqua" w:hAnsi="Book Antiqua" w:cs="Arial"/>
        </w:rPr>
        <w:t xml:space="preserve">the respondent said this: </w:t>
      </w:r>
    </w:p>
    <w:p w:rsidR="00F86114" w:rsidRPr="001672AC" w:rsidRDefault="00F86114" w:rsidP="0075590E">
      <w:pPr>
        <w:spacing w:before="120"/>
        <w:ind w:left="1134" w:right="567" w:hanging="567"/>
        <w:jc w:val="both"/>
        <w:rPr>
          <w:rFonts w:ascii="Book Antiqua" w:hAnsi="Book Antiqua" w:cs="Arial"/>
          <w:sz w:val="22"/>
          <w:szCs w:val="22"/>
        </w:rPr>
      </w:pPr>
      <w:r w:rsidRPr="001672AC">
        <w:rPr>
          <w:rFonts w:ascii="Book Antiqua" w:hAnsi="Book Antiqua" w:cs="Arial"/>
          <w:sz w:val="22"/>
          <w:szCs w:val="22"/>
        </w:rPr>
        <w:t>“17.</w:t>
      </w:r>
      <w:r w:rsidRPr="001672AC">
        <w:rPr>
          <w:rFonts w:ascii="Book Antiqua" w:hAnsi="Book Antiqua" w:cs="Arial"/>
          <w:sz w:val="22"/>
          <w:szCs w:val="22"/>
        </w:rPr>
        <w:tab/>
        <w:t>You claim to have arrived in the United Kingdom on 2</w:t>
      </w:r>
      <w:r>
        <w:rPr>
          <w:rFonts w:ascii="Book Antiqua" w:hAnsi="Book Antiqua" w:cs="Arial"/>
          <w:sz w:val="22"/>
          <w:szCs w:val="22"/>
        </w:rPr>
        <w:t>5</w:t>
      </w:r>
      <w:r w:rsidRPr="001672AC">
        <w:rPr>
          <w:rFonts w:ascii="Book Antiqua" w:hAnsi="Book Antiqua" w:cs="Arial"/>
          <w:sz w:val="22"/>
          <w:szCs w:val="22"/>
        </w:rPr>
        <w:t xml:space="preserve"> October 2009 and claimed asylum on 2</w:t>
      </w:r>
      <w:r>
        <w:rPr>
          <w:rFonts w:ascii="Book Antiqua" w:hAnsi="Book Antiqua" w:cs="Arial"/>
          <w:sz w:val="22"/>
          <w:szCs w:val="22"/>
        </w:rPr>
        <w:t>7</w:t>
      </w:r>
      <w:r w:rsidRPr="001672AC">
        <w:rPr>
          <w:rFonts w:ascii="Book Antiqua" w:hAnsi="Book Antiqua" w:cs="Arial"/>
          <w:sz w:val="22"/>
          <w:szCs w:val="22"/>
        </w:rPr>
        <w:t xml:space="preserve"> October 2009.  Your asylum claim was refused on 3</w:t>
      </w:r>
      <w:r>
        <w:rPr>
          <w:rFonts w:ascii="Book Antiqua" w:hAnsi="Book Antiqua" w:cs="Arial"/>
          <w:sz w:val="22"/>
          <w:szCs w:val="22"/>
        </w:rPr>
        <w:t>1</w:t>
      </w:r>
      <w:r w:rsidRPr="001672AC">
        <w:rPr>
          <w:rFonts w:ascii="Book Antiqua" w:hAnsi="Book Antiqua" w:cs="Arial"/>
          <w:sz w:val="22"/>
          <w:szCs w:val="22"/>
        </w:rPr>
        <w:t xml:space="preserve"> December </w:t>
      </w:r>
      <w:proofErr w:type="gramStart"/>
      <w:r w:rsidRPr="001672AC">
        <w:rPr>
          <w:rFonts w:ascii="Book Antiqua" w:hAnsi="Book Antiqua" w:cs="Arial"/>
          <w:sz w:val="22"/>
          <w:szCs w:val="22"/>
        </w:rPr>
        <w:t>2009,</w:t>
      </w:r>
      <w:proofErr w:type="gramEnd"/>
      <w:r w:rsidRPr="001672AC">
        <w:rPr>
          <w:rFonts w:ascii="Book Antiqua" w:hAnsi="Book Antiqua" w:cs="Arial"/>
          <w:sz w:val="22"/>
          <w:szCs w:val="22"/>
        </w:rPr>
        <w:t xml:space="preserve"> however you were granted discretionary leave to remain in the United Kingdom until 3</w:t>
      </w:r>
      <w:r>
        <w:rPr>
          <w:rFonts w:ascii="Book Antiqua" w:hAnsi="Book Antiqua" w:cs="Arial"/>
          <w:sz w:val="22"/>
          <w:szCs w:val="22"/>
        </w:rPr>
        <w:t>1</w:t>
      </w:r>
      <w:r w:rsidRPr="001672AC">
        <w:rPr>
          <w:rFonts w:ascii="Book Antiqua" w:hAnsi="Book Antiqua" w:cs="Arial"/>
          <w:sz w:val="22"/>
          <w:szCs w:val="22"/>
        </w:rPr>
        <w:t xml:space="preserve"> December 2012.  You submitted an out of time application for further leave to remain on 1</w:t>
      </w:r>
      <w:r>
        <w:rPr>
          <w:rFonts w:ascii="Book Antiqua" w:hAnsi="Book Antiqua" w:cs="Arial"/>
          <w:sz w:val="22"/>
          <w:szCs w:val="22"/>
        </w:rPr>
        <w:t>1</w:t>
      </w:r>
      <w:r w:rsidRPr="001672AC">
        <w:rPr>
          <w:rFonts w:ascii="Book Antiqua" w:hAnsi="Book Antiqua" w:cs="Arial"/>
          <w:sz w:val="22"/>
          <w:szCs w:val="22"/>
        </w:rPr>
        <w:t xml:space="preserve"> March 2013, however, </w:t>
      </w:r>
      <w:r w:rsidRPr="001672AC">
        <w:rPr>
          <w:rFonts w:ascii="Book Antiqua" w:hAnsi="Book Antiqua" w:cs="Arial"/>
          <w:i/>
          <w:sz w:val="22"/>
          <w:szCs w:val="22"/>
        </w:rPr>
        <w:t>this out of time application will not be held against your compliance as you were a minor at the time the application was submitted</w:t>
      </w:r>
      <w:r w:rsidRPr="001672AC">
        <w:rPr>
          <w:rFonts w:ascii="Book Antiqua" w:hAnsi="Book Antiqua" w:cs="Arial"/>
          <w:sz w:val="22"/>
          <w:szCs w:val="22"/>
        </w:rPr>
        <w:t xml:space="preserve">.  You were then granted further discretionary leave to remain in the United Kingdom from </w:t>
      </w:r>
      <w:r>
        <w:rPr>
          <w:rFonts w:ascii="Book Antiqua" w:hAnsi="Book Antiqua" w:cs="Arial"/>
          <w:sz w:val="22"/>
          <w:szCs w:val="22"/>
        </w:rPr>
        <w:t>1</w:t>
      </w:r>
      <w:r w:rsidRPr="001672AC">
        <w:rPr>
          <w:rFonts w:ascii="Book Antiqua" w:hAnsi="Book Antiqua" w:cs="Arial"/>
          <w:sz w:val="22"/>
          <w:szCs w:val="22"/>
        </w:rPr>
        <w:t xml:space="preserve"> May 2013 until </w:t>
      </w:r>
      <w:r>
        <w:rPr>
          <w:rFonts w:ascii="Book Antiqua" w:hAnsi="Book Antiqua" w:cs="Arial"/>
          <w:sz w:val="22"/>
          <w:szCs w:val="22"/>
        </w:rPr>
        <w:t>3</w:t>
      </w:r>
      <w:r w:rsidRPr="001672AC">
        <w:rPr>
          <w:rFonts w:ascii="Book Antiqua" w:hAnsi="Book Antiqua" w:cs="Arial"/>
          <w:sz w:val="22"/>
          <w:szCs w:val="22"/>
        </w:rPr>
        <w:t xml:space="preserve"> May 2016.  You submitted an in-time application for further leave to remain on 2</w:t>
      </w:r>
      <w:r>
        <w:rPr>
          <w:rFonts w:ascii="Book Antiqua" w:hAnsi="Book Antiqua" w:cs="Arial"/>
          <w:sz w:val="22"/>
          <w:szCs w:val="22"/>
        </w:rPr>
        <w:t>5</w:t>
      </w:r>
      <w:r w:rsidRPr="001672AC">
        <w:rPr>
          <w:rFonts w:ascii="Book Antiqua" w:hAnsi="Book Antiqua" w:cs="Arial"/>
          <w:sz w:val="22"/>
          <w:szCs w:val="22"/>
        </w:rPr>
        <w:t xml:space="preserve"> April 2016, therefore, the conditions of your previous grant of leave continued until your application for further leave was considered.  </w:t>
      </w:r>
    </w:p>
    <w:p w:rsidR="00F86114" w:rsidRPr="001672AC" w:rsidRDefault="00F86114" w:rsidP="0075590E">
      <w:pPr>
        <w:spacing w:before="120"/>
        <w:ind w:left="1134" w:right="567" w:hanging="567"/>
        <w:jc w:val="both"/>
        <w:rPr>
          <w:rFonts w:ascii="Book Antiqua" w:hAnsi="Book Antiqua" w:cs="Arial"/>
          <w:sz w:val="22"/>
          <w:szCs w:val="22"/>
        </w:rPr>
      </w:pPr>
      <w:r w:rsidRPr="001672AC">
        <w:rPr>
          <w:rFonts w:ascii="Book Antiqua" w:hAnsi="Book Antiqua" w:cs="Arial"/>
          <w:sz w:val="22"/>
          <w:szCs w:val="22"/>
        </w:rPr>
        <w:t>18.</w:t>
      </w:r>
      <w:r w:rsidRPr="001672AC">
        <w:rPr>
          <w:rFonts w:ascii="Book Antiqua" w:hAnsi="Book Antiqua" w:cs="Arial"/>
          <w:sz w:val="22"/>
          <w:szCs w:val="22"/>
        </w:rPr>
        <w:tab/>
        <w:t xml:space="preserve">Taking your compliance into consideration, it is accepted that there is nothing adverse known which could preclude a grant of leave to remain in the United Kingdom, however, your compliance is not considered a significant compelling reason to justify granting you further leave to remain in the United Kingdom.  </w:t>
      </w:r>
    </w:p>
    <w:p w:rsidR="00F86114" w:rsidRPr="001672AC" w:rsidRDefault="00F86114" w:rsidP="0075590E">
      <w:pPr>
        <w:spacing w:before="120"/>
        <w:ind w:left="1134" w:right="567" w:hanging="567"/>
        <w:jc w:val="both"/>
        <w:rPr>
          <w:rFonts w:ascii="Book Antiqua" w:hAnsi="Book Antiqua" w:cs="Arial"/>
          <w:sz w:val="22"/>
          <w:szCs w:val="22"/>
        </w:rPr>
      </w:pPr>
      <w:r w:rsidRPr="001672AC">
        <w:rPr>
          <w:rFonts w:ascii="Book Antiqua" w:hAnsi="Book Antiqua" w:cs="Arial"/>
          <w:sz w:val="22"/>
          <w:szCs w:val="22"/>
        </w:rPr>
        <w:t>19.</w:t>
      </w:r>
      <w:r w:rsidRPr="001672AC">
        <w:rPr>
          <w:rFonts w:ascii="Book Antiqua" w:hAnsi="Book Antiqua" w:cs="Arial"/>
          <w:sz w:val="22"/>
          <w:szCs w:val="22"/>
        </w:rPr>
        <w:tab/>
        <w:t>It is acknowledged that you claim to have resided in the United Kingdom for approximately six years and ten months, however, there has been no significant delay in processing any of your applications at fault of the Home Office.  Therefore, taking your length of time spent in the United Kingdom outside your control into consideration [paragraph 353B of the Rules], it is not considered that there are any significant or compelling reasons to justify granting you further leave to remain in the United Kingdom</w:t>
      </w:r>
      <w:r w:rsidR="009828F5" w:rsidRPr="001672AC">
        <w:rPr>
          <w:rFonts w:ascii="Book Antiqua" w:hAnsi="Book Antiqua" w:cs="Arial"/>
          <w:sz w:val="22"/>
          <w:szCs w:val="22"/>
        </w:rPr>
        <w:t>.</w:t>
      </w:r>
      <w:r w:rsidRPr="001672AC">
        <w:rPr>
          <w:rFonts w:ascii="Book Antiqua" w:hAnsi="Book Antiqua" w:cs="Arial"/>
          <w:sz w:val="22"/>
          <w:szCs w:val="22"/>
        </w:rPr>
        <w:t>”</w:t>
      </w:r>
    </w:p>
    <w:p w:rsidR="00F86114" w:rsidRDefault="00F86114" w:rsidP="00F86114">
      <w:pPr>
        <w:spacing w:before="240"/>
        <w:ind w:left="567"/>
        <w:jc w:val="both"/>
        <w:rPr>
          <w:rFonts w:ascii="Book Antiqua" w:hAnsi="Book Antiqua" w:cs="Arial"/>
        </w:rPr>
      </w:pPr>
      <w:r>
        <w:rPr>
          <w:rFonts w:ascii="Book Antiqua" w:hAnsi="Book Antiqua" w:cs="Arial"/>
        </w:rPr>
        <w:lastRenderedPageBreak/>
        <w:t xml:space="preserve">The Respondent refused to grant any form of leave but gave the appellant an in-country right of appeal which he exercised.  </w:t>
      </w:r>
    </w:p>
    <w:p w:rsidR="009828F5" w:rsidRPr="009828F5" w:rsidRDefault="009828F5" w:rsidP="009828F5">
      <w:pPr>
        <w:spacing w:before="240"/>
        <w:jc w:val="both"/>
        <w:rPr>
          <w:rFonts w:ascii="Book Antiqua" w:hAnsi="Book Antiqua" w:cs="Arial"/>
          <w:b/>
        </w:rPr>
      </w:pPr>
      <w:r>
        <w:rPr>
          <w:rFonts w:ascii="Book Antiqua" w:hAnsi="Book Antiqua" w:cs="Arial"/>
          <w:b/>
        </w:rPr>
        <w:t>Respondent’s discretionary leave policy</w:t>
      </w:r>
    </w:p>
    <w:p w:rsidR="005D72C1" w:rsidRDefault="005D72C1" w:rsidP="005D72C1">
      <w:pPr>
        <w:numPr>
          <w:ilvl w:val="0"/>
          <w:numId w:val="3"/>
        </w:numPr>
        <w:spacing w:before="240"/>
        <w:jc w:val="both"/>
        <w:rPr>
          <w:rFonts w:ascii="Book Antiqua" w:hAnsi="Book Antiqua" w:cs="Arial"/>
        </w:rPr>
      </w:pPr>
      <w:r>
        <w:rPr>
          <w:rFonts w:ascii="Book Antiqua" w:hAnsi="Book Antiqua" w:cs="Arial"/>
        </w:rPr>
        <w:t>The appellant relied on the respondent’s Asylum Policy Instruction on Discretionary Leave (Version 7 published on 18 August 2015) which said this:</w:t>
      </w:r>
    </w:p>
    <w:p w:rsidR="005D72C1" w:rsidRPr="00B72609" w:rsidRDefault="005D72C1" w:rsidP="0075590E">
      <w:pPr>
        <w:spacing w:before="120"/>
        <w:ind w:left="1985" w:hanging="851"/>
        <w:jc w:val="both"/>
        <w:rPr>
          <w:rFonts w:ascii="Book Antiqua" w:hAnsi="Book Antiqua" w:cs="Arial"/>
          <w:b/>
          <w:sz w:val="22"/>
          <w:szCs w:val="22"/>
        </w:rPr>
      </w:pPr>
      <w:r w:rsidRPr="00B72609">
        <w:rPr>
          <w:rFonts w:ascii="Book Antiqua" w:hAnsi="Book Antiqua" w:cs="Arial"/>
          <w:b/>
          <w:sz w:val="22"/>
          <w:szCs w:val="22"/>
        </w:rPr>
        <w:t>“10.1</w:t>
      </w:r>
      <w:r w:rsidRPr="00B72609">
        <w:rPr>
          <w:rFonts w:ascii="Book Antiqua" w:hAnsi="Book Antiqua" w:cs="Arial"/>
          <w:b/>
          <w:sz w:val="22"/>
          <w:szCs w:val="22"/>
        </w:rPr>
        <w:tab/>
        <w:t xml:space="preserve">Applicants granted discretionary leave before 9 July 2012 </w:t>
      </w:r>
    </w:p>
    <w:p w:rsidR="005D72C1" w:rsidRPr="001672AC" w:rsidRDefault="005D72C1" w:rsidP="0075590E">
      <w:pPr>
        <w:spacing w:before="120"/>
        <w:ind w:left="1134"/>
        <w:jc w:val="both"/>
        <w:rPr>
          <w:rFonts w:ascii="Book Antiqua" w:hAnsi="Book Antiqua" w:cs="Arial"/>
          <w:sz w:val="22"/>
          <w:szCs w:val="22"/>
        </w:rPr>
      </w:pPr>
      <w:r w:rsidRPr="001672AC">
        <w:rPr>
          <w:rFonts w:ascii="Book Antiqua" w:hAnsi="Book Antiqua" w:cs="Arial"/>
          <w:sz w:val="22"/>
          <w:szCs w:val="22"/>
        </w:rPr>
        <w:t xml:space="preserve">Those granted leave under the discretionary leave policy in force before </w:t>
      </w:r>
      <w:r>
        <w:rPr>
          <w:rFonts w:ascii="Book Antiqua" w:hAnsi="Book Antiqua" w:cs="Arial"/>
          <w:sz w:val="22"/>
          <w:szCs w:val="22"/>
        </w:rPr>
        <w:t>9</w:t>
      </w:r>
      <w:r w:rsidRPr="001672AC">
        <w:rPr>
          <w:rFonts w:ascii="Book Antiqua" w:hAnsi="Book Antiqua" w:cs="Arial"/>
          <w:sz w:val="22"/>
          <w:szCs w:val="22"/>
        </w:rPr>
        <w:t xml:space="preserve"> July 2012 will normally continue to be dealt with under that policy through to settlement if they continue to qualify for further leave on the same basis as their original discretionary leave was granted (normally they will be eligible to apply for settlement after accruing </w:t>
      </w:r>
      <w:r>
        <w:rPr>
          <w:rFonts w:ascii="Book Antiqua" w:hAnsi="Book Antiqua" w:cs="Arial"/>
          <w:sz w:val="22"/>
          <w:szCs w:val="22"/>
        </w:rPr>
        <w:t>6</w:t>
      </w:r>
      <w:r w:rsidRPr="001672AC">
        <w:rPr>
          <w:rFonts w:ascii="Book Antiqua" w:hAnsi="Book Antiqua" w:cs="Arial"/>
          <w:sz w:val="22"/>
          <w:szCs w:val="22"/>
        </w:rPr>
        <w:t xml:space="preserve"> years’ continuous discretionary leave (or where appropriate a combination of discretionary leave and LOTR, see Section 8 above)), unless at the date of decision they </w:t>
      </w:r>
      <w:r>
        <w:rPr>
          <w:rFonts w:ascii="Book Antiqua" w:hAnsi="Book Antiqua" w:cs="Arial"/>
          <w:sz w:val="22"/>
          <w:szCs w:val="22"/>
        </w:rPr>
        <w:t xml:space="preserve">fall </w:t>
      </w:r>
      <w:r w:rsidRPr="001672AC">
        <w:rPr>
          <w:rFonts w:ascii="Book Antiqua" w:hAnsi="Book Antiqua" w:cs="Arial"/>
          <w:sz w:val="22"/>
          <w:szCs w:val="22"/>
        </w:rPr>
        <w:t>within the restricted leave policy”.</w:t>
      </w:r>
    </w:p>
    <w:p w:rsidR="005D72C1" w:rsidRDefault="005D72C1" w:rsidP="005D72C1">
      <w:pPr>
        <w:numPr>
          <w:ilvl w:val="0"/>
          <w:numId w:val="3"/>
        </w:numPr>
        <w:spacing w:before="240"/>
        <w:jc w:val="both"/>
        <w:rPr>
          <w:rFonts w:ascii="Book Antiqua" w:hAnsi="Book Antiqua" w:cs="Arial"/>
        </w:rPr>
      </w:pPr>
      <w:r>
        <w:rPr>
          <w:rFonts w:ascii="Book Antiqua" w:hAnsi="Book Antiqua" w:cs="Arial"/>
        </w:rPr>
        <w:t xml:space="preserve">Mr Tufan accepted at the hearing that both periods of discretionary leave appear to have been granted on the same basis and it is not contended that this appellant has ever fallen within the restricted leave policy.  If it were not for the 2½ month </w:t>
      </w:r>
      <w:r w:rsidR="009573A5">
        <w:rPr>
          <w:rFonts w:ascii="Book Antiqua" w:hAnsi="Book Antiqua" w:cs="Arial"/>
        </w:rPr>
        <w:t>interruption</w:t>
      </w:r>
      <w:r>
        <w:rPr>
          <w:rFonts w:ascii="Book Antiqua" w:hAnsi="Book Antiqua" w:cs="Arial"/>
        </w:rPr>
        <w:t xml:space="preserve">, the appellant would have been able to show 6 years’ discretionary leave and would have been able to apply successfully for settlement </w:t>
      </w:r>
      <w:r w:rsidR="006C4CA8">
        <w:rPr>
          <w:rFonts w:ascii="Book Antiqua" w:hAnsi="Book Antiqua" w:cs="Arial"/>
        </w:rPr>
        <w:t>under the policy</w:t>
      </w:r>
      <w:r>
        <w:rPr>
          <w:rFonts w:ascii="Book Antiqua" w:hAnsi="Book Antiqua" w:cs="Arial"/>
        </w:rPr>
        <w:t xml:space="preserve">. </w:t>
      </w:r>
    </w:p>
    <w:p w:rsidR="00792CC2" w:rsidRPr="00792CC2" w:rsidRDefault="00792CC2" w:rsidP="00792CC2">
      <w:pPr>
        <w:spacing w:before="240"/>
        <w:jc w:val="both"/>
        <w:rPr>
          <w:rFonts w:ascii="Book Antiqua" w:hAnsi="Book Antiqua" w:cs="Arial"/>
          <w:b/>
        </w:rPr>
      </w:pPr>
      <w:r w:rsidRPr="00792CC2">
        <w:rPr>
          <w:rFonts w:ascii="Book Antiqua" w:hAnsi="Book Antiqua" w:cs="Arial"/>
          <w:b/>
        </w:rPr>
        <w:t xml:space="preserve">First-tier Tribunal decision </w:t>
      </w:r>
    </w:p>
    <w:p w:rsidR="00B53EA7" w:rsidRDefault="00792CC2" w:rsidP="00B53EA7">
      <w:pPr>
        <w:numPr>
          <w:ilvl w:val="0"/>
          <w:numId w:val="3"/>
        </w:numPr>
        <w:spacing w:before="240"/>
        <w:jc w:val="both"/>
        <w:rPr>
          <w:rFonts w:ascii="Book Antiqua" w:hAnsi="Book Antiqua" w:cs="Arial"/>
        </w:rPr>
      </w:pPr>
      <w:r>
        <w:rPr>
          <w:rFonts w:ascii="Book Antiqua" w:hAnsi="Book Antiqua" w:cs="Arial"/>
        </w:rPr>
        <w:t>The First-tier Tribunal</w:t>
      </w:r>
      <w:r w:rsidR="00B53EA7">
        <w:rPr>
          <w:rFonts w:ascii="Book Antiqua" w:hAnsi="Book Antiqua" w:cs="Arial"/>
        </w:rPr>
        <w:t xml:space="preserve"> dismissed the appeal</w:t>
      </w:r>
      <w:r w:rsidR="006C4CA8">
        <w:rPr>
          <w:rFonts w:ascii="Book Antiqua" w:hAnsi="Book Antiqua" w:cs="Arial"/>
        </w:rPr>
        <w:t>,</w:t>
      </w:r>
      <w:r w:rsidR="00B53EA7">
        <w:rPr>
          <w:rFonts w:ascii="Book Antiqua" w:hAnsi="Book Antiqua" w:cs="Arial"/>
        </w:rPr>
        <w:t xml:space="preserve"> applying Section 117</w:t>
      </w:r>
      <w:proofErr w:type="gramStart"/>
      <w:r w:rsidR="00B53EA7">
        <w:rPr>
          <w:rFonts w:ascii="Book Antiqua" w:hAnsi="Book Antiqua" w:cs="Arial"/>
        </w:rPr>
        <w:t>B(</w:t>
      </w:r>
      <w:proofErr w:type="gramEnd"/>
      <w:r w:rsidR="00B53EA7">
        <w:rPr>
          <w:rFonts w:ascii="Book Antiqua" w:hAnsi="Book Antiqua" w:cs="Arial"/>
        </w:rPr>
        <w:t xml:space="preserve">5) of the </w:t>
      </w:r>
      <w:r>
        <w:rPr>
          <w:rFonts w:ascii="Book Antiqua" w:hAnsi="Book Antiqua" w:cs="Arial"/>
        </w:rPr>
        <w:t xml:space="preserve">Nationality, Immigration and Asylum Act 2002 (as amended) </w:t>
      </w:r>
      <w:r w:rsidR="00B53EA7">
        <w:rPr>
          <w:rFonts w:ascii="Book Antiqua" w:hAnsi="Book Antiqua" w:cs="Arial"/>
        </w:rPr>
        <w:t>because the appellant’s status has been precarious throughout and therefore little weight should be given to the appellant’s private life.</w:t>
      </w:r>
    </w:p>
    <w:p w:rsidR="00505278" w:rsidRPr="00505278" w:rsidRDefault="00505278" w:rsidP="00505278">
      <w:pPr>
        <w:spacing w:before="240"/>
        <w:jc w:val="both"/>
        <w:rPr>
          <w:rFonts w:ascii="Book Antiqua" w:hAnsi="Book Antiqua" w:cs="Arial"/>
          <w:b/>
        </w:rPr>
      </w:pPr>
      <w:r>
        <w:rPr>
          <w:rFonts w:ascii="Book Antiqua" w:hAnsi="Book Antiqua" w:cs="Arial"/>
          <w:b/>
        </w:rPr>
        <w:t xml:space="preserve">Permission to appeal </w:t>
      </w:r>
    </w:p>
    <w:p w:rsidR="00B53EA7" w:rsidRDefault="00B53EA7" w:rsidP="00B53EA7">
      <w:pPr>
        <w:numPr>
          <w:ilvl w:val="0"/>
          <w:numId w:val="3"/>
        </w:numPr>
        <w:spacing w:before="240"/>
        <w:jc w:val="both"/>
        <w:rPr>
          <w:rFonts w:ascii="Book Antiqua" w:hAnsi="Book Antiqua" w:cs="Arial"/>
        </w:rPr>
      </w:pPr>
      <w:r>
        <w:rPr>
          <w:rFonts w:ascii="Book Antiqua" w:hAnsi="Book Antiqua" w:cs="Arial"/>
        </w:rPr>
        <w:t>The appellant appealed with permission to the Upper Tribunal</w:t>
      </w:r>
      <w:r w:rsidR="00505278">
        <w:rPr>
          <w:rFonts w:ascii="Book Antiqua" w:hAnsi="Book Antiqua" w:cs="Arial"/>
        </w:rPr>
        <w:t xml:space="preserve">.  Permission </w:t>
      </w:r>
      <w:r>
        <w:rPr>
          <w:rFonts w:ascii="Book Antiqua" w:hAnsi="Book Antiqua" w:cs="Arial"/>
        </w:rPr>
        <w:t xml:space="preserve">was granted by Upper Tribunal Judge Coker on the basis that it was arguable </w:t>
      </w:r>
      <w:r w:rsidR="001672AC">
        <w:rPr>
          <w:rFonts w:ascii="Book Antiqua" w:hAnsi="Book Antiqua" w:cs="Arial"/>
        </w:rPr>
        <w:t xml:space="preserve">that </w:t>
      </w:r>
      <w:r>
        <w:rPr>
          <w:rFonts w:ascii="Book Antiqua" w:hAnsi="Book Antiqua" w:cs="Arial"/>
        </w:rPr>
        <w:t xml:space="preserve">the First-tier Tribunal Judge failed to have adequate regard to the </w:t>
      </w:r>
      <w:r w:rsidR="00505278">
        <w:rPr>
          <w:rFonts w:ascii="Book Antiqua" w:hAnsi="Book Antiqua" w:cs="Arial"/>
        </w:rPr>
        <w:t xml:space="preserve">respondent’s Policy </w:t>
      </w:r>
      <w:r>
        <w:rPr>
          <w:rFonts w:ascii="Book Antiqua" w:hAnsi="Book Antiqua" w:cs="Arial"/>
        </w:rPr>
        <w:t xml:space="preserve">and Rules in reaching her decision and to give adequate or any reasons for the findings made.  </w:t>
      </w:r>
    </w:p>
    <w:p w:rsidR="008C13EB" w:rsidRDefault="00B53EA7" w:rsidP="00B53EA7">
      <w:pPr>
        <w:numPr>
          <w:ilvl w:val="0"/>
          <w:numId w:val="3"/>
        </w:numPr>
        <w:spacing w:before="240"/>
        <w:jc w:val="both"/>
        <w:rPr>
          <w:rFonts w:ascii="Book Antiqua" w:hAnsi="Book Antiqua" w:cs="Arial"/>
        </w:rPr>
      </w:pPr>
      <w:r>
        <w:rPr>
          <w:rFonts w:ascii="Book Antiqua" w:hAnsi="Book Antiqua" w:cs="Arial"/>
        </w:rPr>
        <w:t xml:space="preserve">The relevant submission in the grounds of appeal is at paragraph 11 thereof in which Ms Physsas </w:t>
      </w:r>
      <w:r w:rsidR="008C13EB">
        <w:rPr>
          <w:rFonts w:ascii="Book Antiqua" w:hAnsi="Book Antiqua" w:cs="Arial"/>
        </w:rPr>
        <w:t xml:space="preserve">summarises the points in the appellant’s favour: </w:t>
      </w:r>
      <w:r>
        <w:rPr>
          <w:rFonts w:ascii="Book Antiqua" w:hAnsi="Book Antiqua" w:cs="Arial"/>
        </w:rPr>
        <w:t xml:space="preserve"> the brevity of the </w:t>
      </w:r>
      <w:r w:rsidR="009573A5">
        <w:rPr>
          <w:rFonts w:ascii="Book Antiqua" w:hAnsi="Book Antiqua" w:cs="Arial"/>
        </w:rPr>
        <w:t>interruption</w:t>
      </w:r>
      <w:r w:rsidR="001D79C8">
        <w:rPr>
          <w:rFonts w:ascii="Book Antiqua" w:hAnsi="Book Antiqua" w:cs="Arial"/>
        </w:rPr>
        <w:t xml:space="preserve"> in his leave to remain</w:t>
      </w:r>
      <w:r w:rsidR="001672AC">
        <w:rPr>
          <w:rFonts w:ascii="Book Antiqua" w:hAnsi="Book Antiqua" w:cs="Arial"/>
        </w:rPr>
        <w:t xml:space="preserve">, </w:t>
      </w:r>
      <w:r w:rsidR="001D79C8">
        <w:rPr>
          <w:rFonts w:ascii="Book Antiqua" w:hAnsi="Book Antiqua" w:cs="Arial"/>
        </w:rPr>
        <w:t xml:space="preserve">, the application being submitted out of time by his carers and </w:t>
      </w:r>
      <w:r w:rsidR="001672AC">
        <w:rPr>
          <w:rFonts w:ascii="Book Antiqua" w:hAnsi="Book Antiqua" w:cs="Arial"/>
        </w:rPr>
        <w:t>t</w:t>
      </w:r>
      <w:r>
        <w:rPr>
          <w:rFonts w:ascii="Book Antiqua" w:hAnsi="Book Antiqua" w:cs="Arial"/>
        </w:rPr>
        <w:t xml:space="preserve">he respondent’s </w:t>
      </w:r>
      <w:r w:rsidR="008C13EB">
        <w:rPr>
          <w:rFonts w:ascii="Book Antiqua" w:hAnsi="Book Antiqua" w:cs="Arial"/>
        </w:rPr>
        <w:t xml:space="preserve">express </w:t>
      </w:r>
      <w:r>
        <w:rPr>
          <w:rFonts w:ascii="Book Antiqua" w:hAnsi="Book Antiqua" w:cs="Arial"/>
        </w:rPr>
        <w:t xml:space="preserve">acceptance that the </w:t>
      </w:r>
      <w:r w:rsidR="009573A5">
        <w:rPr>
          <w:rFonts w:ascii="Book Antiqua" w:hAnsi="Book Antiqua" w:cs="Arial"/>
        </w:rPr>
        <w:t>interruption</w:t>
      </w:r>
      <w:r>
        <w:rPr>
          <w:rFonts w:ascii="Book Antiqua" w:hAnsi="Book Antiqua" w:cs="Arial"/>
        </w:rPr>
        <w:t xml:space="preserve"> would not be held against the appellant’s compliance, his having been a minor at the date of the error</w:t>
      </w:r>
      <w:r w:rsidR="008C13EB">
        <w:rPr>
          <w:rFonts w:ascii="Book Antiqua" w:hAnsi="Book Antiqua" w:cs="Arial"/>
        </w:rPr>
        <w:t xml:space="preserve">. </w:t>
      </w:r>
    </w:p>
    <w:p w:rsidR="006104E9" w:rsidRPr="006104E9" w:rsidRDefault="00581443" w:rsidP="006104E9">
      <w:pPr>
        <w:numPr>
          <w:ilvl w:val="0"/>
          <w:numId w:val="3"/>
        </w:numPr>
        <w:spacing w:before="240"/>
        <w:jc w:val="both"/>
        <w:rPr>
          <w:rFonts w:ascii="Book Antiqua" w:hAnsi="Book Antiqua" w:cs="Arial"/>
        </w:rPr>
      </w:pPr>
      <w:r>
        <w:rPr>
          <w:rFonts w:ascii="Book Antiqua" w:hAnsi="Book Antiqua" w:cs="Arial"/>
        </w:rPr>
        <w:t xml:space="preserve">The grounds </w:t>
      </w:r>
      <w:r w:rsidR="00B72609">
        <w:rPr>
          <w:rFonts w:ascii="Book Antiqua" w:hAnsi="Book Antiqua" w:cs="Arial"/>
        </w:rPr>
        <w:t>contend</w:t>
      </w:r>
      <w:r>
        <w:rPr>
          <w:rFonts w:ascii="Book Antiqua" w:hAnsi="Book Antiqua" w:cs="Arial"/>
        </w:rPr>
        <w:t xml:space="preserve"> that the First-tier Tribunal failed to consider properly the fact that the appellant would have qualified for indefinite leave </w:t>
      </w:r>
      <w:r w:rsidR="00974F88">
        <w:rPr>
          <w:rFonts w:ascii="Book Antiqua" w:hAnsi="Book Antiqua" w:cs="Arial"/>
        </w:rPr>
        <w:t xml:space="preserve">to remain, were it not </w:t>
      </w:r>
      <w:r>
        <w:rPr>
          <w:rFonts w:ascii="Book Antiqua" w:hAnsi="Book Antiqua" w:cs="Arial"/>
        </w:rPr>
        <w:t xml:space="preserve">for an error by his carers and assert that the interference </w:t>
      </w:r>
      <w:r w:rsidR="00100087">
        <w:rPr>
          <w:rFonts w:ascii="Book Antiqua" w:hAnsi="Book Antiqua" w:cs="Arial"/>
        </w:rPr>
        <w:t xml:space="preserve">with his private life </w:t>
      </w:r>
      <w:r>
        <w:rPr>
          <w:rFonts w:ascii="Book Antiqua" w:hAnsi="Book Antiqua" w:cs="Arial"/>
        </w:rPr>
        <w:t xml:space="preserve">is not proportionate.  </w:t>
      </w:r>
    </w:p>
    <w:p w:rsidR="00102F56" w:rsidRDefault="00581443" w:rsidP="00100087">
      <w:pPr>
        <w:numPr>
          <w:ilvl w:val="0"/>
          <w:numId w:val="3"/>
        </w:numPr>
        <w:spacing w:before="240"/>
        <w:jc w:val="both"/>
        <w:rPr>
          <w:rFonts w:ascii="Book Antiqua" w:hAnsi="Book Antiqua" w:cs="Arial"/>
        </w:rPr>
      </w:pPr>
      <w:r>
        <w:rPr>
          <w:rFonts w:ascii="Book Antiqua" w:hAnsi="Book Antiqua" w:cs="Arial"/>
        </w:rPr>
        <w:lastRenderedPageBreak/>
        <w:t xml:space="preserve">There follows a quotation from </w:t>
      </w:r>
      <w:r w:rsidRPr="001672AC">
        <w:rPr>
          <w:rFonts w:ascii="Book Antiqua" w:hAnsi="Book Antiqua" w:cs="Arial"/>
          <w:i/>
        </w:rPr>
        <w:t>Chau</w:t>
      </w:r>
      <w:r w:rsidR="001672AC" w:rsidRPr="001672AC">
        <w:rPr>
          <w:rFonts w:ascii="Book Antiqua" w:hAnsi="Book Antiqua" w:cs="Arial"/>
          <w:i/>
        </w:rPr>
        <w:t xml:space="preserve"> Le</w:t>
      </w:r>
      <w:r w:rsidR="001672AC">
        <w:rPr>
          <w:rFonts w:ascii="Book Antiqua" w:hAnsi="Book Antiqua" w:cs="Arial"/>
        </w:rPr>
        <w:t xml:space="preserve"> </w:t>
      </w:r>
      <w:r>
        <w:rPr>
          <w:rFonts w:ascii="Book Antiqua" w:hAnsi="Book Antiqua" w:cs="Arial"/>
        </w:rPr>
        <w:t>(Immigration Rules</w:t>
      </w:r>
      <w:r w:rsidR="001672AC">
        <w:rPr>
          <w:rFonts w:ascii="Book Antiqua" w:hAnsi="Book Antiqua" w:cs="Arial"/>
        </w:rPr>
        <w:t xml:space="preserve"> –</w:t>
      </w:r>
      <w:r>
        <w:rPr>
          <w:rFonts w:ascii="Book Antiqua" w:hAnsi="Book Antiqua" w:cs="Arial"/>
        </w:rPr>
        <w:t xml:space="preserve"> de minimis principle) </w:t>
      </w:r>
      <w:r w:rsidR="004350B7">
        <w:rPr>
          <w:rFonts w:ascii="Book Antiqua" w:hAnsi="Book Antiqua" w:cs="Arial"/>
        </w:rPr>
        <w:t xml:space="preserve">Vietnam </w:t>
      </w:r>
      <w:r>
        <w:rPr>
          <w:rFonts w:ascii="Book Antiqua" w:hAnsi="Book Antiqua" w:cs="Arial"/>
        </w:rPr>
        <w:t xml:space="preserve">[2016] UKUT 00186 (IAC) which itself </w:t>
      </w:r>
      <w:r w:rsidR="00100087" w:rsidRPr="00100087">
        <w:rPr>
          <w:rFonts w:ascii="Book Antiqua" w:hAnsi="Book Antiqua" w:cs="Arial"/>
        </w:rPr>
        <w:t xml:space="preserve">refers </w:t>
      </w:r>
      <w:r>
        <w:rPr>
          <w:rFonts w:ascii="Book Antiqua" w:hAnsi="Book Antiqua" w:cs="Arial"/>
        </w:rPr>
        <w:t xml:space="preserve">to the decision of the Supreme Court in </w:t>
      </w:r>
      <w:r w:rsidRPr="001672AC">
        <w:rPr>
          <w:rFonts w:ascii="Book Antiqua" w:hAnsi="Book Antiqua" w:cs="Arial"/>
          <w:i/>
        </w:rPr>
        <w:t>Patel v Secretary of State for the Home Department</w:t>
      </w:r>
      <w:r>
        <w:rPr>
          <w:rFonts w:ascii="Book Antiqua" w:hAnsi="Book Antiqua" w:cs="Arial"/>
        </w:rPr>
        <w:t xml:space="preserve"> [2013] UKSC 72 wherein Lord Carnwath, Judge of the Supreme Court, </w:t>
      </w:r>
      <w:r w:rsidR="00102F56">
        <w:rPr>
          <w:rFonts w:ascii="Book Antiqua" w:hAnsi="Book Antiqua" w:cs="Arial"/>
        </w:rPr>
        <w:t>giving the judgment of the Court, said this:</w:t>
      </w:r>
    </w:p>
    <w:p w:rsidR="00102F56" w:rsidRPr="00102F56" w:rsidRDefault="00102F56" w:rsidP="0075590E">
      <w:pPr>
        <w:tabs>
          <w:tab w:val="left" w:pos="1701"/>
        </w:tabs>
        <w:spacing w:before="120"/>
        <w:ind w:left="1134" w:right="567"/>
        <w:jc w:val="both"/>
        <w:rPr>
          <w:rFonts w:ascii="Book Antiqua" w:hAnsi="Book Antiqua" w:cs="Arial"/>
        </w:rPr>
      </w:pPr>
      <w:r>
        <w:rPr>
          <w:rFonts w:ascii="Book Antiqua" w:hAnsi="Book Antiqua" w:cs="Arial"/>
        </w:rPr>
        <w:t>“</w:t>
      </w:r>
      <w:r w:rsidRPr="00102F56">
        <w:rPr>
          <w:rFonts w:ascii="Book Antiqua" w:hAnsi="Book Antiqua" w:cs="Arial"/>
          <w:sz w:val="22"/>
        </w:rPr>
        <w:t>56.</w:t>
      </w:r>
      <w:bookmarkStart w:id="2" w:name="para56"/>
      <w:r w:rsidR="0075590E">
        <w:rPr>
          <w:rFonts w:ascii="Book Antiqua" w:hAnsi="Book Antiqua" w:cs="Arial"/>
          <w:sz w:val="22"/>
        </w:rPr>
        <w:tab/>
      </w:r>
      <w:r w:rsidRPr="00102F56">
        <w:rPr>
          <w:rFonts w:ascii="Book Antiqua" w:hAnsi="Book Antiqua" w:cs="Arial"/>
          <w:sz w:val="22"/>
        </w:rPr>
        <w:tab/>
        <w:t xml:space="preserve">Although the context of the </w:t>
      </w:r>
      <w:r w:rsidR="00883C92" w:rsidRPr="00102F56">
        <w:rPr>
          <w:rFonts w:ascii="Book Antiqua" w:hAnsi="Book Antiqua" w:cs="Arial"/>
          <w:sz w:val="22"/>
        </w:rPr>
        <w:t xml:space="preserve">rules </w:t>
      </w:r>
      <w:r w:rsidRPr="00102F56">
        <w:rPr>
          <w:rFonts w:ascii="Book Antiqua" w:hAnsi="Book Antiqua" w:cs="Arial"/>
          <w:sz w:val="22"/>
        </w:rPr>
        <w:t xml:space="preserve">may be relevant to the consideration of proportionality, I agree with Burnton LJ that this cannot be equated with a formalised "near-miss" or "sliding scale" principle, as argued for by Mr Malik. </w:t>
      </w:r>
      <w:bookmarkEnd w:id="2"/>
      <w:r w:rsidR="00391C3F">
        <w:rPr>
          <w:rFonts w:ascii="Book Antiqua" w:hAnsi="Book Antiqua" w:cs="Arial"/>
          <w:sz w:val="22"/>
        </w:rPr>
        <w:t>…</w:t>
      </w:r>
    </w:p>
    <w:p w:rsidR="005B4950" w:rsidRDefault="00102F56" w:rsidP="0075590E">
      <w:pPr>
        <w:tabs>
          <w:tab w:val="left" w:pos="1701"/>
        </w:tabs>
        <w:spacing w:before="120"/>
        <w:ind w:left="1134" w:right="567"/>
        <w:jc w:val="both"/>
        <w:rPr>
          <w:rFonts w:ascii="Book Antiqua" w:hAnsi="Book Antiqua" w:cs="Arial"/>
          <w:sz w:val="22"/>
        </w:rPr>
      </w:pPr>
      <w:r>
        <w:rPr>
          <w:rFonts w:ascii="Book Antiqua" w:hAnsi="Book Antiqua" w:cs="Arial"/>
          <w:sz w:val="22"/>
        </w:rPr>
        <w:t>57.</w:t>
      </w:r>
      <w:bookmarkStart w:id="3" w:name="para57"/>
      <w:r w:rsidR="0075590E">
        <w:rPr>
          <w:rFonts w:ascii="Book Antiqua" w:hAnsi="Book Antiqua" w:cs="Arial"/>
          <w:sz w:val="22"/>
        </w:rPr>
        <w:tab/>
      </w:r>
      <w:r w:rsidRPr="00102F56">
        <w:rPr>
          <w:rFonts w:ascii="Book Antiqua" w:hAnsi="Book Antiqua" w:cs="Arial"/>
          <w:sz w:val="22"/>
        </w:rPr>
        <w:t xml:space="preserve">It is important to remember that article 8 is not a general dispensing power. It is to be distinguished from the Secretary of State's discretion to allow leave to remain outside the rules, which may be unrelated to any protected human right. The merits of a decision not to depart from the rules are not reviewable on appeal: section 86(6). </w:t>
      </w:r>
      <w:r w:rsidR="00391C3F">
        <w:rPr>
          <w:rFonts w:ascii="Book Antiqua" w:hAnsi="Book Antiqua" w:cs="Arial"/>
          <w:sz w:val="22"/>
        </w:rPr>
        <w:t>...</w:t>
      </w:r>
      <w:r w:rsidRPr="00102F56">
        <w:rPr>
          <w:rFonts w:ascii="Book Antiqua" w:hAnsi="Book Antiqua" w:cs="Arial"/>
          <w:sz w:val="22"/>
        </w:rPr>
        <w:t>.</w:t>
      </w:r>
      <w:bookmarkEnd w:id="3"/>
      <w:r w:rsidRPr="00102F56">
        <w:rPr>
          <w:rFonts w:ascii="Book Antiqua" w:hAnsi="Book Antiqua" w:cs="Arial"/>
          <w:sz w:val="22"/>
        </w:rPr>
        <w:t>”</w:t>
      </w:r>
      <w:r w:rsidR="00581443" w:rsidRPr="00102F56">
        <w:rPr>
          <w:rFonts w:ascii="Book Antiqua" w:hAnsi="Book Antiqua" w:cs="Arial"/>
          <w:sz w:val="22"/>
        </w:rPr>
        <w:t xml:space="preserve"> </w:t>
      </w:r>
    </w:p>
    <w:p w:rsidR="006104E9" w:rsidRDefault="006104E9" w:rsidP="005B4950">
      <w:pPr>
        <w:numPr>
          <w:ilvl w:val="0"/>
          <w:numId w:val="3"/>
        </w:numPr>
        <w:spacing w:before="240"/>
        <w:jc w:val="both"/>
        <w:rPr>
          <w:rFonts w:ascii="Book Antiqua" w:hAnsi="Book Antiqua" w:cs="Arial"/>
        </w:rPr>
      </w:pPr>
      <w:r>
        <w:rPr>
          <w:rFonts w:ascii="Book Antiqua" w:hAnsi="Book Antiqua" w:cs="Arial"/>
        </w:rPr>
        <w:t>That is the basis on which this appeal came before me.</w:t>
      </w:r>
    </w:p>
    <w:p w:rsidR="006104E9" w:rsidRPr="006104E9" w:rsidRDefault="006104E9" w:rsidP="006104E9">
      <w:pPr>
        <w:spacing w:before="240"/>
        <w:jc w:val="both"/>
        <w:rPr>
          <w:rFonts w:ascii="Book Antiqua" w:hAnsi="Book Antiqua" w:cs="Arial"/>
          <w:b/>
        </w:rPr>
      </w:pPr>
      <w:r>
        <w:rPr>
          <w:rFonts w:ascii="Book Antiqua" w:hAnsi="Book Antiqua" w:cs="Arial"/>
          <w:b/>
        </w:rPr>
        <w:t xml:space="preserve">Discussion </w:t>
      </w:r>
    </w:p>
    <w:p w:rsidR="006D29E4" w:rsidRDefault="006104E9" w:rsidP="005B4950">
      <w:pPr>
        <w:numPr>
          <w:ilvl w:val="0"/>
          <w:numId w:val="3"/>
        </w:numPr>
        <w:spacing w:before="240"/>
        <w:jc w:val="both"/>
        <w:rPr>
          <w:rFonts w:ascii="Book Antiqua" w:hAnsi="Book Antiqua" w:cs="Arial"/>
        </w:rPr>
      </w:pPr>
      <w:r>
        <w:rPr>
          <w:rFonts w:ascii="Book Antiqua" w:hAnsi="Book Antiqua" w:cs="Arial"/>
        </w:rPr>
        <w:t>The</w:t>
      </w:r>
      <w:r w:rsidR="00EE5258">
        <w:rPr>
          <w:rFonts w:ascii="Book Antiqua" w:hAnsi="Book Antiqua" w:cs="Arial"/>
        </w:rPr>
        <w:t xml:space="preserve"> heart of this case is the exercise of the respondent’s discretion outside the Rules, and the extent to which it is fettered by her policy and her assertion that the interruption in January-March 2013 would not be held against the appellant’s compliance.  </w:t>
      </w:r>
    </w:p>
    <w:p w:rsidR="009573A5" w:rsidRDefault="00EE5258" w:rsidP="005B4950">
      <w:pPr>
        <w:numPr>
          <w:ilvl w:val="0"/>
          <w:numId w:val="3"/>
        </w:numPr>
        <w:spacing w:before="240"/>
        <w:jc w:val="both"/>
        <w:rPr>
          <w:rFonts w:ascii="Book Antiqua" w:hAnsi="Book Antiqua" w:cs="Arial"/>
        </w:rPr>
      </w:pPr>
      <w:r>
        <w:rPr>
          <w:rFonts w:ascii="Book Antiqua" w:hAnsi="Book Antiqua" w:cs="Arial"/>
        </w:rPr>
        <w:t>The</w:t>
      </w:r>
      <w:r w:rsidR="006104E9">
        <w:rPr>
          <w:rFonts w:ascii="Book Antiqua" w:hAnsi="Book Antiqua" w:cs="Arial"/>
        </w:rPr>
        <w:t xml:space="preserve"> respondent’s policy states that </w:t>
      </w:r>
      <w:r w:rsidR="00DA22AB">
        <w:rPr>
          <w:rFonts w:ascii="Book Antiqua" w:hAnsi="Book Antiqua" w:cs="Arial"/>
        </w:rPr>
        <w:t xml:space="preserve">those granted discretionary leave before 9 July 2012, a group which includes this appellant, </w:t>
      </w:r>
      <w:r w:rsidR="00F94874">
        <w:rPr>
          <w:rFonts w:ascii="Book Antiqua" w:hAnsi="Book Antiqua" w:cs="Arial"/>
        </w:rPr>
        <w:t xml:space="preserve">will be dealt with under that policy through to settlement, which will normally be available after 6 years’ discretionary leave and/or </w:t>
      </w:r>
      <w:r w:rsidR="009573A5">
        <w:rPr>
          <w:rFonts w:ascii="Book Antiqua" w:hAnsi="Book Antiqua" w:cs="Arial"/>
        </w:rPr>
        <w:t xml:space="preserve">leave to remain outside the Rules, unless they fall within the restricted leave policy.  The appellant does not fall within </w:t>
      </w:r>
      <w:r w:rsidR="006D29E4">
        <w:rPr>
          <w:rFonts w:ascii="Book Antiqua" w:hAnsi="Book Antiqua" w:cs="Arial"/>
        </w:rPr>
        <w:t>the restricted leave</w:t>
      </w:r>
      <w:r w:rsidR="009573A5">
        <w:rPr>
          <w:rFonts w:ascii="Book Antiqua" w:hAnsi="Book Antiqua" w:cs="Arial"/>
        </w:rPr>
        <w:t xml:space="preserve"> policy.</w:t>
      </w:r>
    </w:p>
    <w:p w:rsidR="002A4038" w:rsidRDefault="009573A5" w:rsidP="005B4950">
      <w:pPr>
        <w:numPr>
          <w:ilvl w:val="0"/>
          <w:numId w:val="3"/>
        </w:numPr>
        <w:spacing w:before="240"/>
        <w:jc w:val="both"/>
        <w:rPr>
          <w:rFonts w:ascii="Book Antiqua" w:hAnsi="Book Antiqua" w:cs="Arial"/>
        </w:rPr>
      </w:pPr>
      <w:r>
        <w:rPr>
          <w:rFonts w:ascii="Book Antiqua" w:hAnsi="Book Antiqua" w:cs="Arial"/>
        </w:rPr>
        <w:t xml:space="preserve">The interruption in the appellant’s leave was not of his making.  He was a child.  The respondent in her refusal letter said that </w:t>
      </w:r>
      <w:r w:rsidR="006D29E4">
        <w:rPr>
          <w:rFonts w:ascii="Book Antiqua" w:hAnsi="Book Antiqua" w:cs="Arial"/>
        </w:rPr>
        <w:t>the interruption</w:t>
      </w:r>
      <w:r>
        <w:rPr>
          <w:rFonts w:ascii="Book Antiqua" w:hAnsi="Book Antiqua" w:cs="Arial"/>
        </w:rPr>
        <w:t xml:space="preserve"> would not be held against his compliance</w:t>
      </w:r>
      <w:r w:rsidR="00B615F6">
        <w:rPr>
          <w:rFonts w:ascii="Book Antiqua" w:hAnsi="Book Antiqua" w:cs="Arial"/>
        </w:rPr>
        <w:t xml:space="preserve">, but then stated that the appellant’s compliance was not a significant compelling reason to justify granting further leave to remain. </w:t>
      </w:r>
      <w:r>
        <w:rPr>
          <w:rFonts w:ascii="Book Antiqua" w:hAnsi="Book Antiqua" w:cs="Arial"/>
        </w:rPr>
        <w:t xml:space="preserve"> </w:t>
      </w:r>
      <w:r w:rsidR="002A4038">
        <w:rPr>
          <w:rFonts w:ascii="Book Antiqua" w:hAnsi="Book Antiqua" w:cs="Arial"/>
        </w:rPr>
        <w:t xml:space="preserve">However, in her policy, it appears that (absent any restricted leave issues) compliance is sufficient for the grant of further leave to remain.  The respondent’s decision is inconsistent and disproportionate, particularly as this </w:t>
      </w:r>
      <w:r w:rsidR="00E00C82">
        <w:rPr>
          <w:rFonts w:ascii="Book Antiqua" w:hAnsi="Book Antiqua" w:cs="Arial"/>
        </w:rPr>
        <w:t xml:space="preserve">appellant has now been in the United Kingdom for 9 years, including most of his secondary education. </w:t>
      </w:r>
    </w:p>
    <w:p w:rsidR="00C10070" w:rsidRDefault="0003226F" w:rsidP="007F463C">
      <w:pPr>
        <w:numPr>
          <w:ilvl w:val="0"/>
          <w:numId w:val="3"/>
        </w:numPr>
        <w:spacing w:before="240"/>
        <w:jc w:val="both"/>
        <w:rPr>
          <w:rFonts w:ascii="Book Antiqua" w:hAnsi="Book Antiqua" w:cs="Arial"/>
          <w:sz w:val="22"/>
          <w:szCs w:val="22"/>
        </w:rPr>
      </w:pPr>
      <w:r>
        <w:rPr>
          <w:rFonts w:ascii="Book Antiqua" w:hAnsi="Book Antiqua" w:cs="Arial"/>
        </w:rPr>
        <w:t xml:space="preserve">I have considered the weight to be given to the Upper Tribunal decision in </w:t>
      </w:r>
      <w:r>
        <w:rPr>
          <w:rFonts w:ascii="Book Antiqua" w:hAnsi="Book Antiqua" w:cs="Arial"/>
          <w:i/>
        </w:rPr>
        <w:t>Chau</w:t>
      </w:r>
      <w:r w:rsidR="001672AC" w:rsidRPr="001672AC">
        <w:rPr>
          <w:rFonts w:ascii="Book Antiqua" w:hAnsi="Book Antiqua" w:cs="Arial"/>
          <w:i/>
        </w:rPr>
        <w:t xml:space="preserve"> Le</w:t>
      </w:r>
      <w:r>
        <w:rPr>
          <w:rFonts w:ascii="Book Antiqua" w:hAnsi="Book Antiqua" w:cs="Arial"/>
          <w:i/>
        </w:rPr>
        <w:t xml:space="preserve">, </w:t>
      </w:r>
      <w:r>
        <w:rPr>
          <w:rFonts w:ascii="Book Antiqua" w:hAnsi="Book Antiqua" w:cs="Arial"/>
        </w:rPr>
        <w:t xml:space="preserve">which is based on </w:t>
      </w:r>
      <w:r w:rsidR="00581443">
        <w:rPr>
          <w:rFonts w:ascii="Book Antiqua" w:hAnsi="Book Antiqua" w:cs="Arial"/>
        </w:rPr>
        <w:t xml:space="preserve">the decision of the Court of Appeal in </w:t>
      </w:r>
      <w:r w:rsidR="00E51887">
        <w:rPr>
          <w:rFonts w:ascii="Book Antiqua" w:hAnsi="Book Antiqua" w:cs="Arial"/>
          <w:i/>
        </w:rPr>
        <w:t>T</w:t>
      </w:r>
      <w:r w:rsidR="00E51887" w:rsidRPr="00E51887">
        <w:rPr>
          <w:rFonts w:ascii="Book Antiqua" w:hAnsi="Book Antiqua" w:cs="Arial"/>
          <w:i/>
        </w:rPr>
        <w:t xml:space="preserve">he Secretary of State for the Home Department v SS (Congo) &amp; Ors </w:t>
      </w:r>
      <w:r w:rsidR="00E51887" w:rsidRPr="00E51887">
        <w:rPr>
          <w:rFonts w:ascii="Book Antiqua" w:hAnsi="Book Antiqua" w:cs="Arial"/>
        </w:rPr>
        <w:t>[2015] EWCA Civ 387</w:t>
      </w:r>
      <w:r w:rsidR="003C614F">
        <w:rPr>
          <w:rFonts w:ascii="Book Antiqua" w:hAnsi="Book Antiqua" w:cs="Arial"/>
        </w:rPr>
        <w:t xml:space="preserve">, </w:t>
      </w:r>
      <w:r w:rsidR="007F463C">
        <w:rPr>
          <w:rFonts w:ascii="Book Antiqua" w:hAnsi="Book Antiqua" w:cs="Arial"/>
        </w:rPr>
        <w:t>post-dating</w:t>
      </w:r>
      <w:r w:rsidR="003C614F">
        <w:rPr>
          <w:rFonts w:ascii="Book Antiqua" w:hAnsi="Book Antiqua" w:cs="Arial"/>
        </w:rPr>
        <w:t xml:space="preserve"> the decision of the Supreme Court in </w:t>
      </w:r>
      <w:r w:rsidR="003C614F">
        <w:rPr>
          <w:rFonts w:ascii="Book Antiqua" w:hAnsi="Book Antiqua" w:cs="Arial"/>
          <w:i/>
        </w:rPr>
        <w:t>Patel</w:t>
      </w:r>
      <w:r w:rsidR="00B11943">
        <w:rPr>
          <w:rFonts w:ascii="Book Antiqua" w:hAnsi="Book Antiqua" w:cs="Arial"/>
          <w:i/>
        </w:rPr>
        <w:t xml:space="preserve">.  </w:t>
      </w:r>
      <w:r w:rsidR="007F463C">
        <w:rPr>
          <w:rFonts w:ascii="Book Antiqua" w:hAnsi="Book Antiqua" w:cs="Arial"/>
        </w:rPr>
        <w:t xml:space="preserve">This is not a ‘near </w:t>
      </w:r>
      <w:proofErr w:type="spellStart"/>
      <w:r w:rsidR="007F463C">
        <w:rPr>
          <w:rFonts w:ascii="Book Antiqua" w:hAnsi="Book Antiqua" w:cs="Arial"/>
        </w:rPr>
        <w:t>miss’</w:t>
      </w:r>
      <w:proofErr w:type="spellEnd"/>
      <w:r w:rsidR="007F463C">
        <w:rPr>
          <w:rFonts w:ascii="Book Antiqua" w:hAnsi="Book Antiqua" w:cs="Arial"/>
        </w:rPr>
        <w:t xml:space="preserve"> case as </w:t>
      </w:r>
      <w:r w:rsidR="007F463C">
        <w:rPr>
          <w:rFonts w:ascii="Book Antiqua" w:hAnsi="Book Antiqua" w:cs="Arial"/>
          <w:i/>
        </w:rPr>
        <w:t xml:space="preserve">Patel </w:t>
      </w:r>
      <w:r w:rsidR="007F463C">
        <w:rPr>
          <w:rFonts w:ascii="Book Antiqua" w:hAnsi="Book Antiqua" w:cs="Arial"/>
        </w:rPr>
        <w:t xml:space="preserve">and </w:t>
      </w:r>
      <w:r w:rsidR="007F463C">
        <w:rPr>
          <w:rFonts w:ascii="Book Antiqua" w:hAnsi="Book Antiqua" w:cs="Arial"/>
          <w:i/>
        </w:rPr>
        <w:t xml:space="preserve">SS (Congo) </w:t>
      </w:r>
      <w:r w:rsidR="007F463C">
        <w:rPr>
          <w:rFonts w:ascii="Book Antiqua" w:hAnsi="Book Antiqua" w:cs="Arial"/>
        </w:rPr>
        <w:t xml:space="preserve">define it.  Rather, it is a combination of estoppel (the assertion that the interruption would not be held against the appellant’s compliance) and failure by the respondent to apply her own policy on discretionary leave. </w:t>
      </w:r>
    </w:p>
    <w:p w:rsidR="001672AC" w:rsidRDefault="003E53C7" w:rsidP="001672AC">
      <w:pPr>
        <w:numPr>
          <w:ilvl w:val="0"/>
          <w:numId w:val="3"/>
        </w:numPr>
        <w:spacing w:before="240"/>
        <w:jc w:val="both"/>
        <w:rPr>
          <w:rFonts w:ascii="Book Antiqua" w:hAnsi="Book Antiqua" w:cs="Arial"/>
        </w:rPr>
      </w:pPr>
      <w:r>
        <w:rPr>
          <w:rFonts w:ascii="Book Antiqua" w:hAnsi="Book Antiqua" w:cs="Arial"/>
        </w:rPr>
        <w:t xml:space="preserve">I am not satisfied that proper consideration was given to the </w:t>
      </w:r>
      <w:r w:rsidR="00885808">
        <w:rPr>
          <w:rFonts w:ascii="Book Antiqua" w:hAnsi="Book Antiqua" w:cs="Arial"/>
        </w:rPr>
        <w:t xml:space="preserve">respondent’s </w:t>
      </w:r>
      <w:r w:rsidR="00762E9D">
        <w:rPr>
          <w:rFonts w:ascii="Book Antiqua" w:hAnsi="Book Antiqua" w:cs="Arial"/>
        </w:rPr>
        <w:t xml:space="preserve">stated policy on how she would apply her discretionary leave and settlement policies to those </w:t>
      </w:r>
      <w:r w:rsidR="00762E9D">
        <w:rPr>
          <w:rFonts w:ascii="Book Antiqua" w:hAnsi="Book Antiqua" w:cs="Arial"/>
        </w:rPr>
        <w:lastRenderedPageBreak/>
        <w:t>whose discretionary leave began before 9 July 2012</w:t>
      </w:r>
      <w:r w:rsidR="00885808">
        <w:rPr>
          <w:rFonts w:ascii="Book Antiqua" w:hAnsi="Book Antiqua" w:cs="Arial"/>
        </w:rPr>
        <w:t xml:space="preserve">, </w:t>
      </w:r>
      <w:r w:rsidR="006B7405">
        <w:rPr>
          <w:rFonts w:ascii="Book Antiqua" w:hAnsi="Book Antiqua" w:cs="Arial"/>
        </w:rPr>
        <w:t>n</w:t>
      </w:r>
      <w:r w:rsidR="00885808">
        <w:rPr>
          <w:rFonts w:ascii="Book Antiqua" w:hAnsi="Book Antiqua" w:cs="Arial"/>
        </w:rPr>
        <w:t xml:space="preserve">or to </w:t>
      </w:r>
      <w:r>
        <w:rPr>
          <w:rFonts w:ascii="Book Antiqua" w:hAnsi="Book Antiqua" w:cs="Arial"/>
        </w:rPr>
        <w:t xml:space="preserve">the </w:t>
      </w:r>
      <w:r w:rsidR="006B7405">
        <w:rPr>
          <w:rFonts w:ascii="Book Antiqua" w:hAnsi="Book Antiqua" w:cs="Arial"/>
        </w:rPr>
        <w:t xml:space="preserve">effect of the respondent’s assurance in the </w:t>
      </w:r>
      <w:r>
        <w:rPr>
          <w:rFonts w:ascii="Book Antiqua" w:hAnsi="Book Antiqua" w:cs="Arial"/>
        </w:rPr>
        <w:t>August 2016</w:t>
      </w:r>
      <w:r w:rsidR="006B7405">
        <w:rPr>
          <w:rFonts w:ascii="Book Antiqua" w:hAnsi="Book Antiqua" w:cs="Arial"/>
        </w:rPr>
        <w:t xml:space="preserve"> that she would not hold the period of 2½ months between </w:t>
      </w:r>
      <w:r w:rsidR="00113A3E">
        <w:rPr>
          <w:rFonts w:ascii="Book Antiqua" w:hAnsi="Book Antiqua" w:cs="Arial"/>
        </w:rPr>
        <w:t>31 December 2012 and 11 March 2013 against the appellant</w:t>
      </w:r>
      <w:r w:rsidR="0044174C">
        <w:rPr>
          <w:rFonts w:ascii="Book Antiqua" w:hAnsi="Book Antiqua" w:cs="Arial"/>
        </w:rPr>
        <w:t xml:space="preserve">’s </w:t>
      </w:r>
      <w:r w:rsidR="005D72C1">
        <w:rPr>
          <w:rFonts w:ascii="Book Antiqua" w:hAnsi="Book Antiqua" w:cs="Arial"/>
        </w:rPr>
        <w:t>compliance, given that it was not his error but that of his carers, and he was a minor at the time</w:t>
      </w:r>
      <w:r>
        <w:rPr>
          <w:rFonts w:ascii="Book Antiqua" w:hAnsi="Book Antiqua" w:cs="Arial"/>
        </w:rPr>
        <w:t xml:space="preserve">.  </w:t>
      </w:r>
    </w:p>
    <w:p w:rsidR="003100D5" w:rsidRDefault="007E093C" w:rsidP="001672AC">
      <w:pPr>
        <w:numPr>
          <w:ilvl w:val="0"/>
          <w:numId w:val="3"/>
        </w:numPr>
        <w:spacing w:before="240"/>
        <w:jc w:val="both"/>
        <w:rPr>
          <w:rFonts w:ascii="Book Antiqua" w:hAnsi="Book Antiqua" w:cs="Arial"/>
        </w:rPr>
      </w:pPr>
      <w:r>
        <w:rPr>
          <w:rFonts w:ascii="Book Antiqua" w:hAnsi="Book Antiqua" w:cs="Arial"/>
        </w:rPr>
        <w:t xml:space="preserve">The First-tier Tribunal decision erred in law in failing to have regard to the respondent’s policy and the assurance given in the refusal letter </w:t>
      </w:r>
      <w:r w:rsidR="003100D5">
        <w:rPr>
          <w:rFonts w:ascii="Book Antiqua" w:hAnsi="Book Antiqua" w:cs="Arial"/>
        </w:rPr>
        <w:t xml:space="preserve">that the </w:t>
      </w:r>
      <w:r w:rsidR="009573A5">
        <w:rPr>
          <w:rFonts w:ascii="Book Antiqua" w:hAnsi="Book Antiqua" w:cs="Arial"/>
        </w:rPr>
        <w:t>interruption</w:t>
      </w:r>
      <w:r w:rsidR="003100D5">
        <w:rPr>
          <w:rFonts w:ascii="Book Antiqua" w:hAnsi="Book Antiqua" w:cs="Arial"/>
        </w:rPr>
        <w:t xml:space="preserve"> would not be held against his compliance.   That error is material: on a proper view of the evidence and the respondent’s assurance and policy, this appeal would have been allowed and the respondent’s decision found to be disproportionate. </w:t>
      </w:r>
    </w:p>
    <w:p w:rsidR="00B705D9" w:rsidRPr="001672AC" w:rsidRDefault="003E53C7" w:rsidP="001672AC">
      <w:pPr>
        <w:numPr>
          <w:ilvl w:val="0"/>
          <w:numId w:val="3"/>
        </w:numPr>
        <w:spacing w:before="240"/>
        <w:jc w:val="both"/>
        <w:rPr>
          <w:rFonts w:ascii="Book Antiqua" w:hAnsi="Book Antiqua" w:cs="Arial"/>
        </w:rPr>
      </w:pPr>
      <w:r w:rsidRPr="001672AC">
        <w:rPr>
          <w:rFonts w:ascii="Book Antiqua" w:hAnsi="Book Antiqua" w:cs="Arial"/>
        </w:rPr>
        <w:t xml:space="preserve">I set </w:t>
      </w:r>
      <w:r w:rsidR="00E333BD">
        <w:rPr>
          <w:rFonts w:ascii="Book Antiqua" w:hAnsi="Book Antiqua" w:cs="Arial"/>
        </w:rPr>
        <w:t>aside the decision of the First-tier Tribunal</w:t>
      </w:r>
      <w:r w:rsidRPr="001672AC">
        <w:rPr>
          <w:rFonts w:ascii="Book Antiqua" w:hAnsi="Book Antiqua" w:cs="Arial"/>
        </w:rPr>
        <w:t xml:space="preserve"> and substitute a decision allowing </w:t>
      </w:r>
      <w:r w:rsidR="00FF3199">
        <w:rPr>
          <w:rFonts w:ascii="Book Antiqua" w:hAnsi="Book Antiqua" w:cs="Arial"/>
        </w:rPr>
        <w:t>the</w:t>
      </w:r>
      <w:r w:rsidRPr="001672AC">
        <w:rPr>
          <w:rFonts w:ascii="Book Antiqua" w:hAnsi="Book Antiqua" w:cs="Arial"/>
        </w:rPr>
        <w:t xml:space="preserve"> appeal.</w:t>
      </w:r>
      <w:r w:rsidR="00581443" w:rsidRPr="001672AC">
        <w:rPr>
          <w:rFonts w:ascii="Book Antiqua" w:hAnsi="Book Antiqua" w:cs="Arial"/>
        </w:rPr>
        <w:t xml:space="preserve"> </w:t>
      </w:r>
      <w:r w:rsidR="005F2450">
        <w:rPr>
          <w:rFonts w:ascii="Book Antiqua" w:hAnsi="Book Antiqua" w:cs="Arial"/>
        </w:rPr>
        <w:t xml:space="preserve"> The question as to what leave should now be granted is a matter for the respondent, in line with her policy set out above. </w:t>
      </w:r>
    </w:p>
    <w:p w:rsidR="00B705D9" w:rsidRDefault="00B705D9" w:rsidP="00284307">
      <w:pPr>
        <w:spacing w:before="240"/>
        <w:jc w:val="both"/>
        <w:rPr>
          <w:rFonts w:ascii="Book Antiqua" w:hAnsi="Book Antiqua" w:cs="Arial"/>
        </w:rPr>
      </w:pPr>
      <w:r>
        <w:rPr>
          <w:rFonts w:ascii="Book Antiqua" w:hAnsi="Book Antiqua" w:cs="Arial"/>
          <w:b/>
          <w:u w:val="single"/>
        </w:rPr>
        <w:t>Conclusion</w:t>
      </w:r>
    </w:p>
    <w:p w:rsidR="00B705D9" w:rsidRPr="00F5664C" w:rsidRDefault="003E53C7" w:rsidP="00C242C6">
      <w:pPr>
        <w:spacing w:before="240"/>
        <w:jc w:val="both"/>
        <w:rPr>
          <w:rFonts w:ascii="Book Antiqua" w:hAnsi="Book Antiqua" w:cs="Arial"/>
        </w:rPr>
      </w:pPr>
      <w:r>
        <w:rPr>
          <w:rFonts w:ascii="Book Antiqua" w:hAnsi="Book Antiqua" w:cs="Arial"/>
        </w:rPr>
        <w:t xml:space="preserve">The </w:t>
      </w:r>
      <w:r w:rsidR="003100D5">
        <w:rPr>
          <w:rFonts w:ascii="Book Antiqua" w:hAnsi="Book Antiqua" w:cs="Arial"/>
        </w:rPr>
        <w:t xml:space="preserve">appellant’s </w:t>
      </w:r>
      <w:r>
        <w:rPr>
          <w:rFonts w:ascii="Book Antiqua" w:hAnsi="Book Antiqua" w:cs="Arial"/>
        </w:rPr>
        <w:t xml:space="preserve">appeal is allowed.  </w:t>
      </w:r>
    </w:p>
    <w:p w:rsidR="0075590E" w:rsidRDefault="0075590E" w:rsidP="00C242C6">
      <w:pPr>
        <w:tabs>
          <w:tab w:val="left" w:pos="567"/>
        </w:tabs>
        <w:spacing w:before="240"/>
        <w:jc w:val="both"/>
        <w:rPr>
          <w:rFonts w:ascii="Book Antiqua" w:hAnsi="Book Antiqua" w:cs="Arial"/>
        </w:rPr>
      </w:pPr>
    </w:p>
    <w:p w:rsidR="00C242C6" w:rsidRDefault="00C242C6" w:rsidP="00C242C6">
      <w:pPr>
        <w:tabs>
          <w:tab w:val="left" w:pos="567"/>
        </w:tabs>
        <w:spacing w:before="240"/>
        <w:jc w:val="both"/>
        <w:rPr>
          <w:rFonts w:ascii="Book Antiqua" w:hAnsi="Book Antiqua" w:cs="Arial"/>
        </w:rPr>
      </w:pPr>
      <w:r>
        <w:rPr>
          <w:rFonts w:ascii="Book Antiqua" w:hAnsi="Book Antiqua" w:cs="Arial"/>
        </w:rPr>
        <w:t>Signed:</w:t>
      </w:r>
      <w:r>
        <w:rPr>
          <w:rFonts w:ascii="Book Antiqua" w:hAnsi="Book Antiqua" w:cs="Arial"/>
        </w:rPr>
        <w:tab/>
      </w:r>
      <w:r w:rsidRPr="003E5909">
        <w:rPr>
          <w:rFonts w:ascii="Rage Italic" w:hAnsi="Rage Italic" w:cs="Arial"/>
          <w:color w:val="0070C0"/>
          <w:sz w:val="30"/>
        </w:rPr>
        <w:t>Judith A J C Gleeson</w:t>
      </w:r>
      <w:r w:rsidRPr="003E5909">
        <w:rPr>
          <w:rFonts w:ascii="Rage Italic" w:hAnsi="Rage Italic" w:cs="Arial"/>
          <w:color w:val="0070C0"/>
          <w:sz w:val="3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Book Antiqua" w:hAnsi="Book Antiqua" w:cs="Arial"/>
        </w:rPr>
        <w:t>Date:</w:t>
      </w:r>
      <w:r>
        <w:rPr>
          <w:rFonts w:ascii="Book Antiqua" w:hAnsi="Book Antiqua" w:cs="Arial"/>
        </w:rPr>
        <w:tab/>
      </w:r>
      <w:r>
        <w:rPr>
          <w:rFonts w:ascii="Book Antiqua" w:hAnsi="Book Antiqua" w:cs="Arial"/>
        </w:rPr>
        <w:tab/>
        <w:t>15 August 2018</w:t>
      </w:r>
    </w:p>
    <w:p w:rsidR="00C242C6" w:rsidRPr="009B6C7D" w:rsidRDefault="00C242C6" w:rsidP="00C242C6">
      <w:pPr>
        <w:tabs>
          <w:tab w:val="left" w:pos="567"/>
        </w:tabs>
        <w:jc w:val="both"/>
        <w:rPr>
          <w:rFonts w:ascii="Book Antiqua" w:hAnsi="Book Antiqua" w:cs="Arial"/>
        </w:rPr>
      </w:pPr>
      <w:r>
        <w:rPr>
          <w:rFonts w:ascii="Book Antiqua" w:hAnsi="Book Antiqua" w:cs="Arial"/>
        </w:rPr>
        <w:tab/>
      </w:r>
      <w:r>
        <w:rPr>
          <w:rFonts w:ascii="Book Antiqua" w:hAnsi="Book Antiqua" w:cs="Arial"/>
        </w:rPr>
        <w:tab/>
        <w:t xml:space="preserve">Upper Tribunal Judge Gleeson </w:t>
      </w:r>
    </w:p>
    <w:p w:rsidR="00B705D9" w:rsidRPr="00F5664C" w:rsidRDefault="00B705D9" w:rsidP="00267403">
      <w:pPr>
        <w:ind w:left="567"/>
        <w:jc w:val="both"/>
        <w:rPr>
          <w:rFonts w:ascii="Book Antiqua" w:hAnsi="Book Antiqua" w:cs="Arial"/>
        </w:rPr>
      </w:pPr>
    </w:p>
    <w:p w:rsidR="00B705D9" w:rsidRPr="00F5664C" w:rsidRDefault="00B705D9" w:rsidP="00793A38">
      <w:pPr>
        <w:tabs>
          <w:tab w:val="left" w:pos="2520"/>
        </w:tabs>
        <w:jc w:val="both"/>
        <w:rPr>
          <w:rFonts w:ascii="Book Antiqua" w:hAnsi="Book Antiqua" w:cs="Arial"/>
        </w:rPr>
      </w:pPr>
    </w:p>
    <w:sectPr w:rsidR="00B705D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7C9" w:rsidRDefault="007377C9">
      <w:r>
        <w:separator/>
      </w:r>
    </w:p>
  </w:endnote>
  <w:endnote w:type="continuationSeparator" w:id="0">
    <w:p w:rsidR="007377C9" w:rsidRDefault="0073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063EC">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7C9" w:rsidRDefault="007377C9">
      <w:r>
        <w:separator/>
      </w:r>
    </w:p>
  </w:footnote>
  <w:footnote w:type="continuationSeparator" w:id="0">
    <w:p w:rsidR="007377C9" w:rsidRDefault="00737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70390B">
      <w:rPr>
        <w:rFonts w:ascii="Book Antiqua" w:hAnsi="Book Antiqua" w:cs="Arial"/>
        <w:sz w:val="16"/>
        <w:szCs w:val="16"/>
      </w:rPr>
      <w:t xml:space="preserve"> HU/20949/2016</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2A"/>
    <w:rsid w:val="00000621"/>
    <w:rsid w:val="000036C2"/>
    <w:rsid w:val="0002205B"/>
    <w:rsid w:val="0003226F"/>
    <w:rsid w:val="00033D3D"/>
    <w:rsid w:val="000369F5"/>
    <w:rsid w:val="00046B9D"/>
    <w:rsid w:val="00071A7E"/>
    <w:rsid w:val="000746C0"/>
    <w:rsid w:val="00074D1D"/>
    <w:rsid w:val="00092580"/>
    <w:rsid w:val="000A52B9"/>
    <w:rsid w:val="000A68E1"/>
    <w:rsid w:val="000D5D94"/>
    <w:rsid w:val="000E6D26"/>
    <w:rsid w:val="000F0418"/>
    <w:rsid w:val="000F3EC5"/>
    <w:rsid w:val="00100087"/>
    <w:rsid w:val="00102F56"/>
    <w:rsid w:val="00113A3E"/>
    <w:rsid w:val="001165A7"/>
    <w:rsid w:val="00120604"/>
    <w:rsid w:val="00146D9C"/>
    <w:rsid w:val="00151BB7"/>
    <w:rsid w:val="001542E2"/>
    <w:rsid w:val="0016457F"/>
    <w:rsid w:val="001672AC"/>
    <w:rsid w:val="00167D3A"/>
    <w:rsid w:val="001A1E2C"/>
    <w:rsid w:val="001B2B9C"/>
    <w:rsid w:val="001D79C8"/>
    <w:rsid w:val="001F2716"/>
    <w:rsid w:val="001F2A30"/>
    <w:rsid w:val="001F7D1D"/>
    <w:rsid w:val="0020133A"/>
    <w:rsid w:val="00207617"/>
    <w:rsid w:val="002153CC"/>
    <w:rsid w:val="00267403"/>
    <w:rsid w:val="00282D33"/>
    <w:rsid w:val="00283659"/>
    <w:rsid w:val="00284307"/>
    <w:rsid w:val="00284DB6"/>
    <w:rsid w:val="002964CE"/>
    <w:rsid w:val="002A4038"/>
    <w:rsid w:val="002C4E73"/>
    <w:rsid w:val="002D68BF"/>
    <w:rsid w:val="002F26A8"/>
    <w:rsid w:val="003100D5"/>
    <w:rsid w:val="003126B9"/>
    <w:rsid w:val="00321493"/>
    <w:rsid w:val="00324C78"/>
    <w:rsid w:val="00336CBF"/>
    <w:rsid w:val="00341AC8"/>
    <w:rsid w:val="003546C8"/>
    <w:rsid w:val="00391C3F"/>
    <w:rsid w:val="003A7CF2"/>
    <w:rsid w:val="003B0789"/>
    <w:rsid w:val="003C5CE5"/>
    <w:rsid w:val="003C614F"/>
    <w:rsid w:val="003E158A"/>
    <w:rsid w:val="003E267B"/>
    <w:rsid w:val="003E53C7"/>
    <w:rsid w:val="003E5936"/>
    <w:rsid w:val="003E7CD1"/>
    <w:rsid w:val="00401098"/>
    <w:rsid w:val="00402B9E"/>
    <w:rsid w:val="00410DA5"/>
    <w:rsid w:val="00423932"/>
    <w:rsid w:val="004249CB"/>
    <w:rsid w:val="004350B7"/>
    <w:rsid w:val="0044127D"/>
    <w:rsid w:val="0044174C"/>
    <w:rsid w:val="004448DB"/>
    <w:rsid w:val="00446C9A"/>
    <w:rsid w:val="00477193"/>
    <w:rsid w:val="004A1848"/>
    <w:rsid w:val="004D7F1B"/>
    <w:rsid w:val="00505278"/>
    <w:rsid w:val="00507FEC"/>
    <w:rsid w:val="00510F0E"/>
    <w:rsid w:val="00511FD6"/>
    <w:rsid w:val="005479E1"/>
    <w:rsid w:val="005570FD"/>
    <w:rsid w:val="005575EA"/>
    <w:rsid w:val="0057790C"/>
    <w:rsid w:val="00581443"/>
    <w:rsid w:val="005930B2"/>
    <w:rsid w:val="00593795"/>
    <w:rsid w:val="00596910"/>
    <w:rsid w:val="005A2625"/>
    <w:rsid w:val="005A75FF"/>
    <w:rsid w:val="005A7AF3"/>
    <w:rsid w:val="005B4950"/>
    <w:rsid w:val="005B7789"/>
    <w:rsid w:val="005D56C0"/>
    <w:rsid w:val="005D72C1"/>
    <w:rsid w:val="005E1885"/>
    <w:rsid w:val="005F2450"/>
    <w:rsid w:val="006104E9"/>
    <w:rsid w:val="00612745"/>
    <w:rsid w:val="00630B5A"/>
    <w:rsid w:val="0063464B"/>
    <w:rsid w:val="00653924"/>
    <w:rsid w:val="0065696E"/>
    <w:rsid w:val="0065791C"/>
    <w:rsid w:val="0067439B"/>
    <w:rsid w:val="00690B8A"/>
    <w:rsid w:val="006B7405"/>
    <w:rsid w:val="006C4CA8"/>
    <w:rsid w:val="006D0D0B"/>
    <w:rsid w:val="006D1DFA"/>
    <w:rsid w:val="006D29E4"/>
    <w:rsid w:val="006D506B"/>
    <w:rsid w:val="006E3C90"/>
    <w:rsid w:val="0070390B"/>
    <w:rsid w:val="00704B61"/>
    <w:rsid w:val="007377C9"/>
    <w:rsid w:val="007416B4"/>
    <w:rsid w:val="00742A8D"/>
    <w:rsid w:val="007552A9"/>
    <w:rsid w:val="0075590E"/>
    <w:rsid w:val="00757C67"/>
    <w:rsid w:val="00761858"/>
    <w:rsid w:val="00762E9D"/>
    <w:rsid w:val="00767D59"/>
    <w:rsid w:val="00771861"/>
    <w:rsid w:val="00776E97"/>
    <w:rsid w:val="00780FD7"/>
    <w:rsid w:val="00781544"/>
    <w:rsid w:val="007912AD"/>
    <w:rsid w:val="00792CC2"/>
    <w:rsid w:val="00793A38"/>
    <w:rsid w:val="007A081F"/>
    <w:rsid w:val="007A1F28"/>
    <w:rsid w:val="007A6445"/>
    <w:rsid w:val="007B0824"/>
    <w:rsid w:val="007E093C"/>
    <w:rsid w:val="007F463C"/>
    <w:rsid w:val="008303B8"/>
    <w:rsid w:val="00833DCE"/>
    <w:rsid w:val="00841426"/>
    <w:rsid w:val="00842418"/>
    <w:rsid w:val="00871D34"/>
    <w:rsid w:val="00883C92"/>
    <w:rsid w:val="00885808"/>
    <w:rsid w:val="008A3E76"/>
    <w:rsid w:val="008B270C"/>
    <w:rsid w:val="008B7675"/>
    <w:rsid w:val="008C13EB"/>
    <w:rsid w:val="008C3D3D"/>
    <w:rsid w:val="008D2D39"/>
    <w:rsid w:val="008D4131"/>
    <w:rsid w:val="008D72EE"/>
    <w:rsid w:val="008F1932"/>
    <w:rsid w:val="008F294D"/>
    <w:rsid w:val="008F3478"/>
    <w:rsid w:val="00916597"/>
    <w:rsid w:val="00921062"/>
    <w:rsid w:val="00923213"/>
    <w:rsid w:val="0092466E"/>
    <w:rsid w:val="0093083E"/>
    <w:rsid w:val="009573A5"/>
    <w:rsid w:val="00966ECF"/>
    <w:rsid w:val="009727A3"/>
    <w:rsid w:val="00974F88"/>
    <w:rsid w:val="009828F5"/>
    <w:rsid w:val="0098507A"/>
    <w:rsid w:val="00987774"/>
    <w:rsid w:val="00997F3F"/>
    <w:rsid w:val="009A11E8"/>
    <w:rsid w:val="009C5A94"/>
    <w:rsid w:val="009D64A7"/>
    <w:rsid w:val="009E4E62"/>
    <w:rsid w:val="009F5220"/>
    <w:rsid w:val="009F73A5"/>
    <w:rsid w:val="009F7C4D"/>
    <w:rsid w:val="00A15234"/>
    <w:rsid w:val="00A201AB"/>
    <w:rsid w:val="00A31BD8"/>
    <w:rsid w:val="00A31C8B"/>
    <w:rsid w:val="00A35387"/>
    <w:rsid w:val="00A53BE8"/>
    <w:rsid w:val="00A60EA2"/>
    <w:rsid w:val="00A845DC"/>
    <w:rsid w:val="00A97AEE"/>
    <w:rsid w:val="00AA2E5B"/>
    <w:rsid w:val="00AC5CF6"/>
    <w:rsid w:val="00AE4C95"/>
    <w:rsid w:val="00B11943"/>
    <w:rsid w:val="00B144FA"/>
    <w:rsid w:val="00B16F58"/>
    <w:rsid w:val="00B260AE"/>
    <w:rsid w:val="00B30648"/>
    <w:rsid w:val="00B3524D"/>
    <w:rsid w:val="00B40F69"/>
    <w:rsid w:val="00B46616"/>
    <w:rsid w:val="00B53EA7"/>
    <w:rsid w:val="00B54087"/>
    <w:rsid w:val="00B610E3"/>
    <w:rsid w:val="00B61205"/>
    <w:rsid w:val="00B615F6"/>
    <w:rsid w:val="00B617C4"/>
    <w:rsid w:val="00B626FA"/>
    <w:rsid w:val="00B62B2A"/>
    <w:rsid w:val="00B65747"/>
    <w:rsid w:val="00B7040A"/>
    <w:rsid w:val="00B705D9"/>
    <w:rsid w:val="00B72609"/>
    <w:rsid w:val="00B9106B"/>
    <w:rsid w:val="00B96FA0"/>
    <w:rsid w:val="00BD1E13"/>
    <w:rsid w:val="00BD4196"/>
    <w:rsid w:val="00BD74C9"/>
    <w:rsid w:val="00BF22CA"/>
    <w:rsid w:val="00C005C1"/>
    <w:rsid w:val="00C10070"/>
    <w:rsid w:val="00C242C6"/>
    <w:rsid w:val="00C25034"/>
    <w:rsid w:val="00C26032"/>
    <w:rsid w:val="00C265B0"/>
    <w:rsid w:val="00C321B5"/>
    <w:rsid w:val="00C345E1"/>
    <w:rsid w:val="00C457BC"/>
    <w:rsid w:val="00C977BA"/>
    <w:rsid w:val="00CB6E35"/>
    <w:rsid w:val="00CE1A46"/>
    <w:rsid w:val="00CF253F"/>
    <w:rsid w:val="00CF56B4"/>
    <w:rsid w:val="00D07C1D"/>
    <w:rsid w:val="00D20F09"/>
    <w:rsid w:val="00D22636"/>
    <w:rsid w:val="00D333FD"/>
    <w:rsid w:val="00D40FD9"/>
    <w:rsid w:val="00D527C9"/>
    <w:rsid w:val="00D53769"/>
    <w:rsid w:val="00D6760D"/>
    <w:rsid w:val="00D70775"/>
    <w:rsid w:val="00D82CAB"/>
    <w:rsid w:val="00D85C13"/>
    <w:rsid w:val="00D91BE3"/>
    <w:rsid w:val="00D94AFC"/>
    <w:rsid w:val="00D96AB0"/>
    <w:rsid w:val="00DA22AB"/>
    <w:rsid w:val="00DA53F9"/>
    <w:rsid w:val="00DB4838"/>
    <w:rsid w:val="00DB70AE"/>
    <w:rsid w:val="00DB7231"/>
    <w:rsid w:val="00DD5071"/>
    <w:rsid w:val="00DD5C39"/>
    <w:rsid w:val="00DD6305"/>
    <w:rsid w:val="00DE26AF"/>
    <w:rsid w:val="00DE279E"/>
    <w:rsid w:val="00DE3F1C"/>
    <w:rsid w:val="00DE7DB7"/>
    <w:rsid w:val="00DF41E9"/>
    <w:rsid w:val="00E00A0A"/>
    <w:rsid w:val="00E00B36"/>
    <w:rsid w:val="00E00C82"/>
    <w:rsid w:val="00E05FCF"/>
    <w:rsid w:val="00E0621D"/>
    <w:rsid w:val="00E063EC"/>
    <w:rsid w:val="00E07F57"/>
    <w:rsid w:val="00E333BD"/>
    <w:rsid w:val="00E50BCE"/>
    <w:rsid w:val="00E51887"/>
    <w:rsid w:val="00E51D71"/>
    <w:rsid w:val="00E61292"/>
    <w:rsid w:val="00E76309"/>
    <w:rsid w:val="00E77C4D"/>
    <w:rsid w:val="00E81D01"/>
    <w:rsid w:val="00EA4E94"/>
    <w:rsid w:val="00ED6C2F"/>
    <w:rsid w:val="00EE45D8"/>
    <w:rsid w:val="00EE5258"/>
    <w:rsid w:val="00F004CD"/>
    <w:rsid w:val="00F22EDA"/>
    <w:rsid w:val="00F3224D"/>
    <w:rsid w:val="00F33E0E"/>
    <w:rsid w:val="00F436BD"/>
    <w:rsid w:val="00F5664C"/>
    <w:rsid w:val="00F82A85"/>
    <w:rsid w:val="00F86114"/>
    <w:rsid w:val="00F94874"/>
    <w:rsid w:val="00FB7E80"/>
    <w:rsid w:val="00FE1118"/>
    <w:rsid w:val="00FF3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6F666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6878">
      <w:bodyDiv w:val="1"/>
      <w:marLeft w:val="0"/>
      <w:marRight w:val="0"/>
      <w:marTop w:val="0"/>
      <w:marBottom w:val="0"/>
      <w:divBdr>
        <w:top w:val="none" w:sz="0" w:space="0" w:color="auto"/>
        <w:left w:val="none" w:sz="0" w:space="0" w:color="auto"/>
        <w:bottom w:val="none" w:sz="0" w:space="0" w:color="auto"/>
        <w:right w:val="none" w:sz="0" w:space="0" w:color="auto"/>
      </w:divBdr>
    </w:div>
    <w:div w:id="9958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1816</Words>
  <Characters>9148</Characters>
  <Application>Microsoft Office Word</Application>
  <DocSecurity>0</DocSecurity>
  <Lines>76</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2018-09-07T10:33:00Z</dcterms:created>
  <dcterms:modified xsi:type="dcterms:W3CDTF">2018-09-07T10:33:00Z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