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6506AE" w:rsidRDefault="00305F8E" w:rsidP="0010335F">
      <w:pPr>
        <w:jc w:val="center"/>
        <w:rPr>
          <w:rFonts w:ascii="Book Antiqua" w:hAnsi="Book Antiqua" w:cs="Arial"/>
          <w:caps/>
          <w:color w:val="000000"/>
          <w:sz w:val="16"/>
          <w:szCs w:val="16"/>
        </w:rPr>
      </w:pPr>
      <w:r w:rsidRPr="006506AE">
        <w:rPr>
          <w:noProof/>
          <w:sz w:val="16"/>
          <w:szCs w:val="16"/>
        </w:rPr>
        <w:drawing>
          <wp:inline distT="0" distB="0" distL="0" distR="0">
            <wp:extent cx="104394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5510"/>
                    </a:xfrm>
                    <a:prstGeom prst="rect">
                      <a:avLst/>
                    </a:prstGeom>
                    <a:noFill/>
                    <a:ln>
                      <a:noFill/>
                    </a:ln>
                  </pic:spPr>
                </pic:pic>
              </a:graphicData>
            </a:graphic>
          </wp:inline>
        </w:drawing>
      </w:r>
    </w:p>
    <w:p w:rsidR="00D94AFC" w:rsidRPr="006506AE" w:rsidRDefault="00D94AFC">
      <w:pPr>
        <w:rPr>
          <w:rFonts w:ascii="Book Antiqua" w:hAnsi="Book Antiqua" w:cs="Arial"/>
          <w:color w:val="000000"/>
          <w:sz w:val="16"/>
          <w:szCs w:val="16"/>
        </w:rPr>
      </w:pP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1C5703" w:rsidRDefault="0010335F" w:rsidP="00780F86">
      <w:pPr>
        <w:tabs>
          <w:tab w:val="right" w:pos="9720"/>
        </w:tabs>
        <w:ind w:right="-82"/>
        <w:rPr>
          <w:rFonts w:ascii="Book Antiqua" w:hAnsi="Book Antiqua" w:cs="Arial"/>
          <w:color w:val="000000"/>
        </w:rPr>
      </w:pPr>
      <w:r w:rsidRPr="001C5703">
        <w:rPr>
          <w:rFonts w:ascii="Book Antiqua" w:hAnsi="Book Antiqua" w:cs="Arial"/>
          <w:b/>
          <w:color w:val="000000"/>
        </w:rPr>
        <w:t>(Immigration and Asylum Chamber)</w:t>
      </w:r>
      <w:r w:rsidR="00DB70AE" w:rsidRPr="001C5703">
        <w:rPr>
          <w:rFonts w:ascii="Book Antiqua" w:hAnsi="Book Antiqua" w:cs="Arial"/>
          <w:b/>
          <w:color w:val="000000"/>
        </w:rPr>
        <w:tab/>
      </w:r>
      <w:r w:rsidR="00B3524D" w:rsidRPr="001C5703">
        <w:rPr>
          <w:rFonts w:ascii="Book Antiqua" w:hAnsi="Book Antiqua" w:cs="Arial"/>
          <w:color w:val="000000"/>
        </w:rPr>
        <w:t>Appeal Number</w:t>
      </w:r>
      <w:r w:rsidR="00D53769" w:rsidRPr="001C5703">
        <w:rPr>
          <w:rFonts w:ascii="Book Antiqua" w:hAnsi="Book Antiqua" w:cs="Arial"/>
          <w:color w:val="000000"/>
        </w:rPr>
        <w:t>:</w:t>
      </w:r>
      <w:r w:rsidR="00B3524D" w:rsidRPr="001C5703">
        <w:rPr>
          <w:rFonts w:ascii="Book Antiqua" w:hAnsi="Book Antiqua" w:cs="Arial"/>
          <w:color w:val="000000"/>
        </w:rPr>
        <w:t xml:space="preserve"> </w:t>
      </w:r>
      <w:bookmarkStart w:id="0" w:name="_GoBack"/>
      <w:r w:rsidR="00BC0D23">
        <w:rPr>
          <w:rFonts w:ascii="Book Antiqua" w:hAnsi="Book Antiqua" w:cs="Arial"/>
          <w:caps/>
          <w:color w:val="000000"/>
        </w:rPr>
        <w:t>HU/</w:t>
      </w:r>
      <w:r w:rsidR="004E5903">
        <w:rPr>
          <w:rFonts w:ascii="Book Antiqua" w:hAnsi="Book Antiqua" w:cs="Arial"/>
          <w:caps/>
          <w:color w:val="000000"/>
        </w:rPr>
        <w:t>21093/2016</w:t>
      </w:r>
      <w:bookmarkEnd w:id="0"/>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1C5703" w:rsidTr="009F1E93">
        <w:tc>
          <w:tcPr>
            <w:tcW w:w="509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4E5903">
              <w:rPr>
                <w:rFonts w:ascii="Book Antiqua" w:hAnsi="Book Antiqua" w:cs="Arial"/>
                <w:b/>
              </w:rPr>
              <w:t>Field House</w:t>
            </w:r>
          </w:p>
        </w:tc>
        <w:tc>
          <w:tcPr>
            <w:tcW w:w="4910" w:type="dxa"/>
            <w:gridSpan w:val="2"/>
          </w:tcPr>
          <w:p w:rsidR="00D22636" w:rsidRPr="001C5703" w:rsidRDefault="004B71FD"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9F1E93">
        <w:tc>
          <w:tcPr>
            <w:tcW w:w="5098"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On </w:t>
            </w:r>
            <w:r w:rsidR="004E5903">
              <w:rPr>
                <w:rFonts w:ascii="Book Antiqua" w:hAnsi="Book Antiqua" w:cs="Arial"/>
                <w:b/>
              </w:rPr>
              <w:t>21 August 2018</w:t>
            </w:r>
          </w:p>
        </w:tc>
        <w:tc>
          <w:tcPr>
            <w:tcW w:w="4910" w:type="dxa"/>
            <w:gridSpan w:val="2"/>
          </w:tcPr>
          <w:p w:rsidR="00D22636" w:rsidRPr="001C5703" w:rsidRDefault="009F1E93" w:rsidP="004A1848">
            <w:pPr>
              <w:jc w:val="both"/>
              <w:rPr>
                <w:rFonts w:ascii="Book Antiqua" w:hAnsi="Book Antiqua" w:cs="Arial"/>
                <w:b/>
              </w:rPr>
            </w:pPr>
            <w:r>
              <w:rPr>
                <w:rFonts w:ascii="Book Antiqua" w:hAnsi="Book Antiqua" w:cs="Arial"/>
                <w:b/>
              </w:rPr>
              <w:t xml:space="preserve">On 04 September 2018 </w:t>
            </w:r>
          </w:p>
        </w:tc>
      </w:tr>
      <w:tr w:rsidR="009F1E93" w:rsidRPr="001C5703" w:rsidTr="004B71FD">
        <w:trPr>
          <w:gridAfter w:val="1"/>
          <w:wAfter w:w="3960" w:type="dxa"/>
        </w:trPr>
        <w:tc>
          <w:tcPr>
            <w:tcW w:w="6048" w:type="dxa"/>
            <w:gridSpan w:val="2"/>
          </w:tcPr>
          <w:p w:rsidR="009F1E93" w:rsidRPr="001C5703" w:rsidRDefault="009F1E93" w:rsidP="004A1848">
            <w:pPr>
              <w:jc w:val="both"/>
              <w:rPr>
                <w:rFonts w:ascii="Book Antiqua" w:hAnsi="Book Antiqua" w:cs="Arial"/>
                <w:b/>
              </w:rPr>
            </w:pPr>
          </w:p>
        </w:tc>
      </w:tr>
    </w:tbl>
    <w:p w:rsidR="00A15234" w:rsidRPr="001C5703" w:rsidRDefault="00A15234" w:rsidP="00A15234">
      <w:pPr>
        <w:jc w:val="center"/>
        <w:rPr>
          <w:rFonts w:ascii="Book Antiqua" w:hAnsi="Book Antiqua" w:cs="Arial"/>
        </w:rPr>
      </w:pPr>
    </w:p>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D20757" w:rsidRPr="001C5703" w:rsidRDefault="003543A1" w:rsidP="00A15234">
      <w:pPr>
        <w:jc w:val="center"/>
        <w:rPr>
          <w:rFonts w:ascii="Book Antiqua" w:hAnsi="Book Antiqua" w:cs="Arial"/>
          <w:b/>
          <w:color w:val="000000"/>
        </w:rPr>
      </w:pPr>
      <w:r>
        <w:rPr>
          <w:rFonts w:ascii="Book Antiqua" w:hAnsi="Book Antiqua" w:cs="Arial"/>
          <w:b/>
          <w:color w:val="000000"/>
        </w:rPr>
        <w:t>UPPER TRIBUNAL</w:t>
      </w:r>
      <w:r w:rsidR="001B2F75" w:rsidRPr="001C5703">
        <w:rPr>
          <w:rFonts w:ascii="Book Antiqua" w:hAnsi="Book Antiqua" w:cs="Arial"/>
          <w:b/>
          <w:color w:val="000000"/>
        </w:rPr>
        <w:t xml:space="preserve"> JUDGE </w:t>
      </w:r>
      <w:r w:rsidR="005B1C60" w:rsidRPr="001C5703">
        <w:rPr>
          <w:rFonts w:ascii="Book Antiqua" w:hAnsi="Book Antiqua" w:cs="Arial"/>
          <w:b/>
          <w:color w:val="000000"/>
        </w:rPr>
        <w:t>WARR</w:t>
      </w:r>
    </w:p>
    <w:p w:rsidR="00A845DC" w:rsidRDefault="00A845DC" w:rsidP="00A15234">
      <w:pPr>
        <w:jc w:val="center"/>
        <w:rPr>
          <w:rFonts w:ascii="Book Antiqua" w:hAnsi="Book Antiqua" w:cs="Arial"/>
          <w:b/>
        </w:rPr>
      </w:pPr>
    </w:p>
    <w:p w:rsidR="006506AE" w:rsidRPr="001C5703" w:rsidRDefault="006506AE"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A845DC" w:rsidRPr="001C5703" w:rsidRDefault="004E5903" w:rsidP="00A15234">
      <w:pPr>
        <w:jc w:val="center"/>
        <w:rPr>
          <w:rFonts w:ascii="Book Antiqua" w:hAnsi="Book Antiqua" w:cs="Arial"/>
          <w:b/>
          <w:caps/>
        </w:rPr>
      </w:pPr>
      <w:r>
        <w:rPr>
          <w:rFonts w:ascii="Book Antiqua" w:hAnsi="Book Antiqua" w:cs="Arial"/>
          <w:b/>
          <w:caps/>
        </w:rPr>
        <w:t xml:space="preserve">maribeth </w:t>
      </w:r>
      <w:r w:rsidR="006506AE">
        <w:rPr>
          <w:rFonts w:ascii="Book Antiqua" w:hAnsi="Book Antiqua" w:cs="Arial"/>
          <w:b/>
          <w:caps/>
        </w:rPr>
        <w:t>[</w:t>
      </w:r>
      <w:r>
        <w:rPr>
          <w:rFonts w:ascii="Book Antiqua" w:hAnsi="Book Antiqua" w:cs="Arial"/>
          <w:b/>
          <w:caps/>
        </w:rPr>
        <w:t>w</w:t>
      </w:r>
      <w:r w:rsidR="006506AE">
        <w:rPr>
          <w:rFonts w:ascii="Book Antiqua" w:hAnsi="Book Antiqua" w:cs="Arial"/>
          <w:b/>
          <w:caps/>
        </w:rPr>
        <w:t>]</w:t>
      </w:r>
    </w:p>
    <w:p w:rsidR="004B71FD" w:rsidRPr="006506AE" w:rsidRDefault="004B71FD" w:rsidP="004B71FD">
      <w:pPr>
        <w:jc w:val="center"/>
        <w:rPr>
          <w:rFonts w:ascii="Book Antiqua" w:hAnsi="Book Antiqua" w:cs="Arial"/>
          <w:b/>
          <w:caps/>
          <w:sz w:val="22"/>
        </w:rPr>
      </w:pPr>
      <w:r w:rsidRPr="006506AE">
        <w:rPr>
          <w:rFonts w:ascii="Book Antiqua" w:hAnsi="Book Antiqua" w:cs="Arial"/>
          <w:b/>
          <w:caps/>
          <w:sz w:val="22"/>
        </w:rPr>
        <w:t xml:space="preserve">(ANONYMITY DIRECTION </w:t>
      </w:r>
      <w:r w:rsidR="004E5903" w:rsidRPr="006506AE">
        <w:rPr>
          <w:rFonts w:ascii="Book Antiqua" w:hAnsi="Book Antiqua" w:cs="Arial"/>
          <w:b/>
          <w:caps/>
          <w:sz w:val="22"/>
        </w:rPr>
        <w:t>not made</w:t>
      </w:r>
      <w:r w:rsidRPr="006506AE">
        <w:rPr>
          <w:rFonts w:ascii="Book Antiqua" w:hAnsi="Book Antiqua" w:cs="Arial"/>
          <w:b/>
          <w:caps/>
          <w:sz w:val="22"/>
        </w:rPr>
        <w:t>)</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Pr="001C5703" w:rsidRDefault="00DD5071" w:rsidP="00704B61">
      <w:pPr>
        <w:jc w:val="center"/>
        <w:rPr>
          <w:rFonts w:ascii="Book Antiqua" w:hAnsi="Book Antiqua" w:cs="Arial"/>
          <w:b/>
        </w:rPr>
      </w:pPr>
    </w:p>
    <w:p w:rsidR="00DD5071" w:rsidRPr="001C5703" w:rsidRDefault="00DD5071" w:rsidP="00704B61">
      <w:pPr>
        <w:jc w:val="center"/>
        <w:rPr>
          <w:rFonts w:ascii="Book Antiqua" w:hAnsi="Book Antiqua" w:cs="Arial"/>
          <w:b/>
        </w:rPr>
      </w:pPr>
      <w:r w:rsidRPr="001C570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1C5703">
        <w:rPr>
          <w:rFonts w:ascii="Book Antiqua" w:hAnsi="Book Antiqua" w:cs="Arial"/>
          <w:b/>
        </w:rPr>
        <w:instrText xml:space="preserve"> FORMTEXT </w:instrText>
      </w:r>
      <w:r w:rsidRPr="001C5703">
        <w:rPr>
          <w:rFonts w:ascii="Book Antiqua" w:hAnsi="Book Antiqua" w:cs="Arial"/>
          <w:b/>
        </w:rPr>
      </w:r>
      <w:r w:rsidRPr="001C5703">
        <w:rPr>
          <w:rFonts w:ascii="Book Antiqua" w:hAnsi="Book Antiqua" w:cs="Arial"/>
          <w:b/>
        </w:rPr>
        <w:fldChar w:fldCharType="separate"/>
      </w:r>
      <w:r w:rsidRPr="001C5703">
        <w:rPr>
          <w:rFonts w:ascii="Book Antiqua" w:hAnsi="Book Antiqua" w:cs="Arial"/>
          <w:b/>
          <w:noProof/>
        </w:rPr>
        <w:t>THE SECRETARY OF STATE FOR THE HOME DEPARTMENT</w:t>
      </w:r>
      <w:r w:rsidRPr="001C5703">
        <w:rPr>
          <w:rFonts w:ascii="Book Antiqua" w:hAnsi="Book Antiqua" w:cs="Arial"/>
          <w:b/>
        </w:rPr>
        <w:fldChar w:fldCharType="end"/>
      </w:r>
      <w:bookmarkEnd w:id="1"/>
    </w:p>
    <w:p w:rsidR="00DD5071" w:rsidRPr="001C5703" w:rsidRDefault="00DD5071" w:rsidP="00DD5071">
      <w:pPr>
        <w:jc w:val="right"/>
        <w:rPr>
          <w:rFonts w:ascii="Book Antiqua" w:hAnsi="Book Antiqua" w:cs="Arial"/>
          <w:u w:val="single"/>
        </w:rPr>
      </w:pPr>
      <w:r w:rsidRPr="001C5703">
        <w:rPr>
          <w:rFonts w:ascii="Book Antiqua" w:hAnsi="Book Antiqua" w:cs="Arial"/>
          <w:u w:val="single"/>
        </w:rPr>
        <w:t>Respondent</w:t>
      </w:r>
    </w:p>
    <w:p w:rsidR="00DD5071" w:rsidRPr="001C5703" w:rsidRDefault="00DD5071" w:rsidP="00DD5071">
      <w:pPr>
        <w:rPr>
          <w:rFonts w:ascii="Book Antiqua" w:hAnsi="Book Antiqua" w:cs="Arial"/>
          <w:u w:val="single"/>
        </w:rPr>
      </w:pPr>
    </w:p>
    <w:p w:rsidR="00DD5071" w:rsidRPr="001C5703" w:rsidRDefault="00DD5071" w:rsidP="00DD5071">
      <w:pPr>
        <w:rPr>
          <w:rFonts w:ascii="Book Antiqua" w:hAnsi="Book Antiqua" w:cs="Arial"/>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6506AE">
      <w:pPr>
        <w:tabs>
          <w:tab w:val="left" w:pos="2552"/>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4E5903">
        <w:rPr>
          <w:rFonts w:ascii="Book Antiqua" w:hAnsi="Book Antiqua" w:cs="Arial"/>
        </w:rPr>
        <w:t>Mr O Nwokeji (Solicitor)</w:t>
      </w:r>
    </w:p>
    <w:p w:rsidR="00DE7DB7" w:rsidRPr="001C5703" w:rsidRDefault="00DE7DB7" w:rsidP="006506AE">
      <w:pPr>
        <w:tabs>
          <w:tab w:val="left" w:pos="2552"/>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4E5903">
        <w:rPr>
          <w:rFonts w:ascii="Book Antiqua" w:hAnsi="Book Antiqua" w:cs="Arial"/>
        </w:rPr>
        <w:t>Mr C Avery, Home Office Presenting Officer</w:t>
      </w:r>
    </w:p>
    <w:p w:rsidR="00DE7DB7" w:rsidRPr="001C5703" w:rsidRDefault="00DE7DB7" w:rsidP="00402B9E">
      <w:pPr>
        <w:tabs>
          <w:tab w:val="left" w:pos="2520"/>
        </w:tabs>
        <w:jc w:val="center"/>
        <w:rPr>
          <w:rFonts w:ascii="Book Antiqua" w:hAnsi="Book Antiqua" w:cs="Arial"/>
        </w:rPr>
      </w:pPr>
    </w:p>
    <w:p w:rsidR="00DE7DB7" w:rsidRPr="001C5703" w:rsidRDefault="00DE7DB7" w:rsidP="00402B9E">
      <w:pPr>
        <w:tabs>
          <w:tab w:val="left" w:pos="2520"/>
        </w:tabs>
        <w:jc w:val="center"/>
        <w:rPr>
          <w:rFonts w:ascii="Book Antiqua" w:hAnsi="Book Antiqua" w:cs="Arial"/>
        </w:rPr>
      </w:pPr>
    </w:p>
    <w:p w:rsidR="00DE7DB7" w:rsidRPr="001C5703" w:rsidRDefault="004B71F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BF23BB" w:rsidRDefault="00402B9E" w:rsidP="006506AE">
      <w:pPr>
        <w:tabs>
          <w:tab w:val="left" w:pos="567"/>
        </w:tabs>
        <w:spacing w:before="240"/>
        <w:ind w:left="567" w:hanging="567"/>
        <w:jc w:val="both"/>
        <w:rPr>
          <w:rFonts w:ascii="Book Antiqua" w:hAnsi="Book Antiqua" w:cs="Arial"/>
        </w:rPr>
      </w:pPr>
      <w:r w:rsidRPr="001C5703">
        <w:rPr>
          <w:rFonts w:ascii="Book Antiqua" w:hAnsi="Book Antiqua" w:cs="Arial"/>
        </w:rPr>
        <w:t>1.</w:t>
      </w:r>
      <w:r w:rsidRPr="001C5703">
        <w:rPr>
          <w:rFonts w:ascii="Book Antiqua" w:hAnsi="Book Antiqua" w:cs="Arial"/>
        </w:rPr>
        <w:tab/>
      </w:r>
      <w:r w:rsidR="004E5903">
        <w:rPr>
          <w:rFonts w:ascii="Book Antiqua" w:hAnsi="Book Antiqua" w:cs="Arial"/>
        </w:rPr>
        <w:t>The appellant is a citizen of the USA born 10 December 1963.  She appeals the decision of the respondent on 15 August 2016 to refuse her application for leave to remain in the UK on the grounds that this would violate her human rights.  The appellant appealed and her appeal came before a First-tier Judge on 15 January 2018.  She was not represented on that occasion.  The judge records that while he had the respondent’s bundle there was no witness statement or further supporting documentation submitted by the appellant.</w:t>
      </w:r>
    </w:p>
    <w:p w:rsidR="004E5903" w:rsidRDefault="004E5903" w:rsidP="006506AE">
      <w:pPr>
        <w:tabs>
          <w:tab w:val="left" w:pos="567"/>
        </w:tabs>
        <w:spacing w:before="240"/>
        <w:ind w:left="567" w:hanging="567"/>
        <w:jc w:val="both"/>
        <w:rPr>
          <w:rFonts w:ascii="Book Antiqua" w:hAnsi="Book Antiqua" w:cs="Arial"/>
        </w:rPr>
      </w:pPr>
      <w:r>
        <w:rPr>
          <w:rFonts w:ascii="Book Antiqua" w:hAnsi="Book Antiqua" w:cs="Arial"/>
        </w:rPr>
        <w:lastRenderedPageBreak/>
        <w:t>2</w:t>
      </w:r>
      <w:r w:rsidR="007E61E4">
        <w:rPr>
          <w:rFonts w:ascii="Book Antiqua" w:hAnsi="Book Antiqua" w:cs="Arial"/>
        </w:rPr>
        <w:t>.</w:t>
      </w:r>
      <w:r>
        <w:rPr>
          <w:rFonts w:ascii="Book Antiqua" w:hAnsi="Book Antiqua" w:cs="Arial"/>
        </w:rPr>
        <w:tab/>
        <w:t>The judge heard oral evidence from the appellant and her husband who is a British citizen.  They had got married in 2009 in the USA having met online.  They lived together in the USA and had a daughter who was born in March 2010.  The appellant was in employment but on a low wage and her husband was awaiting a green card.  The couple decided to leave although the green card arrived just two weeks before their departure in September 2010.  Initially their intention had been to return to the USA but the husband had secured employment in the UK and earned a comfortable salary.  The judge records that the appellant was unable to explain exactly why she did not apply to regularise her stay in the UK when her visit visa expired six months after her arrival.  The appellant’s husband’s evidence was that it was because they lacked the funds to make the application.  Both the witnesses said it would be difficult for them if they had to return to the USA.</w:t>
      </w:r>
    </w:p>
    <w:p w:rsidR="004E5903" w:rsidRDefault="004E5903" w:rsidP="006506AE">
      <w:pPr>
        <w:tabs>
          <w:tab w:val="left" w:pos="567"/>
        </w:tabs>
        <w:spacing w:before="240"/>
        <w:ind w:left="567" w:hanging="567"/>
        <w:jc w:val="both"/>
        <w:rPr>
          <w:rFonts w:ascii="Book Antiqua" w:hAnsi="Book Antiqua" w:cs="Arial"/>
        </w:rPr>
      </w:pPr>
      <w:r>
        <w:rPr>
          <w:rFonts w:ascii="Book Antiqua" w:hAnsi="Book Antiqua" w:cs="Arial"/>
        </w:rPr>
        <w:t>3.</w:t>
      </w:r>
      <w:r>
        <w:rPr>
          <w:rFonts w:ascii="Book Antiqua" w:hAnsi="Book Antiqua" w:cs="Arial"/>
        </w:rPr>
        <w:tab/>
        <w:t>It w</w:t>
      </w:r>
      <w:r w:rsidR="0060236C">
        <w:rPr>
          <w:rFonts w:ascii="Book Antiqua" w:hAnsi="Book Antiqua" w:cs="Arial"/>
        </w:rPr>
        <w:t>a</w:t>
      </w:r>
      <w:r>
        <w:rPr>
          <w:rFonts w:ascii="Book Antiqua" w:hAnsi="Book Antiqua" w:cs="Arial"/>
        </w:rPr>
        <w:t>s submitted on behalf of the respondent that the appellant was an overstayer who had broken the conditions of her visit visa and there would be no insurmountable obstacles to the family relocating to the USA and there were no exceptional circumstances.  Also</w:t>
      </w:r>
      <w:r w:rsidR="007E61E4">
        <w:rPr>
          <w:rFonts w:ascii="Book Antiqua" w:hAnsi="Book Antiqua" w:cs="Arial"/>
        </w:rPr>
        <w:t>,</w:t>
      </w:r>
      <w:r>
        <w:rPr>
          <w:rFonts w:ascii="Book Antiqua" w:hAnsi="Book Antiqua" w:cs="Arial"/>
        </w:rPr>
        <w:t xml:space="preserve"> the appellant had the option of applying for an entry clearance from the USA in order to regularise her return to the UK.</w:t>
      </w:r>
    </w:p>
    <w:p w:rsidR="004E5903" w:rsidRDefault="004E5903" w:rsidP="006506AE">
      <w:pPr>
        <w:tabs>
          <w:tab w:val="left" w:pos="567"/>
        </w:tabs>
        <w:spacing w:before="240"/>
        <w:ind w:left="567" w:hanging="567"/>
        <w:jc w:val="both"/>
        <w:rPr>
          <w:rFonts w:ascii="Book Antiqua" w:hAnsi="Book Antiqua" w:cs="Arial"/>
        </w:rPr>
      </w:pPr>
      <w:r>
        <w:rPr>
          <w:rFonts w:ascii="Book Antiqua" w:hAnsi="Book Antiqua" w:cs="Arial"/>
        </w:rPr>
        <w:t>4.</w:t>
      </w:r>
      <w:r>
        <w:rPr>
          <w:rFonts w:ascii="Book Antiqua" w:hAnsi="Book Antiqua" w:cs="Arial"/>
        </w:rPr>
        <w:tab/>
        <w:t>Although in the decision the respondent had stated that the child was not a British citizen the judge found that as her father was a British citizen by birth the daughter was a British citizen by descent under the British Nationality Act 1983 as she had been born outside the UK to a parent who was a British citizen otherwise than by descent.  I should mention that the respondent filed a response on 11 July 2018 on the basis that there was no record of the child being registered as a British citizen.  She had entered the country on a US passport.</w:t>
      </w:r>
    </w:p>
    <w:p w:rsidR="004E5903" w:rsidRDefault="004E5903" w:rsidP="006506AE">
      <w:pPr>
        <w:tabs>
          <w:tab w:val="left" w:pos="567"/>
        </w:tabs>
        <w:spacing w:before="240"/>
        <w:ind w:left="567" w:hanging="567"/>
        <w:jc w:val="both"/>
        <w:rPr>
          <w:rFonts w:ascii="Book Antiqua" w:hAnsi="Book Antiqua" w:cs="Arial"/>
        </w:rPr>
      </w:pPr>
      <w:r>
        <w:rPr>
          <w:rFonts w:ascii="Book Antiqua" w:hAnsi="Book Antiqua" w:cs="Arial"/>
        </w:rPr>
        <w:t>5.</w:t>
      </w:r>
      <w:r>
        <w:rPr>
          <w:rFonts w:ascii="Book Antiqua" w:hAnsi="Book Antiqua" w:cs="Arial"/>
        </w:rPr>
        <w:tab/>
      </w:r>
      <w:r w:rsidR="00BE0798">
        <w:rPr>
          <w:rFonts w:ascii="Book Antiqua" w:hAnsi="Book Antiqua" w:cs="Arial"/>
        </w:rPr>
        <w:t>A</w:t>
      </w:r>
      <w:r>
        <w:rPr>
          <w:rFonts w:ascii="Book Antiqua" w:hAnsi="Book Antiqua" w:cs="Arial"/>
        </w:rPr>
        <w:t>t the hearing Mr Deller conceded that the child was a British citizen as the judge had stated.</w:t>
      </w:r>
    </w:p>
    <w:p w:rsidR="004E5903" w:rsidRDefault="004E5903" w:rsidP="006506AE">
      <w:pPr>
        <w:tabs>
          <w:tab w:val="left" w:pos="567"/>
        </w:tabs>
        <w:spacing w:before="240"/>
        <w:ind w:left="567" w:hanging="567"/>
        <w:jc w:val="both"/>
        <w:rPr>
          <w:rFonts w:ascii="Book Antiqua" w:hAnsi="Book Antiqua" w:cs="Arial"/>
        </w:rPr>
      </w:pPr>
      <w:r>
        <w:rPr>
          <w:rFonts w:ascii="Book Antiqua" w:hAnsi="Book Antiqua" w:cs="Arial"/>
        </w:rPr>
        <w:t>6.</w:t>
      </w:r>
      <w:r>
        <w:rPr>
          <w:rFonts w:ascii="Book Antiqua" w:hAnsi="Book Antiqua" w:cs="Arial"/>
        </w:rPr>
        <w:tab/>
        <w:t xml:space="preserve">The judge found there had been no challenge to the genuineness of the relationship between </w:t>
      </w:r>
      <w:r w:rsidR="007E61E4">
        <w:rPr>
          <w:rFonts w:ascii="Book Antiqua" w:hAnsi="Book Antiqua" w:cs="Arial"/>
        </w:rPr>
        <w:t xml:space="preserve">the </w:t>
      </w:r>
      <w:r>
        <w:rPr>
          <w:rFonts w:ascii="Book Antiqua" w:hAnsi="Book Antiqua" w:cs="Arial"/>
        </w:rPr>
        <w:t>husband and wife or between the appellant and her child.</w:t>
      </w:r>
    </w:p>
    <w:p w:rsidR="004E5903" w:rsidRDefault="00BE0798" w:rsidP="006506AE">
      <w:pPr>
        <w:tabs>
          <w:tab w:val="left" w:pos="567"/>
        </w:tabs>
        <w:spacing w:before="240"/>
        <w:ind w:left="567" w:hanging="567"/>
        <w:jc w:val="both"/>
        <w:rPr>
          <w:rFonts w:ascii="Book Antiqua" w:hAnsi="Book Antiqua" w:cs="Arial"/>
        </w:rPr>
      </w:pPr>
      <w:r>
        <w:rPr>
          <w:rFonts w:ascii="Book Antiqua" w:hAnsi="Book Antiqua" w:cs="Arial"/>
        </w:rPr>
        <w:t>7.</w:t>
      </w:r>
      <w:r>
        <w:rPr>
          <w:rFonts w:ascii="Book Antiqua" w:hAnsi="Book Antiqua" w:cs="Arial"/>
        </w:rPr>
        <w:tab/>
        <w:t>The judge directed him</w:t>
      </w:r>
      <w:r w:rsidR="004E5903">
        <w:rPr>
          <w:rFonts w:ascii="Book Antiqua" w:hAnsi="Book Antiqua" w:cs="Arial"/>
        </w:rPr>
        <w:t xml:space="preserve">self by reference to </w:t>
      </w:r>
      <w:r w:rsidR="004E5903" w:rsidRPr="0060236C">
        <w:rPr>
          <w:rFonts w:ascii="Book Antiqua" w:hAnsi="Book Antiqua" w:cs="Arial"/>
          <w:b/>
          <w:u w:val="single"/>
        </w:rPr>
        <w:t>Agyarko</w:t>
      </w:r>
      <w:r w:rsidR="004E5903" w:rsidRPr="0060236C">
        <w:rPr>
          <w:rFonts w:ascii="Book Antiqua" w:hAnsi="Book Antiqua" w:cs="Arial"/>
          <w:b/>
        </w:rPr>
        <w:t xml:space="preserve"> [2017] UKSC 11</w:t>
      </w:r>
      <w:r w:rsidR="004E5903">
        <w:rPr>
          <w:rFonts w:ascii="Book Antiqua" w:hAnsi="Book Antiqua" w:cs="Arial"/>
        </w:rPr>
        <w:t xml:space="preserve"> noting that the appellant did not meet the immigration status requirement unless she could bring herself within EX.1 and the key questions were therefore whether “it would not be reasonable to expect the child to leave the UK” and/or “there are insurmountable obstacles</w:t>
      </w:r>
      <w:r w:rsidR="0060236C">
        <w:rPr>
          <w:rFonts w:ascii="Book Antiqua" w:hAnsi="Book Antiqua" w:cs="Arial"/>
        </w:rPr>
        <w:t>”</w:t>
      </w:r>
      <w:r w:rsidR="004E5903">
        <w:rPr>
          <w:rFonts w:ascii="Book Antiqua" w:hAnsi="Book Antiqua" w:cs="Arial"/>
        </w:rPr>
        <w:t xml:space="preserve"> to family life with her partner continuing outside the UK</w:t>
      </w:r>
      <w:r w:rsidR="00E04E7F">
        <w:rPr>
          <w:rFonts w:ascii="Book Antiqua" w:hAnsi="Book Antiqua" w:cs="Arial"/>
        </w:rPr>
        <w:t>.</w:t>
      </w:r>
    </w:p>
    <w:p w:rsidR="00E04E7F" w:rsidRDefault="00E04E7F" w:rsidP="006506AE">
      <w:pPr>
        <w:tabs>
          <w:tab w:val="left" w:pos="567"/>
        </w:tabs>
        <w:spacing w:before="240"/>
        <w:ind w:left="567" w:hanging="567"/>
        <w:jc w:val="both"/>
        <w:rPr>
          <w:rFonts w:ascii="Book Antiqua" w:hAnsi="Book Antiqua" w:cs="Arial"/>
        </w:rPr>
      </w:pPr>
      <w:r>
        <w:rPr>
          <w:rFonts w:ascii="Book Antiqua" w:hAnsi="Book Antiqua" w:cs="Arial"/>
        </w:rPr>
        <w:t>8.</w:t>
      </w:r>
      <w:r>
        <w:rPr>
          <w:rFonts w:ascii="Book Antiqua" w:hAnsi="Book Antiqua" w:cs="Arial"/>
        </w:rPr>
        <w:tab/>
        <w:t xml:space="preserve">The judge referred to </w:t>
      </w:r>
      <w:r w:rsidRPr="0060236C">
        <w:rPr>
          <w:rFonts w:ascii="Book Antiqua" w:hAnsi="Book Antiqua" w:cs="Arial"/>
          <w:b/>
          <w:u w:val="single"/>
        </w:rPr>
        <w:t>MA</w:t>
      </w:r>
      <w:r w:rsidRPr="0060236C">
        <w:rPr>
          <w:rFonts w:ascii="Book Antiqua" w:hAnsi="Book Antiqua" w:cs="Arial"/>
          <w:b/>
        </w:rPr>
        <w:t xml:space="preserve"> (Pakistan) [2016] EWCA </w:t>
      </w:r>
      <w:proofErr w:type="spellStart"/>
      <w:r w:rsidRPr="0060236C">
        <w:rPr>
          <w:rFonts w:ascii="Book Antiqua" w:hAnsi="Book Antiqua" w:cs="Arial"/>
          <w:b/>
        </w:rPr>
        <w:t>Civ</w:t>
      </w:r>
      <w:proofErr w:type="spellEnd"/>
      <w:r w:rsidRPr="0060236C">
        <w:rPr>
          <w:rFonts w:ascii="Book Antiqua" w:hAnsi="Book Antiqua" w:cs="Arial"/>
          <w:b/>
        </w:rPr>
        <w:t xml:space="preserve"> 705</w:t>
      </w:r>
      <w:r w:rsidR="00BE0798">
        <w:rPr>
          <w:rFonts w:ascii="Book Antiqua" w:hAnsi="Book Antiqua" w:cs="Arial"/>
        </w:rPr>
        <w:t xml:space="preserve">, </w:t>
      </w:r>
      <w:r>
        <w:rPr>
          <w:rFonts w:ascii="Book Antiqua" w:hAnsi="Book Antiqua" w:cs="Arial"/>
        </w:rPr>
        <w:t>in particular to paragraphs 42 and 47 of the judgment.  The determination concludes as follows:</w:t>
      </w:r>
    </w:p>
    <w:p w:rsidR="00E04E7F" w:rsidRDefault="00E04E7F" w:rsidP="006506AE">
      <w:pPr>
        <w:spacing w:before="120" w:after="120"/>
        <w:ind w:left="1701" w:right="567" w:hanging="567"/>
        <w:jc w:val="both"/>
        <w:rPr>
          <w:rFonts w:ascii="Book Antiqua" w:hAnsi="Book Antiqua" w:cs="Arial"/>
        </w:rPr>
      </w:pPr>
      <w:r>
        <w:rPr>
          <w:rFonts w:ascii="Book Antiqua" w:hAnsi="Book Antiqua" w:cs="Arial"/>
        </w:rPr>
        <w:t>“16.</w:t>
      </w:r>
      <w:r>
        <w:rPr>
          <w:rFonts w:ascii="Book Antiqua" w:hAnsi="Book Antiqua" w:cs="Arial"/>
        </w:rPr>
        <w:tab/>
        <w:t xml:space="preserve">In this case the Appellant’s daughter, although born in the USA, has spent almost the whole of her life in the UK and no doubt is as integrated into life in the UK as any other British child resident in the UK.  As a seven-year-old, her best interests must be overwhelmingly for her to remain living with her parents, whether that is in the UK or in the USA.  It may well be preferable for her to remain in her current </w:t>
      </w:r>
      <w:r>
        <w:rPr>
          <w:rFonts w:ascii="Book Antiqua" w:hAnsi="Book Antiqua" w:cs="Arial"/>
        </w:rPr>
        <w:lastRenderedPageBreak/>
        <w:t>home and school where she has established her social and educational ties.  However, I am not satisfied that a move to the USA would be severely prejudicial.  At seven years of age, her educational development is still at an early stage.  Even allowing for differences in the American education system, she should be able to adapt at such an early age and importantly she does not need to learn a new language.  There is no evidence that she has any health problems or that she has special educational needs.  The difficulties that the child may face have to be balanced against the very poor immigration history of her mother.  The Appellant has been unable to give any adequate explanation for her failure to regularise her stay on expiry of her six-month visit visa.  She in fact made no effort to do so even after receiving a Home Office notice on 18.9.13 requiring her to leave as an overstayer and a further notice RED0001 on 24.8.15 notifying her of her liability to removal.  The given reason that they could not afford the cost of an application is very weak, considering that her husband obtained employment within two months of his return here in 2010 well before the visit visa expired.  In considering the issue of reasonableness, I also bear in mind that it is open to the Appellant to make an entry clearance application as soon as she returns to the USA (with or without her daughter) and if successful, this means her absence from the UK would be only temporary.  Taking all these factors into account, I am not persuaded that she meets the criteria of EX.1(a)(ii</w:t>
      </w:r>
      <w:r w:rsidRPr="00E04E7F">
        <w:rPr>
          <w:rFonts w:ascii="Book Antiqua" w:hAnsi="Book Antiqua" w:cs="Arial"/>
          <w:i/>
        </w:rPr>
        <w:t>) ‘that it would not be reasonable to expect the child to leave the UK’</w:t>
      </w:r>
      <w:r>
        <w:rPr>
          <w:rFonts w:ascii="Book Antiqua" w:hAnsi="Book Antiqua" w:cs="Arial"/>
        </w:rPr>
        <w:t>.</w:t>
      </w:r>
    </w:p>
    <w:p w:rsidR="00E05BBC" w:rsidRDefault="00E05BBC" w:rsidP="006506AE">
      <w:pPr>
        <w:spacing w:before="120" w:after="120"/>
        <w:ind w:left="1701" w:right="567" w:hanging="567"/>
        <w:jc w:val="both"/>
        <w:rPr>
          <w:rFonts w:ascii="Book Antiqua" w:hAnsi="Book Antiqua" w:cs="Arial"/>
        </w:rPr>
      </w:pPr>
      <w:r>
        <w:rPr>
          <w:rFonts w:ascii="Book Antiqua" w:hAnsi="Book Antiqua" w:cs="Arial"/>
        </w:rPr>
        <w:t>17.</w:t>
      </w:r>
      <w:r>
        <w:rPr>
          <w:rFonts w:ascii="Book Antiqua" w:hAnsi="Book Antiqua" w:cs="Arial"/>
        </w:rPr>
        <w:tab/>
        <w:t xml:space="preserve">I turn to the issues relating to family life with her partner under EX.1(b) namely </w:t>
      </w:r>
      <w:r>
        <w:rPr>
          <w:rFonts w:ascii="Book Antiqua" w:hAnsi="Book Antiqua" w:cs="Arial"/>
          <w:i/>
        </w:rPr>
        <w:t>‘that there are insurmountable obstacles to family life with that partner continuing outside the UK.’</w:t>
      </w:r>
      <w:r>
        <w:rPr>
          <w:rFonts w:ascii="Book Antiqua" w:hAnsi="Book Antiqua" w:cs="Arial"/>
        </w:rPr>
        <w:t xml:space="preserve">  This expression is further defined in EX.2 which states:</w:t>
      </w:r>
    </w:p>
    <w:p w:rsidR="00E05BBC" w:rsidRDefault="00E05BBC" w:rsidP="006506AE">
      <w:pPr>
        <w:spacing w:before="120" w:after="120"/>
        <w:ind w:left="2268" w:right="567"/>
        <w:jc w:val="both"/>
        <w:rPr>
          <w:rFonts w:ascii="Book Antiqua" w:hAnsi="Book Antiqua" w:cs="Arial"/>
        </w:rPr>
      </w:pPr>
      <w:r>
        <w:rPr>
          <w:rFonts w:ascii="Book Antiqua" w:hAnsi="Book Antiqua" w:cs="Arial"/>
          <w:i/>
        </w:rPr>
        <w:t xml:space="preserve">‘... insurmountable obstacles </w:t>
      </w:r>
      <w:proofErr w:type="gramStart"/>
      <w:r>
        <w:rPr>
          <w:rFonts w:ascii="Book Antiqua" w:hAnsi="Book Antiqua" w:cs="Arial"/>
          <w:i/>
        </w:rPr>
        <w:t>means</w:t>
      </w:r>
      <w:proofErr w:type="gramEnd"/>
      <w:r>
        <w:rPr>
          <w:rFonts w:ascii="Book Antiqua" w:hAnsi="Book Antiqua" w:cs="Arial"/>
          <w:i/>
        </w:rPr>
        <w:t xml:space="preserve"> the very significant difficulties which would be faced by the applicant or their partner in continuing their family life together outside the UK and which could not be overcome or would entail very serious hardship for the applicant or their partner</w:t>
      </w:r>
      <w:r w:rsidR="0060236C">
        <w:rPr>
          <w:rFonts w:ascii="Book Antiqua" w:hAnsi="Book Antiqua" w:cs="Arial"/>
          <w:i/>
        </w:rPr>
        <w:t>.</w:t>
      </w:r>
      <w:r>
        <w:rPr>
          <w:rFonts w:ascii="Book Antiqua" w:hAnsi="Book Antiqua" w:cs="Arial"/>
          <w:i/>
        </w:rPr>
        <w:t>’</w:t>
      </w:r>
    </w:p>
    <w:p w:rsidR="00E05BBC" w:rsidRDefault="00E05BBC" w:rsidP="006506AE">
      <w:pPr>
        <w:spacing w:before="120" w:after="120"/>
        <w:ind w:left="1701" w:right="567"/>
        <w:jc w:val="both"/>
        <w:rPr>
          <w:rFonts w:ascii="Book Antiqua" w:hAnsi="Book Antiqua" w:cs="Arial"/>
        </w:rPr>
      </w:pPr>
      <w:r>
        <w:rPr>
          <w:rFonts w:ascii="Book Antiqua" w:hAnsi="Book Antiqua" w:cs="Arial"/>
        </w:rPr>
        <w:t xml:space="preserve">In the case of </w:t>
      </w:r>
      <w:r w:rsidRPr="003B5159">
        <w:rPr>
          <w:rFonts w:ascii="Book Antiqua" w:hAnsi="Book Antiqua" w:cs="Arial"/>
          <w:i/>
          <w:u w:val="single"/>
        </w:rPr>
        <w:t>Agyarko</w:t>
      </w:r>
      <w:r>
        <w:rPr>
          <w:rFonts w:ascii="Book Antiqua" w:hAnsi="Book Antiqua" w:cs="Arial"/>
        </w:rPr>
        <w:t xml:space="preserve">, Lord Reed gave guidance as to how ‘insurmountable obstacles’ should be construed.  He referred to the judgement of the European Court in the case of </w:t>
      </w:r>
      <w:r>
        <w:rPr>
          <w:rFonts w:ascii="Book Antiqua" w:hAnsi="Book Antiqua" w:cs="Arial"/>
          <w:i/>
          <w:u w:val="single"/>
        </w:rPr>
        <w:t>Jeunesse v The Netherlands(2015) 60EHRR17</w:t>
      </w:r>
      <w:r>
        <w:rPr>
          <w:rFonts w:ascii="Book Antiqua" w:hAnsi="Book Antiqua" w:cs="Arial"/>
        </w:rPr>
        <w:t xml:space="preserve"> and stated as follows:</w:t>
      </w:r>
    </w:p>
    <w:p w:rsidR="00E05BBC" w:rsidRDefault="00E05BBC" w:rsidP="006506AE">
      <w:pPr>
        <w:spacing w:before="120" w:after="120"/>
        <w:ind w:left="2835" w:right="567" w:hanging="567"/>
        <w:jc w:val="both"/>
        <w:rPr>
          <w:rFonts w:ascii="Book Antiqua" w:hAnsi="Book Antiqua" w:cs="Arial"/>
        </w:rPr>
      </w:pPr>
      <w:r>
        <w:rPr>
          <w:rFonts w:ascii="Book Antiqua" w:hAnsi="Book Antiqua" w:cs="Arial"/>
          <w:i/>
        </w:rPr>
        <w:t>43.</w:t>
      </w:r>
      <w:r w:rsidR="0060236C">
        <w:rPr>
          <w:rFonts w:ascii="Book Antiqua" w:hAnsi="Book Antiqua" w:cs="Arial"/>
          <w:i/>
        </w:rPr>
        <w:tab/>
      </w:r>
      <w:r>
        <w:rPr>
          <w:rFonts w:ascii="Book Antiqua" w:hAnsi="Book Antiqua" w:cs="Arial"/>
          <w:i/>
        </w:rPr>
        <w:t>It appears that the European court intends the words “insurmountable obstacles” to be understood in a practical and realistic sense, rather than as referring solely to obstacles which make it literally impossible for the family to live together in the country of origin of the non-national concerned.  In some cases, the court has used other expressions which make that clearer: for example, referring to “un obstacle majeur</w:t>
      </w:r>
      <w:r w:rsidR="0060236C">
        <w:rPr>
          <w:rFonts w:ascii="Book Antiqua" w:hAnsi="Book Antiqua" w:cs="Arial"/>
          <w:i/>
        </w:rPr>
        <w:t xml:space="preserve">” ..... “Insurmountable </w:t>
      </w:r>
      <w:r w:rsidR="0060236C">
        <w:rPr>
          <w:rFonts w:ascii="Book Antiqua" w:hAnsi="Book Antiqua" w:cs="Arial"/>
          <w:i/>
        </w:rPr>
        <w:lastRenderedPageBreak/>
        <w:t>obstacles” is, however, the expression employed by the Grand Chamber; and the court’s application of it indicates that it is a stringent test......’</w:t>
      </w:r>
    </w:p>
    <w:p w:rsidR="0060236C" w:rsidRDefault="0060236C" w:rsidP="006506AE">
      <w:pPr>
        <w:spacing w:before="120" w:after="120"/>
        <w:ind w:left="1701" w:right="567" w:hanging="567"/>
        <w:jc w:val="both"/>
        <w:rPr>
          <w:rFonts w:ascii="Book Antiqua" w:hAnsi="Book Antiqua" w:cs="Arial"/>
        </w:rPr>
      </w:pPr>
      <w:r>
        <w:rPr>
          <w:rFonts w:ascii="Book Antiqua" w:hAnsi="Book Antiqua" w:cs="Arial"/>
        </w:rPr>
        <w:t>18.</w:t>
      </w:r>
      <w:r>
        <w:rPr>
          <w:rFonts w:ascii="Book Antiqua" w:hAnsi="Book Antiqua" w:cs="Arial"/>
        </w:rPr>
        <w:tab/>
        <w:t xml:space="preserve">I do not doubt that there would be difficulties for the Appellant and her partner in relocating to the USA.  The primary difficulty would be in relation to Mr </w:t>
      </w:r>
      <w:r w:rsidR="006506AE">
        <w:rPr>
          <w:rFonts w:ascii="Book Antiqua" w:hAnsi="Book Antiqua" w:cs="Arial"/>
        </w:rPr>
        <w:t>[</w:t>
      </w:r>
      <w:r>
        <w:rPr>
          <w:rFonts w:ascii="Book Antiqua" w:hAnsi="Book Antiqua" w:cs="Arial"/>
        </w:rPr>
        <w:t>W</w:t>
      </w:r>
      <w:r w:rsidR="006506AE">
        <w:rPr>
          <w:rFonts w:ascii="Book Antiqua" w:hAnsi="Book Antiqua" w:cs="Arial"/>
        </w:rPr>
        <w:t>]</w:t>
      </w:r>
      <w:r>
        <w:rPr>
          <w:rFonts w:ascii="Book Antiqua" w:hAnsi="Book Antiqua" w:cs="Arial"/>
        </w:rPr>
        <w:t xml:space="preserve">’s employment.  He has a well-paid job in the UK, having been with the same company since 2010 and he may be unlikely to find an equivalent job in the USA or one earning an equivalent salary.  He would also have to apply for a Green Card to allow him to work in the USA (although no reason has been given as to why he would not qualify for this).  Mr </w:t>
      </w:r>
      <w:r w:rsidR="006506AE">
        <w:rPr>
          <w:rFonts w:ascii="Book Antiqua" w:hAnsi="Book Antiqua" w:cs="Arial"/>
        </w:rPr>
        <w:t>[W]</w:t>
      </w:r>
      <w:r>
        <w:rPr>
          <w:rFonts w:ascii="Book Antiqua" w:hAnsi="Book Antiqua" w:cs="Arial"/>
        </w:rPr>
        <w:t xml:space="preserve"> gave no evidence of any enquiries he has made as to job opportunities for him in the USA.  The fact that the Appellant has lived the great majority of her life in the USA and that she still has close relatives there including three sisters and her two adult sons are likely to be factors which would make it somewhat easier for the family to resettle in the USA.  Even if it took some time for </w:t>
      </w:r>
      <w:r w:rsidR="00D57655">
        <w:rPr>
          <w:rFonts w:ascii="Book Antiqua" w:hAnsi="Book Antiqua" w:cs="Arial"/>
        </w:rPr>
        <w:t>M</w:t>
      </w:r>
      <w:r>
        <w:rPr>
          <w:rFonts w:ascii="Book Antiqua" w:hAnsi="Book Antiqua" w:cs="Arial"/>
        </w:rPr>
        <w:t xml:space="preserve">r </w:t>
      </w:r>
      <w:r w:rsidR="006506AE">
        <w:rPr>
          <w:rFonts w:ascii="Book Antiqua" w:hAnsi="Book Antiqua" w:cs="Arial"/>
        </w:rPr>
        <w:t>[W]</w:t>
      </w:r>
      <w:r>
        <w:rPr>
          <w:rFonts w:ascii="Book Antiqua" w:hAnsi="Book Antiqua" w:cs="Arial"/>
        </w:rPr>
        <w:t xml:space="preserve"> to find a job, the Appellant may be able to find employment and she has confirmed that she was previously employed in Social Services in the USA.  Mr </w:t>
      </w:r>
      <w:r w:rsidR="006506AE">
        <w:rPr>
          <w:rFonts w:ascii="Book Antiqua" w:hAnsi="Book Antiqua" w:cs="Arial"/>
        </w:rPr>
        <w:t>[W]</w:t>
      </w:r>
      <w:r>
        <w:rPr>
          <w:rFonts w:ascii="Book Antiqua" w:hAnsi="Book Antiqua" w:cs="Arial"/>
        </w:rPr>
        <w:t xml:space="preserve"> would have to leave behind his elderly parents in the UK but he mentioned that he has a sister who lives near them in Bedford.  Taking all the evidence before me into account I am not persuaded that the ‘stringent test’ of ‘insurmountable obstacles’ is met.</w:t>
      </w:r>
    </w:p>
    <w:p w:rsidR="0060236C" w:rsidRDefault="0060236C" w:rsidP="006506AE">
      <w:pPr>
        <w:spacing w:before="120" w:after="120"/>
        <w:ind w:left="1701" w:right="567" w:hanging="567"/>
        <w:jc w:val="both"/>
        <w:rPr>
          <w:rFonts w:ascii="Book Antiqua" w:hAnsi="Book Antiqua" w:cs="Arial"/>
        </w:rPr>
      </w:pPr>
      <w:r>
        <w:rPr>
          <w:rFonts w:ascii="Book Antiqua" w:hAnsi="Book Antiqua" w:cs="Arial"/>
        </w:rPr>
        <w:t>19.</w:t>
      </w:r>
      <w:r>
        <w:rPr>
          <w:rFonts w:ascii="Book Antiqua" w:hAnsi="Book Antiqua" w:cs="Arial"/>
        </w:rPr>
        <w:tab/>
        <w:t>I have to conclude that the Appellant does not fall within the scope of Appendix FM of the Immigration Rules in relation to her family life.</w:t>
      </w:r>
    </w:p>
    <w:p w:rsidR="0060236C" w:rsidRDefault="0060236C" w:rsidP="006506AE">
      <w:pPr>
        <w:spacing w:before="120" w:after="120"/>
        <w:ind w:left="1701" w:right="567" w:hanging="567"/>
        <w:jc w:val="both"/>
        <w:rPr>
          <w:rFonts w:ascii="Book Antiqua" w:hAnsi="Book Antiqua" w:cs="Arial"/>
        </w:rPr>
      </w:pPr>
      <w:r>
        <w:rPr>
          <w:rFonts w:ascii="Book Antiqua" w:hAnsi="Book Antiqua" w:cs="Arial"/>
        </w:rPr>
        <w:t>20.</w:t>
      </w:r>
      <w:r>
        <w:rPr>
          <w:rFonts w:ascii="Book Antiqua" w:hAnsi="Book Antiqua" w:cs="Arial"/>
        </w:rPr>
        <w:tab/>
        <w:t xml:space="preserve">It also seems to me that the Appellant has even less chance of meeting the provisions of </w:t>
      </w:r>
      <w:r w:rsidR="0033752C">
        <w:rPr>
          <w:rFonts w:ascii="Book Antiqua" w:hAnsi="Book Antiqua" w:cs="Arial"/>
        </w:rPr>
        <w:t>the Immigration Rules with regard to her private life.  She would have to show that there would be ‘very significant obstacles’ in reintegrating into life in the USA.  Given that she was born and raised there; has lived by far the majority of her life there; that she continues to have close family members there; and that she may be able to find employment again there, I find that she simply cannot meet this criterion on the basis of her private life.</w:t>
      </w:r>
    </w:p>
    <w:p w:rsidR="0033752C" w:rsidRDefault="0033752C" w:rsidP="006506AE">
      <w:pPr>
        <w:spacing w:before="120" w:after="120"/>
        <w:ind w:left="1701" w:right="567" w:hanging="567"/>
        <w:jc w:val="both"/>
        <w:rPr>
          <w:rFonts w:ascii="Book Antiqua" w:hAnsi="Book Antiqua" w:cs="Arial"/>
        </w:rPr>
      </w:pPr>
      <w:r>
        <w:rPr>
          <w:rFonts w:ascii="Book Antiqua" w:hAnsi="Book Antiqua" w:cs="Arial"/>
        </w:rPr>
        <w:t>21.</w:t>
      </w:r>
      <w:r>
        <w:rPr>
          <w:rFonts w:ascii="Book Antiqua" w:hAnsi="Book Antiqua" w:cs="Arial"/>
        </w:rPr>
        <w:tab/>
        <w:t>However, this appeal being on human rights grounds, the focus of my assessment must be on Article 8 itself and I must therefore consider the position under the Convention outside the ambit solely of the Immigration Rules.  The Appellant clearly does have a family life in the UK.  It is arguable that her removal would not constitute an interference with that family life as the family could travel together to the USA.  However, given the ties that her husband has over here in the form of his employment and the difficulties that he would have to find an equivalent job in the USA, I will accept that her removal my constitute such an interference of sufficient gravity as to engage her Article 8 rights and those of her associated family members including her 7-year old daughter.</w:t>
      </w:r>
    </w:p>
    <w:p w:rsidR="0033752C" w:rsidRDefault="0033752C" w:rsidP="006506AE">
      <w:pPr>
        <w:spacing w:before="120" w:after="120"/>
        <w:ind w:left="1701" w:right="567" w:hanging="567"/>
        <w:jc w:val="both"/>
        <w:rPr>
          <w:rFonts w:ascii="Book Antiqua" w:hAnsi="Book Antiqua" w:cs="Arial"/>
        </w:rPr>
      </w:pPr>
      <w:r>
        <w:rPr>
          <w:rFonts w:ascii="Book Antiqua" w:hAnsi="Book Antiqua" w:cs="Arial"/>
        </w:rPr>
        <w:lastRenderedPageBreak/>
        <w:t>22.</w:t>
      </w:r>
      <w:r>
        <w:rPr>
          <w:rFonts w:ascii="Book Antiqua" w:hAnsi="Book Antiqua" w:cs="Arial"/>
        </w:rPr>
        <w:tab/>
        <w:t>This brings me to the key issue of proportionality and the balance between on the one hand the public interest represented by the Secretary of State in the maintenance of immigration control and on the other hand the interference with Convention rights.  In this connection, I must take into account S.117B(6) of the 2002 Act which states:</w:t>
      </w:r>
    </w:p>
    <w:p w:rsidR="0033752C" w:rsidRPr="002C18CB" w:rsidRDefault="0033752C" w:rsidP="006506AE">
      <w:pPr>
        <w:spacing w:before="120" w:after="120"/>
        <w:ind w:left="2268" w:right="567"/>
        <w:jc w:val="both"/>
        <w:rPr>
          <w:rFonts w:ascii="Book Antiqua" w:hAnsi="Book Antiqua" w:cs="Arial"/>
          <w:i/>
        </w:rPr>
      </w:pPr>
      <w:r w:rsidRPr="002C18CB">
        <w:rPr>
          <w:rFonts w:ascii="Book Antiqua" w:hAnsi="Book Antiqua" w:cs="Arial"/>
          <w:i/>
        </w:rPr>
        <w:t>‘In the case of a person who is not liable to deportation, the public interest does not require the person’s removal, where(a) the person has a genuine and subsisting relationship with a qualifying child, and (b) it wold not be reasonable to expect the child to leave the UK’.</w:t>
      </w:r>
    </w:p>
    <w:p w:rsidR="0033752C" w:rsidRPr="0033752C" w:rsidRDefault="0033752C" w:rsidP="006506AE">
      <w:pPr>
        <w:spacing w:before="120" w:after="120"/>
        <w:ind w:left="1701" w:right="567"/>
        <w:jc w:val="both"/>
        <w:rPr>
          <w:rFonts w:ascii="Book Antiqua" w:hAnsi="Book Antiqua" w:cs="Arial"/>
        </w:rPr>
      </w:pPr>
      <w:r>
        <w:rPr>
          <w:rFonts w:ascii="Book Antiqua" w:hAnsi="Book Antiqua" w:cs="Arial"/>
        </w:rPr>
        <w:t xml:space="preserve">I also refer again to the duty of the Secretary of State (and of this Tribunal) in relation to Section 55 of the 2009 Act to consider the best interests of the child as ‘a primary consideration’ which I have already discussed above and in relation to which I have quoted the judgement of Elias LJ in the case of </w:t>
      </w:r>
      <w:r>
        <w:rPr>
          <w:rFonts w:ascii="Book Antiqua" w:hAnsi="Book Antiqua" w:cs="Arial"/>
          <w:i/>
          <w:u w:val="single"/>
        </w:rPr>
        <w:t>MA(Pakistan)</w:t>
      </w:r>
      <w:r>
        <w:rPr>
          <w:rFonts w:ascii="Book Antiqua" w:hAnsi="Book Antiqua" w:cs="Arial"/>
        </w:rPr>
        <w:t xml:space="preserve">.  I have already addressed the issue of reasonableness (in the context of paragraph EX.1 of the Immigration Rules).  I have also mentioned the Appellant’s very poor immigration record which amounts to a </w:t>
      </w:r>
      <w:r w:rsidR="002C18CB">
        <w:rPr>
          <w:rFonts w:ascii="Book Antiqua" w:hAnsi="Book Antiqua" w:cs="Arial"/>
        </w:rPr>
        <w:t>strong factor in support of the Secretary of State’s legitimate aim in the maintenance of effective immigration control.  I also bear in mind that it is open to the Appellant to apply for entry clearance to return to the UK from the USA and, if successful, this would mitigate the adverse effects on the family.  I have to conclude that the Respondent’s decision does not amount to a disproportionate interference with the Appellant’s Article 8 rights.</w:t>
      </w:r>
      <w:r w:rsidR="00F26187">
        <w:rPr>
          <w:rFonts w:ascii="Book Antiqua" w:hAnsi="Book Antiqua" w:cs="Arial"/>
        </w:rPr>
        <w:t>”</w:t>
      </w:r>
    </w:p>
    <w:p w:rsidR="00E04E7F" w:rsidRDefault="00E04E7F" w:rsidP="006506AE">
      <w:pPr>
        <w:tabs>
          <w:tab w:val="left" w:pos="567"/>
        </w:tabs>
        <w:spacing w:before="240"/>
        <w:ind w:left="567" w:hanging="567"/>
        <w:jc w:val="both"/>
        <w:rPr>
          <w:rFonts w:ascii="Book Antiqua" w:hAnsi="Book Antiqua" w:cs="Arial"/>
        </w:rPr>
      </w:pPr>
      <w:r>
        <w:rPr>
          <w:rFonts w:ascii="Book Antiqua" w:hAnsi="Book Antiqua" w:cs="Arial"/>
        </w:rPr>
        <w:t>9.</w:t>
      </w:r>
      <w:r w:rsidR="002C18CB">
        <w:rPr>
          <w:rFonts w:ascii="Book Antiqua" w:hAnsi="Book Antiqua" w:cs="Arial"/>
        </w:rPr>
        <w:tab/>
        <w:t xml:space="preserve">There was an application for permission to appeal and permission was granted by the First-tier Tribunal on 21 May 2018.  The grounds were described as “somewhat convoluted” but the point highlighted in the grant of permission was that </w:t>
      </w:r>
      <w:r w:rsidR="00BE0798">
        <w:rPr>
          <w:rFonts w:ascii="Book Antiqua" w:hAnsi="Book Antiqua" w:cs="Arial"/>
        </w:rPr>
        <w:t xml:space="preserve">while the judge </w:t>
      </w:r>
      <w:r w:rsidR="00167A29">
        <w:rPr>
          <w:rFonts w:ascii="Book Antiqua" w:hAnsi="Book Antiqua" w:cs="Arial"/>
        </w:rPr>
        <w:t xml:space="preserve">had recognised </w:t>
      </w:r>
      <w:r w:rsidR="002C18CB">
        <w:rPr>
          <w:rFonts w:ascii="Book Antiqua" w:hAnsi="Book Antiqua" w:cs="Arial"/>
        </w:rPr>
        <w:t xml:space="preserve">that the appellant’s daughter was a British citizen </w:t>
      </w:r>
      <w:r w:rsidR="00167A29">
        <w:rPr>
          <w:rFonts w:ascii="Book Antiqua" w:hAnsi="Book Antiqua" w:cs="Arial"/>
        </w:rPr>
        <w:t>he</w:t>
      </w:r>
      <w:r w:rsidR="002C18CB">
        <w:rPr>
          <w:rFonts w:ascii="Book Antiqua" w:hAnsi="Book Antiqua" w:cs="Arial"/>
        </w:rPr>
        <w:t xml:space="preserve"> had not considered whether in expecting the appellant to leave the UK with her daughter the daughter would be denied the enjoyment of her rights as a citizen of the European Union and the omission was significant in the light of the Home Office policy which had been explained in </w:t>
      </w:r>
      <w:r w:rsidR="002C18CB" w:rsidRPr="00F26187">
        <w:rPr>
          <w:rFonts w:ascii="Book Antiqua" w:hAnsi="Book Antiqua" w:cs="Arial"/>
          <w:b/>
          <w:u w:val="single"/>
        </w:rPr>
        <w:t>SF and Others</w:t>
      </w:r>
      <w:r w:rsidR="002C18CB" w:rsidRPr="00F26187">
        <w:rPr>
          <w:rFonts w:ascii="Book Antiqua" w:hAnsi="Book Antiqua" w:cs="Arial"/>
          <w:b/>
        </w:rPr>
        <w:t xml:space="preserve"> (guidance – post-2014 Act) [2017] UKUT 120</w:t>
      </w:r>
      <w:r w:rsidR="002C18CB">
        <w:rPr>
          <w:rFonts w:ascii="Book Antiqua" w:hAnsi="Book Antiqua" w:cs="Arial"/>
        </w:rPr>
        <w:t>.</w:t>
      </w:r>
    </w:p>
    <w:p w:rsidR="002C18CB" w:rsidRDefault="002C18CB" w:rsidP="006506AE">
      <w:pPr>
        <w:tabs>
          <w:tab w:val="left" w:pos="567"/>
        </w:tabs>
        <w:spacing w:before="240"/>
        <w:ind w:left="567" w:hanging="567"/>
        <w:jc w:val="both"/>
        <w:rPr>
          <w:rFonts w:ascii="Book Antiqua" w:hAnsi="Book Antiqua" w:cs="Arial"/>
        </w:rPr>
      </w:pPr>
      <w:r>
        <w:rPr>
          <w:rFonts w:ascii="Book Antiqua" w:hAnsi="Book Antiqua" w:cs="Arial"/>
        </w:rPr>
        <w:t>10.</w:t>
      </w:r>
      <w:r>
        <w:rPr>
          <w:rFonts w:ascii="Book Antiqua" w:hAnsi="Book Antiqua" w:cs="Arial"/>
        </w:rPr>
        <w:tab/>
        <w:t>The other grounds appeared to the judge to be weaker and the findings in relation to insurmountable obstacles appear</w:t>
      </w:r>
      <w:r w:rsidR="00167A29">
        <w:rPr>
          <w:rFonts w:ascii="Book Antiqua" w:hAnsi="Book Antiqua" w:cs="Arial"/>
        </w:rPr>
        <w:t>ed</w:t>
      </w:r>
      <w:r>
        <w:rPr>
          <w:rFonts w:ascii="Book Antiqua" w:hAnsi="Book Antiqua" w:cs="Arial"/>
        </w:rPr>
        <w:t xml:space="preserve"> to be well made</w:t>
      </w:r>
      <w:r w:rsidR="00167A29">
        <w:rPr>
          <w:rFonts w:ascii="Book Antiqua" w:hAnsi="Book Antiqua" w:cs="Arial"/>
        </w:rPr>
        <w:t xml:space="preserve"> and</w:t>
      </w:r>
      <w:r>
        <w:rPr>
          <w:rFonts w:ascii="Book Antiqua" w:hAnsi="Book Antiqua" w:cs="Arial"/>
        </w:rPr>
        <w:t xml:space="preserve"> the judge could not be criticised for not considering evidence which had not been provided.</w:t>
      </w:r>
    </w:p>
    <w:p w:rsidR="002C18CB" w:rsidRDefault="002C18CB" w:rsidP="006506AE">
      <w:pPr>
        <w:tabs>
          <w:tab w:val="left" w:pos="567"/>
        </w:tabs>
        <w:spacing w:before="240"/>
        <w:ind w:left="567" w:hanging="567"/>
        <w:jc w:val="both"/>
        <w:rPr>
          <w:rFonts w:ascii="Book Antiqua" w:hAnsi="Book Antiqua" w:cs="Arial"/>
        </w:rPr>
      </w:pPr>
      <w:r>
        <w:rPr>
          <w:rFonts w:ascii="Book Antiqua" w:hAnsi="Book Antiqua" w:cs="Arial"/>
        </w:rPr>
        <w:t>11.</w:t>
      </w:r>
      <w:r>
        <w:rPr>
          <w:rFonts w:ascii="Book Antiqua" w:hAnsi="Book Antiqua" w:cs="Arial"/>
        </w:rPr>
        <w:tab/>
        <w:t xml:space="preserve">Mr Nwokeji referred to Appendix FM.  The judge had been harsh to refer to the appellant’s “very poor immigration history” in paragraph 16 of his determination.  Although the appellant had overstayed she had eventually attempted to regularise her position and there </w:t>
      </w:r>
      <w:r w:rsidR="00167A29">
        <w:rPr>
          <w:rFonts w:ascii="Book Antiqua" w:hAnsi="Book Antiqua" w:cs="Arial"/>
        </w:rPr>
        <w:t>had been</w:t>
      </w:r>
      <w:r>
        <w:rPr>
          <w:rFonts w:ascii="Book Antiqua" w:hAnsi="Book Antiqua" w:cs="Arial"/>
        </w:rPr>
        <w:t xml:space="preserve"> no criminality or false applications.  She had given a genuine and reasonable explanation</w:t>
      </w:r>
      <w:r w:rsidR="00167A29">
        <w:rPr>
          <w:rFonts w:ascii="Book Antiqua" w:hAnsi="Book Antiqua" w:cs="Arial"/>
        </w:rPr>
        <w:t xml:space="preserve"> for her failure to make an in-time application</w:t>
      </w:r>
      <w:r>
        <w:rPr>
          <w:rFonts w:ascii="Book Antiqua" w:hAnsi="Book Antiqua" w:cs="Arial"/>
        </w:rPr>
        <w:t>.</w:t>
      </w:r>
    </w:p>
    <w:p w:rsidR="002C18CB" w:rsidRDefault="002C18CB" w:rsidP="006506AE">
      <w:pPr>
        <w:tabs>
          <w:tab w:val="left" w:pos="567"/>
        </w:tabs>
        <w:spacing w:before="240"/>
        <w:ind w:left="567" w:hanging="567"/>
        <w:jc w:val="both"/>
        <w:rPr>
          <w:rFonts w:ascii="Book Antiqua" w:hAnsi="Book Antiqua" w:cs="Arial"/>
        </w:rPr>
      </w:pPr>
      <w:r>
        <w:rPr>
          <w:rFonts w:ascii="Book Antiqua" w:hAnsi="Book Antiqua" w:cs="Arial"/>
        </w:rPr>
        <w:lastRenderedPageBreak/>
        <w:t>12.</w:t>
      </w:r>
      <w:r>
        <w:rPr>
          <w:rFonts w:ascii="Book Antiqua" w:hAnsi="Book Antiqua" w:cs="Arial"/>
        </w:rPr>
        <w:tab/>
        <w:t xml:space="preserve">Reference was made to </w:t>
      </w:r>
      <w:r w:rsidRPr="00F26187">
        <w:rPr>
          <w:rFonts w:ascii="Book Antiqua" w:hAnsi="Book Antiqua" w:cs="Arial"/>
          <w:b/>
          <w:u w:val="single"/>
        </w:rPr>
        <w:t>M</w:t>
      </w:r>
      <w:r w:rsidR="0083652A" w:rsidRPr="00F26187">
        <w:rPr>
          <w:rFonts w:ascii="Book Antiqua" w:hAnsi="Book Antiqua" w:cs="Arial"/>
          <w:b/>
          <w:u w:val="single"/>
        </w:rPr>
        <w:t>T</w:t>
      </w:r>
      <w:r w:rsidRPr="00F26187">
        <w:rPr>
          <w:rFonts w:ascii="Book Antiqua" w:hAnsi="Book Antiqua" w:cs="Arial"/>
          <w:b/>
          <w:u w:val="single"/>
        </w:rPr>
        <w:t xml:space="preserve"> and ET</w:t>
      </w:r>
      <w:r w:rsidRPr="00F26187">
        <w:rPr>
          <w:rFonts w:ascii="Book Antiqua" w:hAnsi="Book Antiqua" w:cs="Arial"/>
          <w:b/>
        </w:rPr>
        <w:t xml:space="preserve"> (child’s best interests; ex tempore pilot) Nigeria [2018] UKUT 88 (IAC)</w:t>
      </w:r>
      <w:r>
        <w:rPr>
          <w:rFonts w:ascii="Book Antiqua" w:hAnsi="Book Antiqua" w:cs="Arial"/>
        </w:rPr>
        <w:t>.  The fact that a child had been in the UK for seven years would need to be given significant weight.  Powerful reasons were required where a child had been</w:t>
      </w:r>
      <w:r w:rsidR="00F26187">
        <w:rPr>
          <w:rFonts w:ascii="Book Antiqua" w:hAnsi="Book Antiqua" w:cs="Arial"/>
        </w:rPr>
        <w:t xml:space="preserve"> </w:t>
      </w:r>
      <w:r>
        <w:rPr>
          <w:rFonts w:ascii="Book Antiqua" w:hAnsi="Book Antiqua" w:cs="Arial"/>
        </w:rPr>
        <w:t>in the UK for over ten  years and there were no such powerful reasons.</w:t>
      </w:r>
      <w:r w:rsidR="0083652A">
        <w:rPr>
          <w:rFonts w:ascii="Book Antiqua" w:hAnsi="Book Antiqua" w:cs="Arial"/>
        </w:rPr>
        <w:t xml:space="preserve">  Mr Nwokeji contrasted the position in </w:t>
      </w:r>
      <w:r w:rsidR="0083652A" w:rsidRPr="00F26187">
        <w:rPr>
          <w:rFonts w:ascii="Book Antiqua" w:hAnsi="Book Antiqua" w:cs="Arial"/>
          <w:b/>
          <w:u w:val="single"/>
        </w:rPr>
        <w:t>MT and ET</w:t>
      </w:r>
      <w:r w:rsidR="0083652A">
        <w:rPr>
          <w:rFonts w:ascii="Book Antiqua" w:hAnsi="Book Antiqua" w:cs="Arial"/>
        </w:rPr>
        <w:t xml:space="preserve"> where the mother had received a community order for using a false document to obtain employment. </w:t>
      </w:r>
      <w:r w:rsidR="00167A29">
        <w:rPr>
          <w:rFonts w:ascii="Book Antiqua" w:hAnsi="Book Antiqua" w:cs="Arial"/>
        </w:rPr>
        <w:t>She had been described as a somewhat “run of the mill immigration offender”.  She had made a false asylum claim and yet it had been held that such behaviour did not constitute a powerful reason.</w:t>
      </w:r>
      <w:r w:rsidR="0083652A">
        <w:rPr>
          <w:rFonts w:ascii="Book Antiqua" w:hAnsi="Book Antiqua" w:cs="Arial"/>
        </w:rPr>
        <w:t xml:space="preserve"> There was no such criminality in the case of the appellant.  </w:t>
      </w:r>
    </w:p>
    <w:p w:rsidR="0083652A" w:rsidRDefault="0083652A" w:rsidP="006506AE">
      <w:pPr>
        <w:tabs>
          <w:tab w:val="left" w:pos="567"/>
        </w:tabs>
        <w:spacing w:before="240"/>
        <w:ind w:left="567" w:hanging="567"/>
        <w:jc w:val="both"/>
        <w:rPr>
          <w:rFonts w:ascii="Book Antiqua" w:hAnsi="Book Antiqua" w:cs="Arial"/>
        </w:rPr>
      </w:pPr>
      <w:r>
        <w:rPr>
          <w:rFonts w:ascii="Book Antiqua" w:hAnsi="Book Antiqua" w:cs="Arial"/>
        </w:rPr>
        <w:t>13.</w:t>
      </w:r>
      <w:r>
        <w:rPr>
          <w:rFonts w:ascii="Book Antiqua" w:hAnsi="Book Antiqua" w:cs="Arial"/>
        </w:rPr>
        <w:tab/>
        <w:t>The family would face difficulties in returning to the USA and although the appellant had family in the USA she was estranged from them.  Her husband’s father was terminally ill.  The appellant’s daughter had been in school in the United Kingdom effectively for all her life and it would be hard to adapt.</w:t>
      </w:r>
    </w:p>
    <w:p w:rsidR="0083652A" w:rsidRDefault="0083652A" w:rsidP="006506AE">
      <w:pPr>
        <w:tabs>
          <w:tab w:val="left" w:pos="567"/>
        </w:tabs>
        <w:spacing w:before="240"/>
        <w:ind w:left="567" w:hanging="567"/>
        <w:jc w:val="both"/>
        <w:rPr>
          <w:rFonts w:ascii="Book Antiqua" w:hAnsi="Book Antiqua" w:cs="Arial"/>
        </w:rPr>
      </w:pPr>
      <w:r>
        <w:rPr>
          <w:rFonts w:ascii="Book Antiqua" w:hAnsi="Book Antiqua" w:cs="Arial"/>
        </w:rPr>
        <w:t>14.</w:t>
      </w:r>
      <w:r>
        <w:rPr>
          <w:rFonts w:ascii="Book Antiqua" w:hAnsi="Book Antiqua" w:cs="Arial"/>
        </w:rPr>
        <w:tab/>
        <w:t xml:space="preserve">The policy guidance that had been referred to in the case of </w:t>
      </w:r>
      <w:r w:rsidRPr="00F26187">
        <w:rPr>
          <w:rFonts w:ascii="Book Antiqua" w:hAnsi="Book Antiqua" w:cs="Arial"/>
          <w:b/>
          <w:u w:val="single"/>
        </w:rPr>
        <w:t>SF</w:t>
      </w:r>
      <w:r>
        <w:rPr>
          <w:rFonts w:ascii="Book Antiqua" w:hAnsi="Book Antiqua" w:cs="Arial"/>
        </w:rPr>
        <w:t xml:space="preserve"> had been replaced by new guidance dated 22 February 2018.  Although the general rule was that it would not be reasonable to expect a British citizen child to leave the UK with the applicant parent or primary carer facing removal – </w:t>
      </w:r>
    </w:p>
    <w:p w:rsidR="00167A29" w:rsidRPr="006506AE" w:rsidRDefault="0083652A" w:rsidP="006506AE">
      <w:pPr>
        <w:tabs>
          <w:tab w:val="left" w:pos="567"/>
        </w:tabs>
        <w:spacing w:before="120" w:after="120"/>
        <w:ind w:left="1134" w:right="567"/>
        <w:jc w:val="both"/>
        <w:rPr>
          <w:rFonts w:ascii="Book Antiqua" w:hAnsi="Book Antiqua" w:cs="Arial"/>
          <w:sz w:val="22"/>
        </w:rPr>
      </w:pPr>
      <w:r w:rsidRPr="006506AE">
        <w:rPr>
          <w:rFonts w:ascii="Book Antiqua" w:hAnsi="Book Antiqua" w:cs="Arial"/>
          <w:sz w:val="22"/>
        </w:rPr>
        <w:t>“In particular circumstances, it may be appropriate to refuse to grant leave to a parent or primary carer where their conduct gives rise to public interest considerations of such weight as to justify their removal where the British citizen child could remain in the UK with another parent or alternative primary carer, who is a British citizen or settled in the UK or who has or is being granted leave to remain.  The circumstances envisaged include those in which to grant leave could undermine our immigration controls, for example the applicant has committed significant or persistent criminal offences falling below the threshold for deportation set out in paragraph 398 of the Immigration Rules or has a very poor immigration history, having repeatedly and deliberately breached the Immigration Rules</w:t>
      </w:r>
      <w:r w:rsidR="00167A29" w:rsidRPr="006506AE">
        <w:rPr>
          <w:rFonts w:ascii="Book Antiqua" w:hAnsi="Book Antiqua" w:cs="Arial"/>
          <w:sz w:val="22"/>
        </w:rPr>
        <w:t>…”</w:t>
      </w:r>
      <w:r w:rsidRPr="006506AE">
        <w:rPr>
          <w:rFonts w:ascii="Book Antiqua" w:hAnsi="Book Antiqua" w:cs="Arial"/>
          <w:sz w:val="22"/>
        </w:rPr>
        <w:t xml:space="preserve">  </w:t>
      </w:r>
    </w:p>
    <w:p w:rsidR="0083652A" w:rsidRDefault="0083652A" w:rsidP="006506AE">
      <w:pPr>
        <w:spacing w:before="240"/>
        <w:ind w:left="567"/>
        <w:jc w:val="both"/>
        <w:rPr>
          <w:rFonts w:ascii="Book Antiqua" w:hAnsi="Book Antiqua" w:cs="Arial"/>
        </w:rPr>
      </w:pPr>
      <w:r>
        <w:rPr>
          <w:rFonts w:ascii="Book Antiqua" w:hAnsi="Book Antiqua" w:cs="Arial"/>
        </w:rPr>
        <w:t>It was submitted that the behaviour of the appellant did not fall within these categories.</w:t>
      </w:r>
    </w:p>
    <w:p w:rsidR="0083652A" w:rsidRDefault="0083652A" w:rsidP="006506AE">
      <w:pPr>
        <w:tabs>
          <w:tab w:val="left" w:pos="567"/>
        </w:tabs>
        <w:spacing w:before="240"/>
        <w:ind w:left="567" w:hanging="567"/>
        <w:jc w:val="both"/>
        <w:rPr>
          <w:rFonts w:ascii="Book Antiqua" w:hAnsi="Book Antiqua" w:cs="Arial"/>
        </w:rPr>
      </w:pPr>
      <w:r>
        <w:rPr>
          <w:rFonts w:ascii="Book Antiqua" w:hAnsi="Book Antiqua" w:cs="Arial"/>
        </w:rPr>
        <w:t>15.</w:t>
      </w:r>
      <w:r>
        <w:rPr>
          <w:rFonts w:ascii="Book Antiqua" w:hAnsi="Book Antiqua" w:cs="Arial"/>
        </w:rPr>
        <w:tab/>
        <w:t>Mr Avery pointed out that the appellant had come to the UK as a visitor and had overstayed.  She had failed to comply with the terms of the visit visa and the judge had been entirely correct to describe her as having a very poor immigration history.  The determination was very well reasoned and the judge had been entitled to find that it would be reasonable for the child to leave.  The grounds were no more than a disagreement with the judge’s findings.  The findings in relation to insurmountable obstacles were again well reasoned and there was no error in the judge’s approach.</w:t>
      </w:r>
      <w:r w:rsidR="00F26187">
        <w:rPr>
          <w:rFonts w:ascii="Book Antiqua" w:hAnsi="Book Antiqua" w:cs="Arial"/>
        </w:rPr>
        <w:t xml:space="preserve">  The case of </w:t>
      </w:r>
      <w:r w:rsidR="00F26187">
        <w:rPr>
          <w:rFonts w:ascii="Book Antiqua" w:hAnsi="Book Antiqua" w:cs="Arial"/>
          <w:b/>
          <w:u w:val="single"/>
        </w:rPr>
        <w:t>SF</w:t>
      </w:r>
      <w:r w:rsidR="00F26187">
        <w:rPr>
          <w:rFonts w:ascii="Book Antiqua" w:hAnsi="Book Antiqua" w:cs="Arial"/>
        </w:rPr>
        <w:t xml:space="preserve"> had been based on the previous guidance.  The parties had a choice as to whether to relocate.</w:t>
      </w:r>
    </w:p>
    <w:p w:rsidR="00F26187" w:rsidRDefault="00F26187" w:rsidP="006506AE">
      <w:pPr>
        <w:tabs>
          <w:tab w:val="left" w:pos="567"/>
        </w:tabs>
        <w:spacing w:before="240"/>
        <w:ind w:left="567" w:hanging="567"/>
        <w:jc w:val="both"/>
        <w:rPr>
          <w:rFonts w:ascii="Book Antiqua" w:hAnsi="Book Antiqua" w:cs="Arial"/>
        </w:rPr>
      </w:pPr>
      <w:r>
        <w:rPr>
          <w:rFonts w:ascii="Book Antiqua" w:hAnsi="Book Antiqua" w:cs="Arial"/>
        </w:rPr>
        <w:t>16.</w:t>
      </w:r>
      <w:r>
        <w:rPr>
          <w:rFonts w:ascii="Book Antiqua" w:hAnsi="Book Antiqua" w:cs="Arial"/>
        </w:rPr>
        <w:tab/>
        <w:t>At the conclusion of the submissions I reserved my decision.  I can only interfere with the determination of the First-tier Judge if it was flawed in law.</w:t>
      </w:r>
    </w:p>
    <w:p w:rsidR="00F26187" w:rsidRDefault="00F26187" w:rsidP="006506AE">
      <w:pPr>
        <w:tabs>
          <w:tab w:val="left" w:pos="567"/>
        </w:tabs>
        <w:spacing w:before="240"/>
        <w:ind w:left="567" w:hanging="567"/>
        <w:jc w:val="both"/>
        <w:rPr>
          <w:rFonts w:ascii="Book Antiqua" w:hAnsi="Book Antiqua" w:cs="Arial"/>
        </w:rPr>
      </w:pPr>
      <w:r>
        <w:rPr>
          <w:rFonts w:ascii="Book Antiqua" w:hAnsi="Book Antiqua" w:cs="Arial"/>
        </w:rPr>
        <w:lastRenderedPageBreak/>
        <w:t>17.</w:t>
      </w:r>
      <w:r>
        <w:rPr>
          <w:rFonts w:ascii="Book Antiqua" w:hAnsi="Book Antiqua" w:cs="Arial"/>
        </w:rPr>
        <w:tab/>
        <w:t>The grounds of appeal are correctly described by the judge gra</w:t>
      </w:r>
      <w:r w:rsidR="003F4C5C">
        <w:rPr>
          <w:rFonts w:ascii="Book Antiqua" w:hAnsi="Book Antiqua" w:cs="Arial"/>
        </w:rPr>
        <w:t>nting permission as “convoluted”. P</w:t>
      </w:r>
      <w:r>
        <w:rPr>
          <w:rFonts w:ascii="Book Antiqua" w:hAnsi="Book Antiqua" w:cs="Arial"/>
        </w:rPr>
        <w:t xml:space="preserve">oints were taken in relation to the difficulties in getting a green </w:t>
      </w:r>
      <w:r w:rsidR="003F4C5C">
        <w:rPr>
          <w:rFonts w:ascii="Book Antiqua" w:hAnsi="Book Antiqua" w:cs="Arial"/>
        </w:rPr>
        <w:t>card,</w:t>
      </w:r>
      <w:r>
        <w:rPr>
          <w:rFonts w:ascii="Book Antiqua" w:hAnsi="Book Antiqua" w:cs="Arial"/>
        </w:rPr>
        <w:t xml:space="preserve"> but it is quite clear that the judge had in mind the difficulties for the appellant.  It was said that the appellant would have enlarged on his evidence had he been asked to do so but I detect no conceivable unfairness in the judge’s approach.  As is pointed out in the </w:t>
      </w:r>
      <w:r w:rsidR="00DD5B5F">
        <w:rPr>
          <w:rFonts w:ascii="Book Antiqua" w:hAnsi="Book Antiqua" w:cs="Arial"/>
        </w:rPr>
        <w:t>decision granting permission</w:t>
      </w:r>
      <w:r>
        <w:rPr>
          <w:rFonts w:ascii="Book Antiqua" w:hAnsi="Book Antiqua" w:cs="Arial"/>
        </w:rPr>
        <w:t xml:space="preserve"> the judge cannot be criticised for not considering evidence which had not been provided.  The judge in any event reminds himself that the primary difficulty would be in relation to the appellant’s husband’s employment.  I do not find that the judge erred or misdirected himself in his consideration of the question of the green card as contended in the grounds</w:t>
      </w:r>
      <w:r w:rsidR="003F4C5C">
        <w:rPr>
          <w:rFonts w:ascii="Book Antiqua" w:hAnsi="Book Antiqua" w:cs="Arial"/>
        </w:rPr>
        <w:t>. T</w:t>
      </w:r>
      <w:r>
        <w:rPr>
          <w:rFonts w:ascii="Book Antiqua" w:hAnsi="Book Antiqua" w:cs="Arial"/>
        </w:rPr>
        <w:t xml:space="preserve">he approach of the judge was perfectly reasonable </w:t>
      </w:r>
      <w:r w:rsidR="003F4C5C">
        <w:rPr>
          <w:rFonts w:ascii="Book Antiqua" w:hAnsi="Book Antiqua" w:cs="Arial"/>
        </w:rPr>
        <w:t>throughout</w:t>
      </w:r>
      <w:r>
        <w:rPr>
          <w:rFonts w:ascii="Book Antiqua" w:hAnsi="Book Antiqua" w:cs="Arial"/>
        </w:rPr>
        <w:t>.</w:t>
      </w:r>
    </w:p>
    <w:p w:rsidR="00F4715F" w:rsidRDefault="005B09A2" w:rsidP="006506AE">
      <w:pPr>
        <w:tabs>
          <w:tab w:val="left" w:pos="567"/>
        </w:tabs>
        <w:spacing w:before="240"/>
        <w:ind w:left="567" w:hanging="567"/>
        <w:jc w:val="both"/>
        <w:rPr>
          <w:rFonts w:ascii="Book Antiqua" w:hAnsi="Book Antiqua" w:cs="Arial"/>
        </w:rPr>
      </w:pPr>
      <w:bookmarkStart w:id="2" w:name="_Hlk523076228"/>
      <w:r>
        <w:rPr>
          <w:rFonts w:ascii="Book Antiqua" w:hAnsi="Book Antiqua" w:cs="Arial"/>
        </w:rPr>
        <w:t>18.</w:t>
      </w:r>
      <w:r>
        <w:rPr>
          <w:rFonts w:ascii="Book Antiqua" w:hAnsi="Book Antiqua" w:cs="Arial"/>
        </w:rPr>
        <w:tab/>
      </w:r>
      <w:bookmarkEnd w:id="2"/>
      <w:r>
        <w:rPr>
          <w:rFonts w:ascii="Book Antiqua" w:hAnsi="Book Antiqua" w:cs="Arial"/>
        </w:rPr>
        <w:t xml:space="preserve">In paragraph 18 of the determination the judge did not arguably err in my view in referring to the appellant having close relatives in the USA as being factors which would make it “somewhat easier” for the family to resettle.  He had in mind that finding a job might take some time and the fact that the appellant’s husband would have to leave behind his elderly parents.  I agree with the grant of permission referring to the findings in relation to insurmountable obstacles appearing to be well made.  As Mr Avery submits, the grounds amount to little more than a disagreement with a carefully analysed and reasoned decision.  </w:t>
      </w:r>
      <w:r w:rsidR="003F4C5C">
        <w:rPr>
          <w:rFonts w:ascii="Book Antiqua" w:hAnsi="Book Antiqua" w:cs="Arial"/>
        </w:rPr>
        <w:t>Furthermore</w:t>
      </w:r>
      <w:r>
        <w:rPr>
          <w:rFonts w:ascii="Book Antiqua" w:hAnsi="Book Antiqua" w:cs="Arial"/>
        </w:rPr>
        <w:t xml:space="preserve"> the judge points out it is open to the appellant to apply for an entry clearance to return to the UK from the USA.</w:t>
      </w:r>
      <w:r w:rsidR="00FB1FD2">
        <w:rPr>
          <w:rFonts w:ascii="Book Antiqua" w:hAnsi="Book Antiqua" w:cs="Arial"/>
        </w:rPr>
        <w:t xml:space="preserve"> </w:t>
      </w:r>
    </w:p>
    <w:p w:rsidR="00FF417C" w:rsidRDefault="00F4715F" w:rsidP="006506AE">
      <w:pPr>
        <w:tabs>
          <w:tab w:val="left" w:pos="567"/>
        </w:tabs>
        <w:spacing w:before="240"/>
        <w:ind w:left="567" w:hanging="567"/>
        <w:jc w:val="both"/>
        <w:rPr>
          <w:rFonts w:ascii="Book Antiqua" w:hAnsi="Book Antiqua" w:cs="Arial"/>
        </w:rPr>
      </w:pPr>
      <w:r>
        <w:rPr>
          <w:rFonts w:ascii="Book Antiqua" w:hAnsi="Book Antiqua" w:cs="Arial"/>
        </w:rPr>
        <w:t>19</w:t>
      </w:r>
      <w:r w:rsidRPr="00F4715F">
        <w:rPr>
          <w:rFonts w:ascii="Book Antiqua" w:hAnsi="Book Antiqua" w:cs="Arial"/>
        </w:rPr>
        <w:t>.</w:t>
      </w:r>
      <w:r w:rsidRPr="00F4715F">
        <w:rPr>
          <w:rFonts w:ascii="Book Antiqua" w:hAnsi="Book Antiqua" w:cs="Arial"/>
        </w:rPr>
        <w:tab/>
      </w:r>
      <w:r w:rsidR="00FB1FD2">
        <w:rPr>
          <w:rFonts w:ascii="Book Antiqua" w:hAnsi="Book Antiqua" w:cs="Arial"/>
        </w:rPr>
        <w:t xml:space="preserve">In relation to the argument on which permission to appeal had been specifically granted, it is made clear </w:t>
      </w:r>
      <w:r w:rsidR="00900350">
        <w:rPr>
          <w:rFonts w:ascii="Book Antiqua" w:hAnsi="Book Antiqua" w:cs="Arial"/>
        </w:rPr>
        <w:t xml:space="preserve">by Lord Reed </w:t>
      </w:r>
      <w:r w:rsidR="00FB1FD2">
        <w:rPr>
          <w:rFonts w:ascii="Book Antiqua" w:hAnsi="Book Antiqua" w:cs="Arial"/>
        </w:rPr>
        <w:t xml:space="preserve">in </w:t>
      </w:r>
      <w:proofErr w:type="spellStart"/>
      <w:r w:rsidR="00FB1FD2" w:rsidRPr="0060236C">
        <w:rPr>
          <w:rFonts w:ascii="Book Antiqua" w:hAnsi="Book Antiqua" w:cs="Arial"/>
          <w:b/>
          <w:u w:val="single"/>
        </w:rPr>
        <w:t>Agyarko</w:t>
      </w:r>
      <w:proofErr w:type="spellEnd"/>
      <w:r w:rsidR="00FB1FD2" w:rsidRPr="00FB1FD2">
        <w:rPr>
          <w:rFonts w:ascii="Book Antiqua" w:hAnsi="Book Antiqua" w:cs="Arial"/>
        </w:rPr>
        <w:t xml:space="preserve"> </w:t>
      </w:r>
      <w:r w:rsidR="009D1111">
        <w:rPr>
          <w:rFonts w:ascii="Book Antiqua" w:hAnsi="Book Antiqua" w:cs="Arial"/>
        </w:rPr>
        <w:t xml:space="preserve">at paras 61 to 67 </w:t>
      </w:r>
      <w:r w:rsidR="00FB1FD2" w:rsidRPr="00FB1FD2">
        <w:rPr>
          <w:rFonts w:ascii="Book Antiqua" w:hAnsi="Book Antiqua" w:cs="Arial"/>
        </w:rPr>
        <w:t>that</w:t>
      </w:r>
      <w:r w:rsidR="00376A02">
        <w:rPr>
          <w:rFonts w:ascii="Book Antiqua" w:hAnsi="Book Antiqua" w:cs="Arial"/>
        </w:rPr>
        <w:t xml:space="preserve"> while EU citizens should not be deprived of the “substance of the rights” they enjoy by virtue of their status, in a case such as this the British Citizen child would not b</w:t>
      </w:r>
      <w:r w:rsidR="00900350">
        <w:rPr>
          <w:rFonts w:ascii="Book Antiqua" w:hAnsi="Book Antiqua" w:cs="Arial"/>
        </w:rPr>
        <w:t xml:space="preserve">e compelled to leave the EU </w:t>
      </w:r>
      <w:r w:rsidR="009D1111">
        <w:rPr>
          <w:rFonts w:ascii="Book Antiqua" w:hAnsi="Book Antiqua" w:cs="Arial"/>
        </w:rPr>
        <w:t>– it was a matter of choice as Mr Avery submitted.</w:t>
      </w:r>
      <w:r w:rsidR="00376A02">
        <w:rPr>
          <w:rFonts w:ascii="Book Antiqua" w:hAnsi="Book Antiqua" w:cs="Arial"/>
        </w:rPr>
        <w:t xml:space="preserve"> </w:t>
      </w:r>
      <w:r w:rsidR="00900350">
        <w:rPr>
          <w:rFonts w:ascii="Book Antiqua" w:hAnsi="Book Antiqua" w:cs="Arial"/>
        </w:rPr>
        <w:t>Lord Reed</w:t>
      </w:r>
      <w:r w:rsidR="009D1111">
        <w:rPr>
          <w:rFonts w:ascii="Book Antiqua" w:hAnsi="Book Antiqua" w:cs="Arial"/>
        </w:rPr>
        <w:t xml:space="preserve"> distinguished</w:t>
      </w:r>
      <w:bookmarkStart w:id="3" w:name="para2"/>
      <w:r w:rsidR="009D1111">
        <w:rPr>
          <w:rFonts w:ascii="Book Antiqua" w:hAnsi="Book Antiqua" w:cs="Arial"/>
        </w:rPr>
        <w:t xml:space="preserve"> the circumstances in</w:t>
      </w:r>
      <w:r w:rsidR="009D1111" w:rsidRPr="009D1111">
        <w:rPr>
          <w:rFonts w:ascii="Book Antiqua" w:hAnsi="Book Antiqua" w:cs="Arial"/>
        </w:rPr>
        <w:t> </w:t>
      </w:r>
      <w:r w:rsidR="009D1111" w:rsidRPr="009D1111">
        <w:rPr>
          <w:rFonts w:ascii="Book Antiqua" w:hAnsi="Book Antiqua" w:cs="Arial"/>
          <w:b/>
          <w:iCs/>
          <w:u w:val="single"/>
        </w:rPr>
        <w:t xml:space="preserve">Ruiz Zambrano v Office national de </w:t>
      </w:r>
      <w:proofErr w:type="spellStart"/>
      <w:r w:rsidR="009D1111" w:rsidRPr="009D1111">
        <w:rPr>
          <w:rFonts w:ascii="Book Antiqua" w:hAnsi="Book Antiqua" w:cs="Arial"/>
          <w:b/>
          <w:iCs/>
          <w:u w:val="single"/>
        </w:rPr>
        <w:t>l'emploi</w:t>
      </w:r>
      <w:proofErr w:type="spellEnd"/>
      <w:r w:rsidR="009D1111" w:rsidRPr="009D1111">
        <w:rPr>
          <w:rFonts w:ascii="Book Antiqua" w:hAnsi="Book Antiqua" w:cs="Arial"/>
          <w:i/>
          <w:iCs/>
        </w:rPr>
        <w:t> </w:t>
      </w:r>
      <w:r w:rsidR="009D1111" w:rsidRPr="009D1111">
        <w:rPr>
          <w:rFonts w:ascii="Book Antiqua" w:hAnsi="Book Antiqua" w:cs="Arial"/>
        </w:rPr>
        <w:t>(Case C-34/09) </w:t>
      </w:r>
      <w:bookmarkEnd w:id="3"/>
      <w:r w:rsidR="009D1111" w:rsidRPr="009D1111">
        <w:rPr>
          <w:rFonts w:ascii="Book Antiqua" w:hAnsi="Book Antiqua" w:cs="Arial"/>
        </w:rPr>
        <w:t>[2012] QB 265</w:t>
      </w:r>
      <w:r w:rsidR="009D1111">
        <w:rPr>
          <w:rFonts w:ascii="Book Antiqua" w:hAnsi="Book Antiqua" w:cs="Arial"/>
        </w:rPr>
        <w:t xml:space="preserve"> from </w:t>
      </w:r>
      <w:bookmarkStart w:id="4" w:name="para65"/>
      <w:r w:rsidR="009D1111" w:rsidRPr="009D1111">
        <w:rPr>
          <w:rFonts w:ascii="Book Antiqua" w:hAnsi="Book Antiqua" w:cs="Arial"/>
        </w:rPr>
        <w:t xml:space="preserve">others </w:t>
      </w:r>
      <w:r w:rsidR="009D1111">
        <w:rPr>
          <w:rFonts w:ascii="Book Antiqua" w:hAnsi="Book Antiqua" w:cs="Arial"/>
        </w:rPr>
        <w:t>where</w:t>
      </w:r>
      <w:r w:rsidR="009D1111" w:rsidRPr="009D1111">
        <w:rPr>
          <w:rFonts w:ascii="Book Antiqua" w:hAnsi="Book Antiqua" w:cs="Arial"/>
        </w:rPr>
        <w:t xml:space="preserve"> </w:t>
      </w:r>
      <w:r w:rsidR="009D1111">
        <w:rPr>
          <w:rFonts w:ascii="Book Antiqua" w:hAnsi="Book Antiqua" w:cs="Arial"/>
        </w:rPr>
        <w:t>“</w:t>
      </w:r>
      <w:r w:rsidR="009D1111" w:rsidRPr="009D1111">
        <w:rPr>
          <w:rFonts w:ascii="Book Antiqua" w:hAnsi="Book Antiqua" w:cs="Arial"/>
        </w:rPr>
        <w:t>the same relationship of complete dependence between the EU citizen and the third-c</w:t>
      </w:r>
      <w:r w:rsidR="009D1111">
        <w:rPr>
          <w:rFonts w:ascii="Book Antiqua" w:hAnsi="Book Antiqua" w:cs="Arial"/>
        </w:rPr>
        <w:t xml:space="preserve">ountry national was not </w:t>
      </w:r>
      <w:r w:rsidR="00900350">
        <w:rPr>
          <w:rFonts w:ascii="Book Antiqua" w:hAnsi="Book Antiqua" w:cs="Arial"/>
        </w:rPr>
        <w:t xml:space="preserve">present” </w:t>
      </w:r>
      <w:r w:rsidR="00900350" w:rsidRPr="009D1111">
        <w:rPr>
          <w:rFonts w:ascii="Book Antiqua" w:hAnsi="Book Antiqua" w:cs="Arial"/>
        </w:rPr>
        <w:t>and</w:t>
      </w:r>
      <w:r w:rsidR="009D1111">
        <w:rPr>
          <w:rFonts w:ascii="Book Antiqua" w:hAnsi="Book Antiqua" w:cs="Arial"/>
        </w:rPr>
        <w:t xml:space="preserve"> referred to </w:t>
      </w:r>
      <w:proofErr w:type="spellStart"/>
      <w:r w:rsidR="009D1111" w:rsidRPr="009D1111">
        <w:rPr>
          <w:rFonts w:ascii="Book Antiqua" w:hAnsi="Book Antiqua" w:cs="Arial"/>
          <w:b/>
          <w:iCs/>
        </w:rPr>
        <w:t>Dereci</w:t>
      </w:r>
      <w:proofErr w:type="spellEnd"/>
      <w:r w:rsidR="009D1111" w:rsidRPr="009D1111">
        <w:rPr>
          <w:rFonts w:ascii="Book Antiqua" w:hAnsi="Book Antiqua" w:cs="Arial"/>
          <w:b/>
          <w:iCs/>
        </w:rPr>
        <w:t xml:space="preserve"> v </w:t>
      </w:r>
      <w:proofErr w:type="spellStart"/>
      <w:r w:rsidR="009D1111" w:rsidRPr="009D1111">
        <w:rPr>
          <w:rFonts w:ascii="Book Antiqua" w:hAnsi="Book Antiqua" w:cs="Arial"/>
          <w:b/>
          <w:iCs/>
        </w:rPr>
        <w:t>Bundesministerium</w:t>
      </w:r>
      <w:proofErr w:type="spellEnd"/>
      <w:r w:rsidR="009D1111" w:rsidRPr="009D1111">
        <w:rPr>
          <w:rFonts w:ascii="Book Antiqua" w:hAnsi="Book Antiqua" w:cs="Arial"/>
          <w:b/>
          <w:iCs/>
        </w:rPr>
        <w:t xml:space="preserve"> </w:t>
      </w:r>
      <w:proofErr w:type="spellStart"/>
      <w:r w:rsidR="009D1111" w:rsidRPr="009D1111">
        <w:rPr>
          <w:rFonts w:ascii="Book Antiqua" w:hAnsi="Book Antiqua" w:cs="Arial"/>
          <w:b/>
          <w:iCs/>
        </w:rPr>
        <w:t>für</w:t>
      </w:r>
      <w:proofErr w:type="spellEnd"/>
      <w:r w:rsidR="009D1111" w:rsidRPr="009D1111">
        <w:rPr>
          <w:rFonts w:ascii="Book Antiqua" w:hAnsi="Book Antiqua" w:cs="Arial"/>
          <w:b/>
          <w:iCs/>
        </w:rPr>
        <w:t xml:space="preserve"> </w:t>
      </w:r>
      <w:proofErr w:type="spellStart"/>
      <w:r w:rsidR="009D1111" w:rsidRPr="009D1111">
        <w:rPr>
          <w:rFonts w:ascii="Book Antiqua" w:hAnsi="Book Antiqua" w:cs="Arial"/>
          <w:b/>
          <w:iCs/>
        </w:rPr>
        <w:t>Inneres</w:t>
      </w:r>
      <w:proofErr w:type="spellEnd"/>
      <w:r w:rsidR="009D1111" w:rsidRPr="009D1111">
        <w:rPr>
          <w:rFonts w:ascii="Book Antiqua" w:hAnsi="Book Antiqua" w:cs="Arial"/>
          <w:i/>
          <w:iCs/>
        </w:rPr>
        <w:t> </w:t>
      </w:r>
      <w:r w:rsidR="009D1111" w:rsidRPr="009D1111">
        <w:rPr>
          <w:rFonts w:ascii="Book Antiqua" w:hAnsi="Book Antiqua" w:cs="Arial"/>
        </w:rPr>
        <w:t>(Case C-256/11) </w:t>
      </w:r>
      <w:bookmarkEnd w:id="4"/>
      <w:r w:rsidR="009D1111" w:rsidRPr="009D1111">
        <w:rPr>
          <w:rFonts w:ascii="Book Antiqua" w:hAnsi="Book Antiqua" w:cs="Arial"/>
        </w:rPr>
        <w:t>[2011] ECR I-11315</w:t>
      </w:r>
      <w:r w:rsidR="009D1111">
        <w:rPr>
          <w:rFonts w:ascii="Book Antiqua" w:hAnsi="Book Antiqua" w:cs="Arial"/>
        </w:rPr>
        <w:t>.</w:t>
      </w:r>
      <w:r w:rsidR="00FF417C">
        <w:rPr>
          <w:rFonts w:ascii="Book Antiqua" w:hAnsi="Book Antiqua" w:cs="Arial"/>
        </w:rPr>
        <w:t xml:space="preserve"> In paragraph 67 Lord Reed stated:</w:t>
      </w:r>
    </w:p>
    <w:p w:rsidR="009D1111" w:rsidRPr="006506AE" w:rsidRDefault="00FF417C" w:rsidP="006506AE">
      <w:pPr>
        <w:tabs>
          <w:tab w:val="left" w:pos="567"/>
        </w:tabs>
        <w:spacing w:before="120" w:after="120"/>
        <w:ind w:left="1134" w:right="567"/>
        <w:jc w:val="both"/>
        <w:rPr>
          <w:rFonts w:ascii="Book Antiqua" w:hAnsi="Book Antiqua" w:cs="Arial"/>
          <w:sz w:val="22"/>
        </w:rPr>
      </w:pPr>
      <w:bookmarkStart w:id="5" w:name="para67"/>
      <w:r w:rsidRPr="006506AE">
        <w:rPr>
          <w:rFonts w:ascii="Book Antiqua" w:hAnsi="Book Antiqua" w:cs="Arial"/>
          <w:sz w:val="22"/>
        </w:rPr>
        <w:t>“In the light of these cases, this ground of challenge to the Rules and Instructions cannot be upheld. In the event that a situation were to arise in which the refusal of a third-country national's application for leave to remain in the UK would force his or her British partner to leave the EU, in breach of article 20 TFEU, such a situation could be addressed under the Rules as one where there were "insurmountable obstacles", or in any event under the Instructions as one where there were "exceptional circumstances". Typically, however, as in the present cases, the British citizen would not be forced to leave the EU, any more than in the case of </w:t>
      </w:r>
      <w:proofErr w:type="spellStart"/>
      <w:r w:rsidRPr="006506AE">
        <w:rPr>
          <w:rFonts w:ascii="Book Antiqua" w:hAnsi="Book Antiqua" w:cs="Arial"/>
          <w:i/>
          <w:iCs/>
          <w:sz w:val="22"/>
        </w:rPr>
        <w:t>Dereci</w:t>
      </w:r>
      <w:proofErr w:type="spellEnd"/>
      <w:r w:rsidRPr="006506AE">
        <w:rPr>
          <w:rFonts w:ascii="Book Antiqua" w:hAnsi="Book Antiqua" w:cs="Arial"/>
          <w:i/>
          <w:iCs/>
          <w:sz w:val="22"/>
        </w:rPr>
        <w:t>,</w:t>
      </w:r>
      <w:r w:rsidRPr="006506AE">
        <w:rPr>
          <w:rFonts w:ascii="Book Antiqua" w:hAnsi="Book Antiqua" w:cs="Arial"/>
          <w:sz w:val="22"/>
        </w:rPr>
        <w:t> and the third-country national would not, therefore, derive any rights from article 20</w:t>
      </w:r>
      <w:bookmarkEnd w:id="5"/>
      <w:r w:rsidRPr="006506AE">
        <w:rPr>
          <w:rFonts w:ascii="Book Antiqua" w:hAnsi="Book Antiqua" w:cs="Arial"/>
          <w:sz w:val="22"/>
        </w:rPr>
        <w:t>.”</w:t>
      </w:r>
    </w:p>
    <w:p w:rsidR="00FF417C" w:rsidRDefault="00FF417C" w:rsidP="006506AE">
      <w:pPr>
        <w:spacing w:before="240"/>
        <w:ind w:left="567"/>
        <w:jc w:val="both"/>
        <w:rPr>
          <w:rFonts w:ascii="Book Antiqua" w:hAnsi="Book Antiqua" w:cs="Arial"/>
        </w:rPr>
      </w:pPr>
      <w:r>
        <w:rPr>
          <w:rFonts w:ascii="Book Antiqua" w:hAnsi="Book Antiqua" w:cs="Arial"/>
        </w:rPr>
        <w:t xml:space="preserve">The First-tier Judge </w:t>
      </w:r>
      <w:r w:rsidR="004E17C7">
        <w:rPr>
          <w:rFonts w:ascii="Book Antiqua" w:hAnsi="Book Antiqua" w:cs="Arial"/>
        </w:rPr>
        <w:t xml:space="preserve">having cited extracts from </w:t>
      </w:r>
      <w:proofErr w:type="spellStart"/>
      <w:r w:rsidR="004E17C7" w:rsidRPr="004E17C7">
        <w:rPr>
          <w:rFonts w:ascii="Book Antiqua" w:hAnsi="Book Antiqua" w:cs="Arial"/>
          <w:b/>
          <w:u w:val="single"/>
        </w:rPr>
        <w:t>Agyarko</w:t>
      </w:r>
      <w:proofErr w:type="spellEnd"/>
      <w:r w:rsidR="004E17C7">
        <w:rPr>
          <w:rFonts w:ascii="Book Antiqua" w:hAnsi="Book Antiqua" w:cs="Arial"/>
        </w:rPr>
        <w:t xml:space="preserve"> would have been familiar with the applicable principles and did not err in his approach </w:t>
      </w:r>
      <w:r w:rsidR="00CC5B87">
        <w:rPr>
          <w:rFonts w:ascii="Book Antiqua" w:hAnsi="Book Antiqua" w:cs="Arial"/>
        </w:rPr>
        <w:t xml:space="preserve">to the question of </w:t>
      </w:r>
      <w:r w:rsidR="00CC5B87" w:rsidRPr="00FF417C">
        <w:rPr>
          <w:rFonts w:ascii="Book Antiqua" w:hAnsi="Book Antiqua" w:cs="Arial"/>
        </w:rPr>
        <w:t>insurmountable obstacles</w:t>
      </w:r>
      <w:r w:rsidR="00CC5B87">
        <w:rPr>
          <w:rFonts w:ascii="Book Antiqua" w:hAnsi="Book Antiqua" w:cs="Arial"/>
        </w:rPr>
        <w:t xml:space="preserve"> </w:t>
      </w:r>
      <w:r w:rsidR="004E17C7">
        <w:rPr>
          <w:rFonts w:ascii="Book Antiqua" w:hAnsi="Book Antiqua" w:cs="Arial"/>
        </w:rPr>
        <w:t xml:space="preserve">or his </w:t>
      </w:r>
      <w:r w:rsidR="00CC5B87">
        <w:rPr>
          <w:rFonts w:ascii="Book Antiqua" w:hAnsi="Book Antiqua" w:cs="Arial"/>
        </w:rPr>
        <w:t xml:space="preserve">conclusions generally. </w:t>
      </w:r>
      <w:r w:rsidR="004E17C7">
        <w:rPr>
          <w:rFonts w:ascii="Book Antiqua" w:hAnsi="Book Antiqua" w:cs="Arial"/>
        </w:rPr>
        <w:t xml:space="preserve">  </w:t>
      </w:r>
    </w:p>
    <w:p w:rsidR="005B09A2" w:rsidRDefault="00BE0469" w:rsidP="006506AE">
      <w:pPr>
        <w:tabs>
          <w:tab w:val="left" w:pos="567"/>
        </w:tabs>
        <w:spacing w:before="240"/>
        <w:ind w:left="567" w:hanging="567"/>
        <w:jc w:val="both"/>
        <w:rPr>
          <w:rFonts w:ascii="Book Antiqua" w:hAnsi="Book Antiqua" w:cs="Arial"/>
        </w:rPr>
      </w:pPr>
      <w:r>
        <w:rPr>
          <w:rFonts w:ascii="Book Antiqua" w:hAnsi="Book Antiqua" w:cs="Arial"/>
        </w:rPr>
        <w:lastRenderedPageBreak/>
        <w:t>20</w:t>
      </w:r>
      <w:r w:rsidR="005B09A2">
        <w:rPr>
          <w:rFonts w:ascii="Book Antiqua" w:hAnsi="Book Antiqua" w:cs="Arial"/>
        </w:rPr>
        <w:t>.</w:t>
      </w:r>
      <w:r w:rsidR="005B09A2">
        <w:rPr>
          <w:rFonts w:ascii="Book Antiqua" w:hAnsi="Book Antiqua" w:cs="Arial"/>
        </w:rPr>
        <w:tab/>
      </w:r>
      <w:r>
        <w:rPr>
          <w:rFonts w:ascii="Book Antiqua" w:hAnsi="Book Antiqua" w:cs="Arial"/>
        </w:rPr>
        <w:t>For the reasons I have given</w:t>
      </w:r>
      <w:r w:rsidR="005B09A2">
        <w:rPr>
          <w:rFonts w:ascii="Book Antiqua" w:hAnsi="Book Antiqua" w:cs="Arial"/>
        </w:rPr>
        <w:t xml:space="preserve"> I am not satisfied that the decision of the First-tier Judge is flawed in law and accordingly this appeal is dismissed.</w:t>
      </w:r>
    </w:p>
    <w:p w:rsidR="005B09A2" w:rsidRDefault="005B09A2" w:rsidP="006506AE">
      <w:pPr>
        <w:tabs>
          <w:tab w:val="left" w:pos="567"/>
        </w:tabs>
        <w:spacing w:before="240"/>
        <w:ind w:left="567" w:hanging="567"/>
        <w:jc w:val="both"/>
        <w:rPr>
          <w:rFonts w:ascii="Book Antiqua" w:hAnsi="Book Antiqua" w:cs="Arial"/>
        </w:rPr>
      </w:pPr>
      <w:r>
        <w:rPr>
          <w:rFonts w:ascii="Book Antiqua" w:hAnsi="Book Antiqua" w:cs="Arial"/>
          <w:b/>
          <w:u w:val="single"/>
        </w:rPr>
        <w:t>Anonymity</w:t>
      </w:r>
    </w:p>
    <w:p w:rsidR="005B09A2" w:rsidRDefault="00BE0469" w:rsidP="006506AE">
      <w:pPr>
        <w:tabs>
          <w:tab w:val="left" w:pos="567"/>
        </w:tabs>
        <w:spacing w:before="240"/>
        <w:ind w:left="567" w:hanging="567"/>
        <w:jc w:val="both"/>
        <w:rPr>
          <w:rFonts w:ascii="Book Antiqua" w:hAnsi="Book Antiqua" w:cs="Arial"/>
        </w:rPr>
      </w:pPr>
      <w:r>
        <w:rPr>
          <w:rFonts w:ascii="Book Antiqua" w:hAnsi="Book Antiqua" w:cs="Arial"/>
        </w:rPr>
        <w:t>21</w:t>
      </w:r>
      <w:r w:rsidR="005B09A2">
        <w:rPr>
          <w:rFonts w:ascii="Book Antiqua" w:hAnsi="Book Antiqua" w:cs="Arial"/>
        </w:rPr>
        <w:t>.</w:t>
      </w:r>
      <w:r w:rsidR="005B09A2">
        <w:rPr>
          <w:rFonts w:ascii="Book Antiqua" w:hAnsi="Book Antiqua" w:cs="Arial"/>
        </w:rPr>
        <w:tab/>
        <w:t>The First-tier Judge made no anonymity order and I make none.</w:t>
      </w:r>
    </w:p>
    <w:p w:rsidR="005B09A2" w:rsidRDefault="005B09A2" w:rsidP="006506AE">
      <w:pPr>
        <w:tabs>
          <w:tab w:val="left" w:pos="567"/>
        </w:tabs>
        <w:spacing w:before="240"/>
        <w:ind w:left="567" w:hanging="567"/>
        <w:jc w:val="both"/>
        <w:rPr>
          <w:rFonts w:ascii="Book Antiqua" w:hAnsi="Book Antiqua" w:cs="Arial"/>
        </w:rPr>
      </w:pPr>
      <w:r>
        <w:rPr>
          <w:rFonts w:ascii="Book Antiqua" w:hAnsi="Book Antiqua" w:cs="Arial"/>
          <w:b/>
          <w:u w:val="single"/>
        </w:rPr>
        <w:t>Fee Award</w:t>
      </w:r>
    </w:p>
    <w:p w:rsidR="005B09A2" w:rsidRPr="005B09A2" w:rsidRDefault="00BE0469" w:rsidP="006506AE">
      <w:pPr>
        <w:tabs>
          <w:tab w:val="left" w:pos="567"/>
        </w:tabs>
        <w:spacing w:before="240"/>
        <w:ind w:left="567" w:hanging="567"/>
        <w:jc w:val="both"/>
        <w:rPr>
          <w:rFonts w:ascii="Book Antiqua" w:hAnsi="Book Antiqua" w:cs="Arial"/>
        </w:rPr>
      </w:pPr>
      <w:r>
        <w:rPr>
          <w:rFonts w:ascii="Book Antiqua" w:hAnsi="Book Antiqua" w:cs="Arial"/>
        </w:rPr>
        <w:t>22</w:t>
      </w:r>
      <w:r w:rsidR="005B09A2">
        <w:rPr>
          <w:rFonts w:ascii="Book Antiqua" w:hAnsi="Book Antiqua" w:cs="Arial"/>
        </w:rPr>
        <w:t>.</w:t>
      </w:r>
      <w:r w:rsidR="005B09A2">
        <w:rPr>
          <w:rFonts w:ascii="Book Antiqua" w:hAnsi="Book Antiqua" w:cs="Arial"/>
        </w:rPr>
        <w:tab/>
        <w:t>The First-tier Tribunal Judge made no fee award and I make none.</w:t>
      </w:r>
    </w:p>
    <w:p w:rsidR="004B71FD" w:rsidRDefault="004B71FD" w:rsidP="00BF23BB">
      <w:pPr>
        <w:tabs>
          <w:tab w:val="left" w:pos="567"/>
        </w:tabs>
        <w:ind w:left="567" w:hanging="567"/>
        <w:jc w:val="both"/>
        <w:rPr>
          <w:rFonts w:ascii="Book Antiqua" w:hAnsi="Book Antiqua" w:cs="Arial"/>
        </w:rPr>
      </w:pPr>
    </w:p>
    <w:p w:rsidR="009F5220" w:rsidRPr="001C5703" w:rsidRDefault="009F5220" w:rsidP="00780F86">
      <w:pPr>
        <w:ind w:left="540" w:hanging="540"/>
        <w:jc w:val="both"/>
        <w:rPr>
          <w:rFonts w:ascii="Book Antiqua" w:hAnsi="Book Antiqua" w:cs="Arial"/>
        </w:rPr>
      </w:pPr>
    </w:p>
    <w:p w:rsidR="001F2716" w:rsidRPr="001C5703" w:rsidRDefault="00780F86" w:rsidP="00780F86">
      <w:pPr>
        <w:ind w:left="540" w:hanging="540"/>
        <w:jc w:val="both"/>
        <w:rPr>
          <w:rFonts w:ascii="Book Antiqua" w:hAnsi="Book Antiqua" w:cs="Arial"/>
        </w:rPr>
      </w:pPr>
      <w:r w:rsidRPr="001C5703">
        <w:rPr>
          <w:rFonts w:ascii="Book Antiqua" w:hAnsi="Book Antiqua" w:cs="Arial"/>
        </w:rPr>
        <w:t>Signed</w:t>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Pr="001C5703">
        <w:rPr>
          <w:rFonts w:ascii="Book Antiqua" w:hAnsi="Book Antiqua" w:cs="Arial"/>
        </w:rPr>
        <w:tab/>
      </w:r>
      <w:r w:rsidR="001F2716" w:rsidRPr="001C5703">
        <w:rPr>
          <w:rFonts w:ascii="Book Antiqua" w:hAnsi="Book Antiqua" w:cs="Arial"/>
        </w:rPr>
        <w:t>Date</w:t>
      </w:r>
      <w:r w:rsidR="00BE0469">
        <w:rPr>
          <w:rFonts w:ascii="Book Antiqua" w:hAnsi="Book Antiqua" w:cs="Arial"/>
        </w:rPr>
        <w:tab/>
      </w:r>
      <w:bookmarkStart w:id="6" w:name="_Hlk523138670"/>
      <w:r w:rsidR="00BE0469">
        <w:rPr>
          <w:rFonts w:ascii="Book Antiqua" w:hAnsi="Book Antiqua" w:cs="Arial"/>
        </w:rPr>
        <w:t>28 August 2018</w:t>
      </w:r>
      <w:bookmarkEnd w:id="6"/>
    </w:p>
    <w:p w:rsidR="001F2716" w:rsidRPr="001C5703" w:rsidRDefault="001F2716" w:rsidP="00402B9E">
      <w:pPr>
        <w:tabs>
          <w:tab w:val="left" w:pos="2520"/>
        </w:tabs>
        <w:ind w:left="540" w:hanging="540"/>
        <w:jc w:val="both"/>
        <w:rPr>
          <w:rFonts w:ascii="Book Antiqua" w:hAnsi="Book Antiqua" w:cs="Arial"/>
        </w:rPr>
      </w:pPr>
    </w:p>
    <w:p w:rsidR="00E366FC" w:rsidRPr="004F6B6B" w:rsidRDefault="00E366FC" w:rsidP="004F6B6B">
      <w:pPr>
        <w:tabs>
          <w:tab w:val="left" w:pos="2520"/>
        </w:tabs>
        <w:ind w:left="540" w:hanging="540"/>
        <w:jc w:val="both"/>
        <w:rPr>
          <w:rFonts w:ascii="Book Antiqua" w:hAnsi="Book Antiqua" w:cs="Arial"/>
          <w:color w:val="000000"/>
        </w:rPr>
      </w:pPr>
      <w:r w:rsidRPr="004F6B6B">
        <w:rPr>
          <w:rFonts w:ascii="Book Antiqua" w:hAnsi="Book Antiqua" w:cs="Arial"/>
          <w:color w:val="000000"/>
        </w:rPr>
        <w:t>G Warr, Judge of the Upper Tribunal</w:t>
      </w:r>
    </w:p>
    <w:p w:rsidR="004B71FD" w:rsidRDefault="00E366FC" w:rsidP="009A0C11">
      <w:pPr>
        <w:tabs>
          <w:tab w:val="left" w:pos="2520"/>
        </w:tabs>
        <w:ind w:left="540" w:hanging="540"/>
        <w:jc w:val="both"/>
        <w:rPr>
          <w:rFonts w:ascii="Book Antiqua" w:hAnsi="Book Antiqua" w:cs="Arial"/>
          <w:color w:val="000000"/>
        </w:rPr>
      </w:pPr>
      <w:r>
        <w:rPr>
          <w:rFonts w:ascii="Book Antiqua" w:hAnsi="Book Antiqua" w:cs="Arial"/>
          <w:color w:val="000000"/>
        </w:rPr>
        <w:t xml:space="preserve"> </w:t>
      </w:r>
    </w:p>
    <w:sectPr w:rsidR="004B71FD"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F8E" w:rsidRDefault="00305F8E">
      <w:r>
        <w:separator/>
      </w:r>
    </w:p>
  </w:endnote>
  <w:endnote w:type="continuationSeparator" w:id="0">
    <w:p w:rsidR="00305F8E" w:rsidRDefault="0030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226CF3">
      <w:rPr>
        <w:rStyle w:val="PageNumber"/>
        <w:rFonts w:ascii="Book Antiqua" w:hAnsi="Book Antiqua" w:cs="Arial"/>
        <w:noProof/>
        <w:sz w:val="16"/>
        <w:szCs w:val="16"/>
      </w:rPr>
      <w:t>8</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1970A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F8E" w:rsidRDefault="00305F8E">
      <w:r>
        <w:separator/>
      </w:r>
    </w:p>
  </w:footnote>
  <w:footnote w:type="continuationSeparator" w:id="0">
    <w:p w:rsidR="00305F8E" w:rsidRDefault="00305F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7E61E4">
      <w:rPr>
        <w:rFonts w:ascii="Book Antiqua" w:hAnsi="Book Antiqua" w:cs="Arial"/>
        <w:sz w:val="16"/>
        <w:szCs w:val="16"/>
      </w:rPr>
      <w:t>HU/21093/2016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8E"/>
    <w:rsid w:val="00000621"/>
    <w:rsid w:val="000036C2"/>
    <w:rsid w:val="00014007"/>
    <w:rsid w:val="00033D3D"/>
    <w:rsid w:val="00062F02"/>
    <w:rsid w:val="00071A7E"/>
    <w:rsid w:val="000746C0"/>
    <w:rsid w:val="00074D1D"/>
    <w:rsid w:val="00092580"/>
    <w:rsid w:val="00093D4D"/>
    <w:rsid w:val="000C40AB"/>
    <w:rsid w:val="000D5D94"/>
    <w:rsid w:val="000F1A0E"/>
    <w:rsid w:val="000F2591"/>
    <w:rsid w:val="000F30BD"/>
    <w:rsid w:val="0010335F"/>
    <w:rsid w:val="001165A7"/>
    <w:rsid w:val="00167A29"/>
    <w:rsid w:val="00167D3A"/>
    <w:rsid w:val="001731EE"/>
    <w:rsid w:val="00174A01"/>
    <w:rsid w:val="001913BD"/>
    <w:rsid w:val="001970A9"/>
    <w:rsid w:val="001A3082"/>
    <w:rsid w:val="001B186A"/>
    <w:rsid w:val="001B2F75"/>
    <w:rsid w:val="001C5703"/>
    <w:rsid w:val="001F2716"/>
    <w:rsid w:val="00207617"/>
    <w:rsid w:val="00226CF3"/>
    <w:rsid w:val="0023134B"/>
    <w:rsid w:val="00283659"/>
    <w:rsid w:val="00284A9E"/>
    <w:rsid w:val="002C18CB"/>
    <w:rsid w:val="002C576E"/>
    <w:rsid w:val="002C6BD4"/>
    <w:rsid w:val="002D68BF"/>
    <w:rsid w:val="002F6B98"/>
    <w:rsid w:val="00305F8E"/>
    <w:rsid w:val="00333691"/>
    <w:rsid w:val="00336CBF"/>
    <w:rsid w:val="0033752C"/>
    <w:rsid w:val="00343FE3"/>
    <w:rsid w:val="003543A1"/>
    <w:rsid w:val="003546C8"/>
    <w:rsid w:val="00376A02"/>
    <w:rsid w:val="003824D5"/>
    <w:rsid w:val="003A78C4"/>
    <w:rsid w:val="003A7CF2"/>
    <w:rsid w:val="003B5159"/>
    <w:rsid w:val="003C5CE5"/>
    <w:rsid w:val="003E267B"/>
    <w:rsid w:val="003E7CD1"/>
    <w:rsid w:val="003F4C5C"/>
    <w:rsid w:val="003F5CCC"/>
    <w:rsid w:val="00402B9E"/>
    <w:rsid w:val="004249CB"/>
    <w:rsid w:val="0044127D"/>
    <w:rsid w:val="004448DB"/>
    <w:rsid w:val="00446C9A"/>
    <w:rsid w:val="00452F2B"/>
    <w:rsid w:val="00477193"/>
    <w:rsid w:val="004A1848"/>
    <w:rsid w:val="004A6F4A"/>
    <w:rsid w:val="004B71FD"/>
    <w:rsid w:val="004D2CC3"/>
    <w:rsid w:val="004E17C7"/>
    <w:rsid w:val="004E4717"/>
    <w:rsid w:val="004E5903"/>
    <w:rsid w:val="00500437"/>
    <w:rsid w:val="00507FEC"/>
    <w:rsid w:val="00510F0E"/>
    <w:rsid w:val="00520345"/>
    <w:rsid w:val="0052070D"/>
    <w:rsid w:val="005479E1"/>
    <w:rsid w:val="00553E0A"/>
    <w:rsid w:val="005570FD"/>
    <w:rsid w:val="005575EA"/>
    <w:rsid w:val="0057790C"/>
    <w:rsid w:val="00593795"/>
    <w:rsid w:val="005A75FF"/>
    <w:rsid w:val="005B09A2"/>
    <w:rsid w:val="005B1C60"/>
    <w:rsid w:val="005D10AB"/>
    <w:rsid w:val="00601D8F"/>
    <w:rsid w:val="0060236C"/>
    <w:rsid w:val="006506AE"/>
    <w:rsid w:val="00653E97"/>
    <w:rsid w:val="006639A7"/>
    <w:rsid w:val="00684A74"/>
    <w:rsid w:val="00690B8A"/>
    <w:rsid w:val="00692148"/>
    <w:rsid w:val="006D4B0B"/>
    <w:rsid w:val="006F2CF1"/>
    <w:rsid w:val="006F3DC0"/>
    <w:rsid w:val="007038ED"/>
    <w:rsid w:val="00703BC3"/>
    <w:rsid w:val="00704B61"/>
    <w:rsid w:val="0071607B"/>
    <w:rsid w:val="007552A9"/>
    <w:rsid w:val="00761858"/>
    <w:rsid w:val="00767D59"/>
    <w:rsid w:val="00776E97"/>
    <w:rsid w:val="00780F86"/>
    <w:rsid w:val="00786821"/>
    <w:rsid w:val="007912AD"/>
    <w:rsid w:val="00791995"/>
    <w:rsid w:val="007B0824"/>
    <w:rsid w:val="007B5D3C"/>
    <w:rsid w:val="007C56C3"/>
    <w:rsid w:val="007E61E4"/>
    <w:rsid w:val="007F4938"/>
    <w:rsid w:val="00821B72"/>
    <w:rsid w:val="00823B3F"/>
    <w:rsid w:val="00823EF2"/>
    <w:rsid w:val="00825DDF"/>
    <w:rsid w:val="008303B8"/>
    <w:rsid w:val="00833DCE"/>
    <w:rsid w:val="0083652A"/>
    <w:rsid w:val="00871D34"/>
    <w:rsid w:val="008B0BE6"/>
    <w:rsid w:val="008B270C"/>
    <w:rsid w:val="008B5078"/>
    <w:rsid w:val="008C3D3D"/>
    <w:rsid w:val="008D4131"/>
    <w:rsid w:val="008F1932"/>
    <w:rsid w:val="00900350"/>
    <w:rsid w:val="00904924"/>
    <w:rsid w:val="00921062"/>
    <w:rsid w:val="009405A9"/>
    <w:rsid w:val="009722BC"/>
    <w:rsid w:val="009727A3"/>
    <w:rsid w:val="00980E2C"/>
    <w:rsid w:val="00987774"/>
    <w:rsid w:val="009A0C11"/>
    <w:rsid w:val="009A11E8"/>
    <w:rsid w:val="009D1111"/>
    <w:rsid w:val="009F1E93"/>
    <w:rsid w:val="009F5220"/>
    <w:rsid w:val="00A10174"/>
    <w:rsid w:val="00A15234"/>
    <w:rsid w:val="00A201AB"/>
    <w:rsid w:val="00A31C8B"/>
    <w:rsid w:val="00A40996"/>
    <w:rsid w:val="00A509FA"/>
    <w:rsid w:val="00A57B3D"/>
    <w:rsid w:val="00A72793"/>
    <w:rsid w:val="00A845DC"/>
    <w:rsid w:val="00A90A85"/>
    <w:rsid w:val="00AB384C"/>
    <w:rsid w:val="00AB5CAB"/>
    <w:rsid w:val="00AE7219"/>
    <w:rsid w:val="00B26AA2"/>
    <w:rsid w:val="00B31D78"/>
    <w:rsid w:val="00B3524D"/>
    <w:rsid w:val="00B40F69"/>
    <w:rsid w:val="00B46616"/>
    <w:rsid w:val="00B56B2E"/>
    <w:rsid w:val="00B7040A"/>
    <w:rsid w:val="00B81793"/>
    <w:rsid w:val="00B83391"/>
    <w:rsid w:val="00B95326"/>
    <w:rsid w:val="00BA3A97"/>
    <w:rsid w:val="00BC0D23"/>
    <w:rsid w:val="00BD4196"/>
    <w:rsid w:val="00BE0469"/>
    <w:rsid w:val="00BE0798"/>
    <w:rsid w:val="00BF22CA"/>
    <w:rsid w:val="00BF23BB"/>
    <w:rsid w:val="00C26032"/>
    <w:rsid w:val="00C345E1"/>
    <w:rsid w:val="00C43BFD"/>
    <w:rsid w:val="00C91DD2"/>
    <w:rsid w:val="00CB23C3"/>
    <w:rsid w:val="00CB6E35"/>
    <w:rsid w:val="00CC5B87"/>
    <w:rsid w:val="00CE1A46"/>
    <w:rsid w:val="00D12953"/>
    <w:rsid w:val="00D20757"/>
    <w:rsid w:val="00D22636"/>
    <w:rsid w:val="00D40FD9"/>
    <w:rsid w:val="00D53769"/>
    <w:rsid w:val="00D57655"/>
    <w:rsid w:val="00D64505"/>
    <w:rsid w:val="00D80E00"/>
    <w:rsid w:val="00D85C13"/>
    <w:rsid w:val="00D9111A"/>
    <w:rsid w:val="00D91BE3"/>
    <w:rsid w:val="00D94AFC"/>
    <w:rsid w:val="00DA5113"/>
    <w:rsid w:val="00DB70AE"/>
    <w:rsid w:val="00DD5071"/>
    <w:rsid w:val="00DD5B5F"/>
    <w:rsid w:val="00DD5C39"/>
    <w:rsid w:val="00DE7DB7"/>
    <w:rsid w:val="00E00A0A"/>
    <w:rsid w:val="00E04E7F"/>
    <w:rsid w:val="00E05BBC"/>
    <w:rsid w:val="00E066DE"/>
    <w:rsid w:val="00E07F57"/>
    <w:rsid w:val="00E30683"/>
    <w:rsid w:val="00E31524"/>
    <w:rsid w:val="00E33855"/>
    <w:rsid w:val="00E366FC"/>
    <w:rsid w:val="00E453D8"/>
    <w:rsid w:val="00E50BCE"/>
    <w:rsid w:val="00E574BF"/>
    <w:rsid w:val="00E61292"/>
    <w:rsid w:val="00E77C4D"/>
    <w:rsid w:val="00E81D01"/>
    <w:rsid w:val="00EE45D8"/>
    <w:rsid w:val="00F2036F"/>
    <w:rsid w:val="00F22EDA"/>
    <w:rsid w:val="00F26187"/>
    <w:rsid w:val="00F308BE"/>
    <w:rsid w:val="00F4715F"/>
    <w:rsid w:val="00F63C51"/>
    <w:rsid w:val="00FB1FD2"/>
    <w:rsid w:val="00FB410B"/>
    <w:rsid w:val="00FF41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7F4DD69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character" w:styleId="UnresolvedMention">
    <w:name w:val="Unresolved Mention"/>
    <w:basedOn w:val="DefaultParagraphFont"/>
    <w:uiPriority w:val="99"/>
    <w:semiHidden/>
    <w:unhideWhenUsed/>
    <w:rsid w:val="009D111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0A0A1-EA41-48DB-AECC-62A4E3C0C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3433</Words>
  <Characters>16426</Characters>
  <Application>Microsoft Office Word</Application>
  <DocSecurity>0</DocSecurity>
  <Lines>136</Lines>
  <Paragraphs>39</Paragraphs>
  <ScaleCrop>false</ScaleCrop>
  <Company/>
  <LinksUpToDate>false</LinksUpToDate>
  <CharactersWithSpaces>19820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2018-09-18T14:59:00Z</dcterms:created>
  <dcterms:modified xsi:type="dcterms:W3CDTF">2018-09-18T15:00:00Z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