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B5665B"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DA6026"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DA6026" w:rsidRPr="00DA6026">
        <w:rPr>
          <w:rFonts w:ascii="Book Antiqua" w:hAnsi="Book Antiqua" w:cs="Arial"/>
          <w:caps/>
          <w:color w:val="000000"/>
        </w:rPr>
        <w:t>HU/21163/2016</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D40E3" w:rsidTr="008D40E3">
        <w:tc>
          <w:tcPr>
            <w:tcW w:w="6048" w:type="dxa"/>
            <w:shd w:val="clear" w:color="auto" w:fill="auto"/>
          </w:tcPr>
          <w:p w:rsidR="00D22636" w:rsidRPr="008D40E3" w:rsidRDefault="00D22636" w:rsidP="008D40E3">
            <w:pPr>
              <w:jc w:val="both"/>
              <w:rPr>
                <w:rFonts w:ascii="Book Antiqua" w:hAnsi="Book Antiqua" w:cs="Arial"/>
                <w:b/>
              </w:rPr>
            </w:pPr>
            <w:r w:rsidRPr="008D40E3">
              <w:rPr>
                <w:rFonts w:ascii="Book Antiqua" w:hAnsi="Book Antiqua" w:cs="Arial"/>
                <w:b/>
              </w:rPr>
              <w:t xml:space="preserve">Heard at </w:t>
            </w:r>
            <w:r w:rsidR="00DA6026" w:rsidRPr="008D40E3">
              <w:rPr>
                <w:rFonts w:ascii="Book Antiqua" w:hAnsi="Book Antiqua" w:cs="Arial"/>
                <w:b/>
              </w:rPr>
              <w:t xml:space="preserve">Field House </w:t>
            </w:r>
          </w:p>
        </w:tc>
        <w:tc>
          <w:tcPr>
            <w:tcW w:w="3960" w:type="dxa"/>
            <w:shd w:val="clear" w:color="auto" w:fill="auto"/>
          </w:tcPr>
          <w:p w:rsidR="00D22636" w:rsidRPr="008D40E3" w:rsidRDefault="004B71FD" w:rsidP="008D40E3">
            <w:pPr>
              <w:jc w:val="both"/>
              <w:rPr>
                <w:rFonts w:ascii="Book Antiqua" w:hAnsi="Book Antiqua" w:cs="Arial"/>
                <w:b/>
                <w:color w:val="000000"/>
              </w:rPr>
            </w:pPr>
            <w:r w:rsidRPr="008D40E3">
              <w:rPr>
                <w:rFonts w:ascii="Book Antiqua" w:hAnsi="Book Antiqua" w:cs="Arial"/>
                <w:b/>
                <w:color w:val="000000"/>
              </w:rPr>
              <w:t>Decision &amp; Reasons</w:t>
            </w:r>
            <w:r w:rsidR="00283659" w:rsidRPr="008D40E3">
              <w:rPr>
                <w:rFonts w:ascii="Book Antiqua" w:hAnsi="Book Antiqua" w:cs="Arial"/>
                <w:b/>
                <w:color w:val="000000"/>
              </w:rPr>
              <w:t xml:space="preserve"> Promulgated</w:t>
            </w:r>
          </w:p>
        </w:tc>
      </w:tr>
      <w:tr w:rsidR="00D22636" w:rsidRPr="008D40E3" w:rsidTr="008D40E3">
        <w:tc>
          <w:tcPr>
            <w:tcW w:w="6048" w:type="dxa"/>
            <w:shd w:val="clear" w:color="auto" w:fill="auto"/>
          </w:tcPr>
          <w:p w:rsidR="00D22636" w:rsidRPr="008D40E3" w:rsidRDefault="00D22636" w:rsidP="008D40E3">
            <w:pPr>
              <w:jc w:val="both"/>
              <w:rPr>
                <w:rFonts w:ascii="Book Antiqua" w:hAnsi="Book Antiqua" w:cs="Arial"/>
                <w:b/>
              </w:rPr>
            </w:pPr>
            <w:r w:rsidRPr="008D40E3">
              <w:rPr>
                <w:rFonts w:ascii="Book Antiqua" w:hAnsi="Book Antiqua" w:cs="Arial"/>
                <w:b/>
              </w:rPr>
              <w:t xml:space="preserve">On </w:t>
            </w:r>
            <w:r w:rsidR="00DA6026" w:rsidRPr="008D40E3">
              <w:rPr>
                <w:rFonts w:ascii="Book Antiqua" w:hAnsi="Book Antiqua" w:cs="Arial"/>
                <w:b/>
              </w:rPr>
              <w:t xml:space="preserve">19 June 2018 </w:t>
            </w:r>
          </w:p>
        </w:tc>
        <w:tc>
          <w:tcPr>
            <w:tcW w:w="3960" w:type="dxa"/>
            <w:shd w:val="clear" w:color="auto" w:fill="auto"/>
          </w:tcPr>
          <w:p w:rsidR="00D22636" w:rsidRPr="008D40E3" w:rsidRDefault="00B5665B" w:rsidP="008D40E3">
            <w:pPr>
              <w:jc w:val="both"/>
              <w:rPr>
                <w:rFonts w:ascii="Book Antiqua" w:hAnsi="Book Antiqua" w:cs="Arial"/>
                <w:b/>
              </w:rPr>
            </w:pPr>
            <w:r>
              <w:rPr>
                <w:rFonts w:ascii="Book Antiqua" w:hAnsi="Book Antiqua" w:cs="Arial"/>
                <w:b/>
              </w:rPr>
              <w:t>On 26 June 2018</w:t>
            </w: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846DE8" w:rsidRPr="001C5703" w:rsidRDefault="00846DE8" w:rsidP="00A15234">
      <w:pPr>
        <w:jc w:val="center"/>
        <w:rPr>
          <w:rFonts w:ascii="Book Antiqua" w:hAnsi="Book Antiqua" w:cs="Arial"/>
          <w:b/>
        </w:rPr>
      </w:pPr>
    </w:p>
    <w:p w:rsidR="004B71FD" w:rsidRDefault="00846DE8" w:rsidP="004B71FD">
      <w:pPr>
        <w:jc w:val="center"/>
        <w:rPr>
          <w:rFonts w:ascii="Book Antiqua" w:hAnsi="Book Antiqua" w:cs="Arial"/>
          <w:b/>
          <w:caps/>
        </w:rPr>
      </w:pPr>
      <w:r>
        <w:rPr>
          <w:rFonts w:ascii="Book Antiqua" w:hAnsi="Book Antiqua" w:cs="Arial"/>
          <w:b/>
          <w:caps/>
        </w:rPr>
        <w:t>the Secretary of State for the Home Department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846DE8" w:rsidRPr="001C5703" w:rsidRDefault="00846DE8" w:rsidP="00846DE8">
      <w:pPr>
        <w:jc w:val="center"/>
        <w:rPr>
          <w:rFonts w:ascii="Book Antiqua" w:hAnsi="Book Antiqua" w:cs="Arial"/>
          <w:b/>
        </w:rPr>
      </w:pPr>
    </w:p>
    <w:p w:rsidR="00846DE8" w:rsidRPr="001C5703" w:rsidRDefault="00846DE8" w:rsidP="00846DE8">
      <w:pPr>
        <w:jc w:val="center"/>
        <w:rPr>
          <w:rFonts w:ascii="Book Antiqua" w:hAnsi="Book Antiqua" w:cs="Arial"/>
          <w:b/>
          <w:caps/>
        </w:rPr>
      </w:pPr>
      <w:r>
        <w:rPr>
          <w:rFonts w:ascii="Book Antiqua" w:hAnsi="Book Antiqua" w:cs="Arial"/>
          <w:b/>
          <w:caps/>
        </w:rPr>
        <w:t>mr vijay kumar</w:t>
      </w:r>
    </w:p>
    <w:p w:rsidR="00DD5071" w:rsidRPr="001C5703" w:rsidRDefault="00846DE8" w:rsidP="00704B61">
      <w:pPr>
        <w:jc w:val="center"/>
        <w:rPr>
          <w:rFonts w:ascii="Book Antiqua" w:hAnsi="Book Antiqua" w:cs="Arial"/>
          <w:b/>
        </w:rPr>
      </w:pPr>
      <w:r w:rsidRPr="004B71FD">
        <w:rPr>
          <w:rFonts w:ascii="Book Antiqua" w:hAnsi="Book Antiqua" w:cs="Arial"/>
          <w:b/>
          <w:caps/>
        </w:rPr>
        <w:t xml:space="preserve">(ANONYMITY DIRECTION </w:t>
      </w:r>
      <w:r>
        <w:rPr>
          <w:rFonts w:ascii="Book Antiqua" w:hAnsi="Book Antiqua" w:cs="Arial"/>
          <w:b/>
          <w:caps/>
        </w:rPr>
        <w:t>not made</w:t>
      </w:r>
      <w:r w:rsidRPr="004B71FD">
        <w:rPr>
          <w:rFonts w:ascii="Book Antiqua" w:hAnsi="Book Antiqua" w:cs="Arial"/>
          <w:b/>
          <w:caps/>
        </w:rPr>
        <w: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DA6026">
        <w:rPr>
          <w:rFonts w:ascii="Book Antiqua" w:hAnsi="Book Antiqua" w:cs="Arial"/>
        </w:rPr>
        <w:t>M</w:t>
      </w:r>
      <w:r w:rsidR="007171F9">
        <w:rPr>
          <w:rFonts w:ascii="Book Antiqua" w:hAnsi="Book Antiqua" w:cs="Arial"/>
        </w:rPr>
        <w:t>is</w:t>
      </w:r>
      <w:r w:rsidR="00DA6026">
        <w:rPr>
          <w:rFonts w:ascii="Book Antiqua" w:hAnsi="Book Antiqua" w:cs="Arial"/>
        </w:rPr>
        <w:t xml:space="preserve">s Z Ahmad </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DA6026">
        <w:rPr>
          <w:rFonts w:ascii="Book Antiqua" w:hAnsi="Book Antiqua" w:cs="Arial"/>
        </w:rPr>
        <w:t xml:space="preserve">Mr T Lay of Counsel instructed by Abbott Solicitors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402B9E" w:rsidRPr="001C5703" w:rsidRDefault="00402B9E" w:rsidP="00402B9E">
      <w:pPr>
        <w:tabs>
          <w:tab w:val="left" w:pos="2520"/>
        </w:tabs>
        <w:jc w:val="both"/>
        <w:rPr>
          <w:rFonts w:ascii="Book Antiqua" w:hAnsi="Book Antiqua" w:cs="Arial"/>
        </w:rPr>
      </w:pPr>
    </w:p>
    <w:p w:rsidR="00BF23BB" w:rsidRDefault="00F52DA1" w:rsidP="00BF23BB">
      <w:pPr>
        <w:tabs>
          <w:tab w:val="left" w:pos="567"/>
        </w:tabs>
        <w:ind w:left="567" w:hanging="567"/>
        <w:jc w:val="both"/>
        <w:rPr>
          <w:rFonts w:ascii="Book Antiqua" w:hAnsi="Book Antiqua" w:cs="Arial"/>
        </w:rPr>
      </w:pPr>
      <w:r>
        <w:rPr>
          <w:rFonts w:ascii="Book Antiqua" w:hAnsi="Book Antiqua" w:cs="Arial"/>
        </w:rPr>
        <w:t>1</w:t>
      </w:r>
      <w:r w:rsidR="00402B9E" w:rsidRPr="001C5703">
        <w:rPr>
          <w:rFonts w:ascii="Book Antiqua" w:hAnsi="Book Antiqua" w:cs="Arial"/>
        </w:rPr>
        <w:t>.</w:t>
      </w:r>
      <w:r w:rsidR="00402B9E" w:rsidRPr="001C5703">
        <w:rPr>
          <w:rFonts w:ascii="Book Antiqua" w:hAnsi="Book Antiqua" w:cs="Arial"/>
        </w:rPr>
        <w:tab/>
      </w:r>
      <w:r w:rsidR="00846DE8">
        <w:rPr>
          <w:rFonts w:ascii="Book Antiqua" w:hAnsi="Book Antiqua" w:cs="Arial"/>
        </w:rPr>
        <w:t xml:space="preserve">This is the appeal of the Entry Clearance Officer but I will refer to the original appellant, a citizen of </w:t>
      </w:r>
      <w:smartTag w:uri="urn:schemas-microsoft-com:office:smarttags" w:element="place">
        <w:smartTag w:uri="urn:schemas-microsoft-com:office:smarttags" w:element="country-region">
          <w:r w:rsidR="00846DE8">
            <w:rPr>
              <w:rFonts w:ascii="Book Antiqua" w:hAnsi="Book Antiqua" w:cs="Arial"/>
            </w:rPr>
            <w:t>India</w:t>
          </w:r>
        </w:smartTag>
      </w:smartTag>
      <w:r w:rsidR="00846DE8">
        <w:rPr>
          <w:rFonts w:ascii="Book Antiqua" w:hAnsi="Book Antiqua" w:cs="Arial"/>
        </w:rPr>
        <w:t xml:space="preserve"> born on 28 September 1988, as the appellant herein.  </w:t>
      </w:r>
    </w:p>
    <w:p w:rsidR="00846DE8" w:rsidRDefault="00846DE8" w:rsidP="00BF23BB">
      <w:pPr>
        <w:tabs>
          <w:tab w:val="left" w:pos="567"/>
        </w:tabs>
        <w:ind w:left="567" w:hanging="567"/>
        <w:jc w:val="both"/>
        <w:rPr>
          <w:rFonts w:ascii="Book Antiqua" w:hAnsi="Book Antiqua" w:cs="Arial"/>
        </w:rPr>
      </w:pPr>
    </w:p>
    <w:p w:rsidR="00846DE8" w:rsidRDefault="00F52DA1" w:rsidP="00BF23BB">
      <w:pPr>
        <w:tabs>
          <w:tab w:val="left" w:pos="567"/>
        </w:tabs>
        <w:ind w:left="567" w:hanging="567"/>
        <w:jc w:val="both"/>
        <w:rPr>
          <w:rFonts w:ascii="Book Antiqua" w:hAnsi="Book Antiqua" w:cs="Arial"/>
        </w:rPr>
      </w:pPr>
      <w:r>
        <w:rPr>
          <w:rFonts w:ascii="Book Antiqua" w:hAnsi="Book Antiqua" w:cs="Arial"/>
        </w:rPr>
        <w:t>2</w:t>
      </w:r>
      <w:r w:rsidR="00846DE8">
        <w:rPr>
          <w:rFonts w:ascii="Book Antiqua" w:hAnsi="Book Antiqua" w:cs="Arial"/>
        </w:rPr>
        <w:t>.</w:t>
      </w:r>
      <w:r w:rsidR="00846DE8">
        <w:rPr>
          <w:rFonts w:ascii="Book Antiqua" w:hAnsi="Book Antiqua" w:cs="Arial"/>
        </w:rPr>
        <w:tab/>
        <w:t xml:space="preserve">The appellant applied for an entry clearance to join his wife, </w:t>
      </w:r>
      <w:r w:rsidR="00CA0F56">
        <w:rPr>
          <w:rFonts w:ascii="Book Antiqua" w:hAnsi="Book Antiqua" w:cs="Arial"/>
        </w:rPr>
        <w:t xml:space="preserve">the sponsor, in the </w:t>
      </w:r>
      <w:smartTag w:uri="urn:schemas-microsoft-com:office:smarttags" w:element="place">
        <w:smartTag w:uri="urn:schemas-microsoft-com:office:smarttags" w:element="country-region">
          <w:r w:rsidR="00CA0F56">
            <w:rPr>
              <w:rFonts w:ascii="Book Antiqua" w:hAnsi="Book Antiqua" w:cs="Arial"/>
            </w:rPr>
            <w:t>United Kingdom</w:t>
          </w:r>
        </w:smartTag>
      </w:smartTag>
      <w:r w:rsidR="00CA0F56">
        <w:rPr>
          <w:rFonts w:ascii="Book Antiqua" w:hAnsi="Book Antiqua" w:cs="Arial"/>
        </w:rPr>
        <w:t xml:space="preserve">.  The application was refused on 9 August 2016 on the basis that the </w:t>
      </w:r>
      <w:r w:rsidR="00CA0F56">
        <w:rPr>
          <w:rFonts w:ascii="Book Antiqua" w:hAnsi="Book Antiqua" w:cs="Arial"/>
        </w:rPr>
        <w:lastRenderedPageBreak/>
        <w:t xml:space="preserve">appellant’s income fell below the £18,600.00 required.  It was not a case where evidential flexibility </w:t>
      </w:r>
      <w:r w:rsidR="003772DD">
        <w:rPr>
          <w:rFonts w:ascii="Book Antiqua" w:hAnsi="Book Antiqua" w:cs="Arial"/>
        </w:rPr>
        <w:t xml:space="preserve">could be applied.  The appellant’s sponsor’s gross annual income was </w:t>
      </w:r>
      <w:r w:rsidR="006F72DB">
        <w:rPr>
          <w:rFonts w:ascii="Book Antiqua" w:hAnsi="Book Antiqua" w:cs="Arial"/>
        </w:rPr>
        <w:t>insufficient</w:t>
      </w:r>
      <w:r w:rsidR="003772DD">
        <w:rPr>
          <w:rFonts w:ascii="Book Antiqua" w:hAnsi="Book Antiqua" w:cs="Arial"/>
        </w:rPr>
        <w:t xml:space="preserve"> to meet the £18,600.00 requirement.  The decision was confirmed by the Entry Clearance Manager on 1 February 2017.  It was noted that the sponsor appeared to have two employers (Beebys Limited and APT Care Ltd) to the end of April 2016.  As the application had been submitted on 25 July 2016 the relevant </w:t>
      </w:r>
      <w:proofErr w:type="gramStart"/>
      <w:r w:rsidR="003772DD">
        <w:rPr>
          <w:rFonts w:ascii="Book Antiqua" w:hAnsi="Book Antiqua" w:cs="Arial"/>
        </w:rPr>
        <w:t>six month</w:t>
      </w:r>
      <w:proofErr w:type="gramEnd"/>
      <w:r w:rsidR="003772DD">
        <w:rPr>
          <w:rFonts w:ascii="Book Antiqua" w:hAnsi="Book Antiqua" w:cs="Arial"/>
        </w:rPr>
        <w:t xml:space="preserve"> period for the provision of evidence was January to June 2016.  While payslips and corresponding bank statements had been submitted, no employer letter for either employment had been submitted.  The sponsor had appeared to have taken employment with Marble Commercial Contracting but again no employer letter had been submitted and employer letters were specified evidence.  Any breach of the appellant’s human rights was proportionate.  There were no exceptional circumstances.</w:t>
      </w:r>
    </w:p>
    <w:p w:rsidR="003772DD" w:rsidRDefault="003772DD" w:rsidP="00BF23BB">
      <w:pPr>
        <w:tabs>
          <w:tab w:val="left" w:pos="567"/>
        </w:tabs>
        <w:ind w:left="567" w:hanging="567"/>
        <w:jc w:val="both"/>
        <w:rPr>
          <w:rFonts w:ascii="Book Antiqua" w:hAnsi="Book Antiqua" w:cs="Arial"/>
        </w:rPr>
      </w:pPr>
    </w:p>
    <w:p w:rsidR="003772DD" w:rsidRDefault="00F52DA1" w:rsidP="00BF23BB">
      <w:pPr>
        <w:tabs>
          <w:tab w:val="left" w:pos="567"/>
        </w:tabs>
        <w:ind w:left="567" w:hanging="567"/>
        <w:jc w:val="both"/>
        <w:rPr>
          <w:rFonts w:ascii="Book Antiqua" w:hAnsi="Book Antiqua" w:cs="Arial"/>
        </w:rPr>
      </w:pPr>
      <w:r>
        <w:rPr>
          <w:rFonts w:ascii="Book Antiqua" w:hAnsi="Book Antiqua" w:cs="Arial"/>
        </w:rPr>
        <w:t>3</w:t>
      </w:r>
      <w:r w:rsidR="003772DD">
        <w:rPr>
          <w:rFonts w:ascii="Book Antiqua" w:hAnsi="Book Antiqua" w:cs="Arial"/>
        </w:rPr>
        <w:t>.</w:t>
      </w:r>
      <w:r w:rsidR="003772DD">
        <w:rPr>
          <w:rFonts w:ascii="Book Antiqua" w:hAnsi="Book Antiqua" w:cs="Arial"/>
        </w:rPr>
        <w:tab/>
      </w:r>
      <w:r w:rsidR="00CE2248">
        <w:rPr>
          <w:rFonts w:ascii="Book Antiqua" w:hAnsi="Book Antiqua" w:cs="Arial"/>
        </w:rPr>
        <w:t>The appellant’s appeal came before a First-tier Judge on 10 October</w:t>
      </w:r>
      <w:r w:rsidR="00044226">
        <w:rPr>
          <w:rFonts w:ascii="Book Antiqua" w:hAnsi="Book Antiqua" w:cs="Arial"/>
        </w:rPr>
        <w:t xml:space="preserve"> 2017.  The judge had before her</w:t>
      </w:r>
      <w:r w:rsidR="00CE2248">
        <w:rPr>
          <w:rFonts w:ascii="Book Antiqua" w:hAnsi="Book Antiqua" w:cs="Arial"/>
        </w:rPr>
        <w:t xml:space="preserve"> letters from employers confi</w:t>
      </w:r>
      <w:r w:rsidR="00AC086C">
        <w:rPr>
          <w:rFonts w:ascii="Book Antiqua" w:hAnsi="Book Antiqua" w:cs="Arial"/>
        </w:rPr>
        <w:t xml:space="preserve">rming the sponsor’s employment </w:t>
      </w:r>
      <w:r w:rsidR="00044226">
        <w:rPr>
          <w:rFonts w:ascii="Book Antiqua" w:hAnsi="Book Antiqua" w:cs="Arial"/>
        </w:rPr>
        <w:t>which generated</w:t>
      </w:r>
      <w:r w:rsidR="00CE2248">
        <w:rPr>
          <w:rFonts w:ascii="Book Antiqua" w:hAnsi="Book Antiqua" w:cs="Arial"/>
        </w:rPr>
        <w:t xml:space="preserve"> a gross income of £15,400.06 from APT Care Ltd and £10,444.65 from Beebys Limited.  The judge had the benefit of payslips, bank statements and P60s to substantiate the claim and letters had been supplied from both employers to confirm the sponsor’s employment.  The case proceeded on the basis of submissions.  The Presenting Officer was Miss Akhtar. </w:t>
      </w:r>
    </w:p>
    <w:p w:rsidR="00CE2248" w:rsidRDefault="00CE2248" w:rsidP="00BF23BB">
      <w:pPr>
        <w:tabs>
          <w:tab w:val="left" w:pos="567"/>
        </w:tabs>
        <w:ind w:left="567" w:hanging="567"/>
        <w:jc w:val="both"/>
        <w:rPr>
          <w:rFonts w:ascii="Book Antiqua" w:hAnsi="Book Antiqua" w:cs="Arial"/>
        </w:rPr>
      </w:pPr>
    </w:p>
    <w:p w:rsidR="00CE2248" w:rsidRDefault="00F52DA1" w:rsidP="00BF23BB">
      <w:pPr>
        <w:tabs>
          <w:tab w:val="left" w:pos="567"/>
        </w:tabs>
        <w:ind w:left="567" w:hanging="567"/>
        <w:jc w:val="both"/>
        <w:rPr>
          <w:rFonts w:ascii="Book Antiqua" w:hAnsi="Book Antiqua" w:cs="Arial"/>
        </w:rPr>
      </w:pPr>
      <w:r>
        <w:rPr>
          <w:rFonts w:ascii="Book Antiqua" w:hAnsi="Book Antiqua" w:cs="Arial"/>
        </w:rPr>
        <w:t>4</w:t>
      </w:r>
      <w:r w:rsidR="00CE2248">
        <w:rPr>
          <w:rFonts w:ascii="Book Antiqua" w:hAnsi="Book Antiqua" w:cs="Arial"/>
        </w:rPr>
        <w:t>.</w:t>
      </w:r>
      <w:r w:rsidR="00CE2248">
        <w:rPr>
          <w:rFonts w:ascii="Book Antiqua" w:hAnsi="Book Antiqua" w:cs="Arial"/>
        </w:rPr>
        <w:tab/>
        <w:t>The judge’s conclusions were as follows:</w:t>
      </w:r>
    </w:p>
    <w:p w:rsidR="00CE2248" w:rsidRDefault="00CE2248" w:rsidP="00BF23BB">
      <w:pPr>
        <w:tabs>
          <w:tab w:val="left" w:pos="567"/>
        </w:tabs>
        <w:ind w:left="567" w:hanging="567"/>
        <w:jc w:val="both"/>
        <w:rPr>
          <w:rFonts w:ascii="Book Antiqua" w:hAnsi="Book Antiqua" w:cs="Arial"/>
        </w:rPr>
      </w:pPr>
    </w:p>
    <w:p w:rsidR="00CE2248" w:rsidRDefault="00CE2248" w:rsidP="00CE2248">
      <w:pPr>
        <w:ind w:left="1701" w:hanging="567"/>
        <w:jc w:val="both"/>
        <w:rPr>
          <w:rFonts w:ascii="Book Antiqua" w:hAnsi="Book Antiqua" w:cs="Arial"/>
        </w:rPr>
      </w:pPr>
      <w:r>
        <w:rPr>
          <w:rFonts w:ascii="Book Antiqua" w:hAnsi="Book Antiqua" w:cs="Arial"/>
        </w:rPr>
        <w:t>“14.</w:t>
      </w:r>
      <w:r>
        <w:rPr>
          <w:rFonts w:ascii="Book Antiqua" w:hAnsi="Book Antiqua" w:cs="Arial"/>
        </w:rPr>
        <w:tab/>
        <w:t xml:space="preserve">I have seen evidence </w:t>
      </w:r>
      <w:r w:rsidR="006F72DB">
        <w:rPr>
          <w:rFonts w:ascii="Book Antiqua" w:hAnsi="Book Antiqua" w:cs="Arial"/>
        </w:rPr>
        <w:t>that the sponsor was indeed earning over and above the necessary amount to meet the financial requirements under the Rules.  I have also seen letters from her employers confirming her employment.  As conceded by Miss Akhtar, the only reason that the appellant did not meet the Rules was because those letters did not contain 2 pieces of necessary information, namely the type of employment and her annual salary.  In every other aspect, it is not disputed that the appellant meets the criteria under the Rules.</w:t>
      </w:r>
    </w:p>
    <w:p w:rsidR="00CE2248" w:rsidRDefault="00CE2248" w:rsidP="00CE2248">
      <w:pPr>
        <w:ind w:left="1701" w:hanging="567"/>
        <w:jc w:val="both"/>
        <w:rPr>
          <w:rFonts w:ascii="Book Antiqua" w:hAnsi="Book Antiqua" w:cs="Arial"/>
        </w:rPr>
      </w:pPr>
    </w:p>
    <w:p w:rsidR="00CE2248" w:rsidRDefault="00CE2248" w:rsidP="00CE2248">
      <w:pPr>
        <w:ind w:left="1701" w:hanging="567"/>
        <w:jc w:val="both"/>
        <w:rPr>
          <w:rFonts w:ascii="Book Antiqua" w:hAnsi="Book Antiqua" w:cs="Arial"/>
        </w:rPr>
      </w:pPr>
      <w:r>
        <w:rPr>
          <w:rFonts w:ascii="Book Antiqua" w:hAnsi="Book Antiqua" w:cs="Arial"/>
        </w:rPr>
        <w:t>15.</w:t>
      </w:r>
      <w:r>
        <w:rPr>
          <w:rFonts w:ascii="Book Antiqua" w:hAnsi="Book Antiqua" w:cs="Arial"/>
        </w:rPr>
        <w:tab/>
      </w:r>
      <w:r w:rsidR="006F72DB">
        <w:rPr>
          <w:rFonts w:ascii="Book Antiqua" w:hAnsi="Book Antiqua" w:cs="Arial"/>
        </w:rPr>
        <w:t>There is no dispute in this case that the relationship is genuine and subsisting and that family life exists between the appellant and his wife and children.  The real issue for me to determine is whether the refusal decision is proportionate to the need for effective immigration control.  In carrying out this balancing act, I have taken into account the fact that the appellant meets the Rules in all essential aspects, save for the mandatory details as set out above.</w:t>
      </w:r>
    </w:p>
    <w:p w:rsidR="00CE2248" w:rsidRDefault="00CE2248" w:rsidP="00CE2248">
      <w:pPr>
        <w:ind w:left="1701" w:hanging="567"/>
        <w:jc w:val="both"/>
        <w:rPr>
          <w:rFonts w:ascii="Book Antiqua" w:hAnsi="Book Antiqua" w:cs="Arial"/>
        </w:rPr>
      </w:pPr>
    </w:p>
    <w:p w:rsidR="00CE2248" w:rsidRDefault="00CE2248" w:rsidP="00CE2248">
      <w:pPr>
        <w:ind w:left="1701" w:hanging="567"/>
        <w:jc w:val="both"/>
        <w:rPr>
          <w:rFonts w:ascii="Book Antiqua" w:hAnsi="Book Antiqua" w:cs="Arial"/>
        </w:rPr>
      </w:pPr>
      <w:r>
        <w:rPr>
          <w:rFonts w:ascii="Book Antiqua" w:hAnsi="Book Antiqua" w:cs="Arial"/>
        </w:rPr>
        <w:t>16.</w:t>
      </w:r>
      <w:r>
        <w:rPr>
          <w:rFonts w:ascii="Book Antiqua" w:hAnsi="Book Antiqua" w:cs="Arial"/>
        </w:rPr>
        <w:tab/>
      </w:r>
      <w:r w:rsidR="006F72DB">
        <w:rPr>
          <w:rFonts w:ascii="Book Antiqua" w:hAnsi="Book Antiqua" w:cs="Arial"/>
        </w:rPr>
        <w:t xml:space="preserve">I have regard to the statutory considerations in section 117B and I note that there are no statutory considerations which indicate that it is indeed in the public interest to refuse the application.  Whilst the appellant does not meet the Rules and could not be permitted to enter under the prohibited ‘near miss’ principle, I do take into account the fact that if he were to make a </w:t>
      </w:r>
      <w:r w:rsidR="006F72DB">
        <w:rPr>
          <w:rFonts w:ascii="Book Antiqua" w:hAnsi="Book Antiqua" w:cs="Arial"/>
        </w:rPr>
        <w:lastRenderedPageBreak/>
        <w:t xml:space="preserve">further application, this would be almost guaranteed to be granted.  I find therefore that this is a situation as foreseen by </w:t>
      </w:r>
      <w:r w:rsidR="006F72DB" w:rsidRPr="00F52DA1">
        <w:rPr>
          <w:rFonts w:ascii="Book Antiqua" w:hAnsi="Book Antiqua" w:cs="Arial"/>
          <w:b/>
        </w:rPr>
        <w:t>Chikwamba</w:t>
      </w:r>
      <w:r w:rsidR="006F72DB">
        <w:rPr>
          <w:rFonts w:ascii="Book Antiqua" w:hAnsi="Book Antiqua" w:cs="Arial"/>
        </w:rPr>
        <w:t xml:space="preserve"> and affirmed in </w:t>
      </w:r>
      <w:r w:rsidR="006F72DB" w:rsidRPr="00F52DA1">
        <w:rPr>
          <w:rFonts w:ascii="Book Antiqua" w:hAnsi="Book Antiqua" w:cs="Arial"/>
          <w:b/>
        </w:rPr>
        <w:t>R (on the applicati</w:t>
      </w:r>
      <w:r w:rsidR="00AC086C">
        <w:rPr>
          <w:rFonts w:ascii="Book Antiqua" w:hAnsi="Book Antiqua" w:cs="Arial"/>
          <w:b/>
        </w:rPr>
        <w:t xml:space="preserve">on of </w:t>
      </w:r>
      <w:proofErr w:type="spellStart"/>
      <w:r w:rsidR="00AC086C">
        <w:rPr>
          <w:rFonts w:ascii="Book Antiqua" w:hAnsi="Book Antiqua" w:cs="Arial"/>
          <w:b/>
        </w:rPr>
        <w:t>Agyarko</w:t>
      </w:r>
      <w:proofErr w:type="spellEnd"/>
      <w:r w:rsidR="00AC086C">
        <w:rPr>
          <w:rFonts w:ascii="Book Antiqua" w:hAnsi="Book Antiqua" w:cs="Arial"/>
          <w:b/>
        </w:rPr>
        <w:t xml:space="preserve"> and </w:t>
      </w:r>
      <w:proofErr w:type="spellStart"/>
      <w:r w:rsidR="00AC086C">
        <w:rPr>
          <w:rFonts w:ascii="Book Antiqua" w:hAnsi="Book Antiqua" w:cs="Arial"/>
          <w:b/>
        </w:rPr>
        <w:t>Ikuga</w:t>
      </w:r>
      <w:proofErr w:type="spellEnd"/>
      <w:r w:rsidR="00AC086C">
        <w:rPr>
          <w:rFonts w:ascii="Book Antiqua" w:hAnsi="Book Antiqua" w:cs="Arial"/>
          <w:b/>
        </w:rPr>
        <w:t>) v SSHD</w:t>
      </w:r>
      <w:r w:rsidR="006F72DB" w:rsidRPr="00F52DA1">
        <w:rPr>
          <w:rFonts w:ascii="Book Antiqua" w:hAnsi="Book Antiqua" w:cs="Arial"/>
          <w:b/>
        </w:rPr>
        <w:t xml:space="preserve"> [2017] UKSC 11</w:t>
      </w:r>
      <w:r w:rsidR="006F72DB">
        <w:rPr>
          <w:rFonts w:ascii="Book Antiqua" w:hAnsi="Book Antiqua" w:cs="Arial"/>
        </w:rPr>
        <w:t>.  I find therefore that the decision is disproportionate and this appeal must succeed accordingly</w:t>
      </w:r>
      <w:r>
        <w:rPr>
          <w:rFonts w:ascii="Book Antiqua" w:hAnsi="Book Antiqua" w:cs="Arial"/>
        </w:rPr>
        <w:t>.”</w:t>
      </w:r>
    </w:p>
    <w:p w:rsidR="00CE2248" w:rsidRDefault="00CE2248" w:rsidP="00BF23BB">
      <w:pPr>
        <w:tabs>
          <w:tab w:val="left" w:pos="567"/>
        </w:tabs>
        <w:ind w:left="567" w:hanging="567"/>
        <w:jc w:val="both"/>
        <w:rPr>
          <w:rFonts w:ascii="Book Antiqua" w:hAnsi="Book Antiqua" w:cs="Arial"/>
        </w:rPr>
      </w:pPr>
    </w:p>
    <w:p w:rsidR="00CE2248" w:rsidRDefault="00CE2248" w:rsidP="00BF23BB">
      <w:pPr>
        <w:tabs>
          <w:tab w:val="left" w:pos="567"/>
        </w:tabs>
        <w:ind w:left="567" w:hanging="567"/>
        <w:jc w:val="both"/>
        <w:rPr>
          <w:rFonts w:ascii="Book Antiqua" w:hAnsi="Book Antiqua" w:cs="Arial"/>
        </w:rPr>
      </w:pPr>
      <w:r>
        <w:rPr>
          <w:rFonts w:ascii="Book Antiqua" w:hAnsi="Book Antiqua" w:cs="Arial"/>
        </w:rPr>
        <w:tab/>
      </w:r>
      <w:r w:rsidR="007B6E4F">
        <w:rPr>
          <w:rFonts w:ascii="Book Antiqua" w:hAnsi="Book Antiqua" w:cs="Arial"/>
        </w:rPr>
        <w:t>The judge accordingly allowed the appeal on human rights grounds.</w:t>
      </w:r>
    </w:p>
    <w:p w:rsidR="007B6E4F" w:rsidRDefault="007B6E4F" w:rsidP="00BF23BB">
      <w:pPr>
        <w:tabs>
          <w:tab w:val="left" w:pos="567"/>
        </w:tabs>
        <w:ind w:left="567" w:hanging="567"/>
        <w:jc w:val="both"/>
        <w:rPr>
          <w:rFonts w:ascii="Book Antiqua" w:hAnsi="Book Antiqua" w:cs="Arial"/>
        </w:rPr>
      </w:pPr>
    </w:p>
    <w:p w:rsidR="007171F9" w:rsidRDefault="00F52DA1" w:rsidP="00BF23BB">
      <w:pPr>
        <w:tabs>
          <w:tab w:val="left" w:pos="567"/>
        </w:tabs>
        <w:ind w:left="567" w:hanging="567"/>
        <w:jc w:val="both"/>
        <w:rPr>
          <w:rFonts w:ascii="Book Antiqua" w:hAnsi="Book Antiqua" w:cs="Arial"/>
        </w:rPr>
      </w:pPr>
      <w:r>
        <w:rPr>
          <w:rFonts w:ascii="Book Antiqua" w:hAnsi="Book Antiqua" w:cs="Arial"/>
        </w:rPr>
        <w:t>5</w:t>
      </w:r>
      <w:r w:rsidR="007B6E4F">
        <w:rPr>
          <w:rFonts w:ascii="Book Antiqua" w:hAnsi="Book Antiqua" w:cs="Arial"/>
        </w:rPr>
        <w:t>.</w:t>
      </w:r>
      <w:r w:rsidR="007B6E4F">
        <w:rPr>
          <w:rFonts w:ascii="Book Antiqua" w:hAnsi="Book Antiqua" w:cs="Arial"/>
        </w:rPr>
        <w:tab/>
        <w:t xml:space="preserve">The Entry Clearance Officer applied for permission to appeal.  The letters did not contain mandatory specified evidence and the concerns of the Entry Clearance Officer had not been addressed.  It was not guaranteed that a further application would be accepted.  Reliance was placed on </w:t>
      </w:r>
      <w:r w:rsidR="007B6E4F" w:rsidRPr="007B6E4F">
        <w:rPr>
          <w:rFonts w:ascii="Book Antiqua" w:hAnsi="Book Antiqua" w:cs="Arial"/>
          <w:b/>
          <w:u w:val="single"/>
        </w:rPr>
        <w:t>SS</w:t>
      </w:r>
      <w:r w:rsidR="007B6E4F" w:rsidRPr="007B6E4F">
        <w:rPr>
          <w:rFonts w:ascii="Book Antiqua" w:hAnsi="Book Antiqua" w:cs="Arial"/>
          <w:b/>
        </w:rPr>
        <w:t xml:space="preserve"> (</w:t>
      </w:r>
      <w:smartTag w:uri="urn:schemas-microsoft-com:office:smarttags" w:element="country-region">
        <w:smartTag w:uri="urn:schemas-microsoft-com:office:smarttags" w:element="place">
          <w:r w:rsidR="007B6E4F" w:rsidRPr="007B6E4F">
            <w:rPr>
              <w:rFonts w:ascii="Book Antiqua" w:hAnsi="Book Antiqua" w:cs="Arial"/>
              <w:b/>
            </w:rPr>
            <w:t>Congo</w:t>
          </w:r>
        </w:smartTag>
      </w:smartTag>
      <w:r w:rsidR="007B6E4F" w:rsidRPr="007B6E4F">
        <w:rPr>
          <w:rFonts w:ascii="Book Antiqua" w:hAnsi="Book Antiqua" w:cs="Arial"/>
          <w:b/>
        </w:rPr>
        <w:t>) [2017] UKSC 10</w:t>
      </w:r>
      <w:r w:rsidR="007B6E4F">
        <w:rPr>
          <w:rFonts w:ascii="Book Antiqua" w:hAnsi="Book Antiqua" w:cs="Arial"/>
        </w:rPr>
        <w:t xml:space="preserve"> at paragraph 83.  The income figure of </w:t>
      </w:r>
      <w:r w:rsidR="007171F9">
        <w:rPr>
          <w:rFonts w:ascii="Book Antiqua" w:hAnsi="Book Antiqua" w:cs="Arial"/>
        </w:rPr>
        <w:t>£18,600.00 had been arrived at following work by the Migration Advisory Committee.  The Committee had arrived at an income figure:</w:t>
      </w:r>
    </w:p>
    <w:p w:rsidR="007171F9" w:rsidRDefault="007171F9" w:rsidP="00BF23BB">
      <w:pPr>
        <w:tabs>
          <w:tab w:val="left" w:pos="567"/>
        </w:tabs>
        <w:ind w:left="567" w:hanging="567"/>
        <w:jc w:val="both"/>
        <w:rPr>
          <w:rFonts w:ascii="Book Antiqua" w:hAnsi="Book Antiqua" w:cs="Arial"/>
        </w:rPr>
      </w:pPr>
    </w:p>
    <w:p w:rsidR="007B6E4F" w:rsidRDefault="007171F9" w:rsidP="007171F9">
      <w:pPr>
        <w:ind w:left="1134" w:hanging="1134"/>
        <w:jc w:val="both"/>
        <w:rPr>
          <w:rFonts w:ascii="Book Antiqua" w:hAnsi="Book Antiqua" w:cs="Arial"/>
        </w:rPr>
      </w:pPr>
      <w:r>
        <w:rPr>
          <w:rFonts w:ascii="Book Antiqua" w:hAnsi="Book Antiqua" w:cs="Arial"/>
        </w:rPr>
        <w:tab/>
        <w:t>“</w:t>
      </w:r>
      <w:r w:rsidR="00C57656">
        <w:rPr>
          <w:rFonts w:ascii="Book Antiqua" w:hAnsi="Book Antiqua" w:cs="Arial"/>
        </w:rPr>
        <w:t xml:space="preserve">… </w:t>
      </w:r>
      <w:r>
        <w:rPr>
          <w:rFonts w:ascii="Book Antiqua" w:hAnsi="Book Antiqua" w:cs="Arial"/>
        </w:rPr>
        <w:t>above which the couple would not have any recourse to welfare benefits, including tax credits and housing benefits.  That being a legitimate aim, it is also not possible to say that a lesser threshold, and thus a less intrusive measure, should have been adopted ...”.</w:t>
      </w:r>
    </w:p>
    <w:p w:rsidR="007171F9" w:rsidRDefault="007171F9" w:rsidP="00BF23BB">
      <w:pPr>
        <w:tabs>
          <w:tab w:val="left" w:pos="567"/>
        </w:tabs>
        <w:ind w:left="567" w:hanging="567"/>
        <w:jc w:val="both"/>
        <w:rPr>
          <w:rFonts w:ascii="Book Antiqua" w:hAnsi="Book Antiqua" w:cs="Arial"/>
        </w:rPr>
      </w:pPr>
    </w:p>
    <w:p w:rsidR="007171F9" w:rsidRDefault="00F52DA1" w:rsidP="00BF23BB">
      <w:pPr>
        <w:tabs>
          <w:tab w:val="left" w:pos="567"/>
        </w:tabs>
        <w:ind w:left="567" w:hanging="567"/>
        <w:jc w:val="both"/>
        <w:rPr>
          <w:rFonts w:ascii="Book Antiqua" w:hAnsi="Book Antiqua" w:cs="Arial"/>
        </w:rPr>
      </w:pPr>
      <w:r>
        <w:rPr>
          <w:rFonts w:ascii="Book Antiqua" w:hAnsi="Book Antiqua" w:cs="Arial"/>
        </w:rPr>
        <w:t>6</w:t>
      </w:r>
      <w:r w:rsidR="007171F9">
        <w:rPr>
          <w:rFonts w:ascii="Book Antiqua" w:hAnsi="Book Antiqua" w:cs="Arial"/>
        </w:rPr>
        <w:t>.</w:t>
      </w:r>
      <w:r w:rsidR="007171F9">
        <w:rPr>
          <w:rFonts w:ascii="Book Antiqua" w:hAnsi="Book Antiqua" w:cs="Arial"/>
        </w:rPr>
        <w:tab/>
        <w:t xml:space="preserve">It was in the public interest that people seeking leave to enter the </w:t>
      </w:r>
      <w:smartTag w:uri="urn:schemas-microsoft-com:office:smarttags" w:element="place">
        <w:smartTag w:uri="urn:schemas-microsoft-com:office:smarttags" w:element="country-region">
          <w:r w:rsidR="007171F9">
            <w:rPr>
              <w:rFonts w:ascii="Book Antiqua" w:hAnsi="Book Antiqua" w:cs="Arial"/>
            </w:rPr>
            <w:t>UK</w:t>
          </w:r>
        </w:smartTag>
      </w:smartTag>
      <w:r w:rsidR="007171F9">
        <w:rPr>
          <w:rFonts w:ascii="Book Antiqua" w:hAnsi="Book Antiqua" w:cs="Arial"/>
        </w:rPr>
        <w:t xml:space="preserve"> were financially independent and </w:t>
      </w:r>
      <w:r w:rsidR="006F72DB">
        <w:rPr>
          <w:rFonts w:ascii="Book Antiqua" w:hAnsi="Book Antiqua" w:cs="Arial"/>
        </w:rPr>
        <w:t>reference</w:t>
      </w:r>
      <w:r w:rsidR="007171F9">
        <w:rPr>
          <w:rFonts w:ascii="Book Antiqua" w:hAnsi="Book Antiqua" w:cs="Arial"/>
        </w:rPr>
        <w:t xml:space="preserve"> was made to Section 117</w:t>
      </w:r>
      <w:proofErr w:type="gramStart"/>
      <w:r w:rsidR="007171F9">
        <w:rPr>
          <w:rFonts w:ascii="Book Antiqua" w:hAnsi="Book Antiqua" w:cs="Arial"/>
        </w:rPr>
        <w:t>B(</w:t>
      </w:r>
      <w:proofErr w:type="gramEnd"/>
      <w:r w:rsidR="007171F9">
        <w:rPr>
          <w:rFonts w:ascii="Book Antiqua" w:hAnsi="Book Antiqua" w:cs="Arial"/>
        </w:rPr>
        <w:t xml:space="preserve">1).  There were no exceptional compelling factors that would make the decision disproportionate.  Family life had been </w:t>
      </w:r>
      <w:r w:rsidR="006F72DB">
        <w:rPr>
          <w:rFonts w:ascii="Book Antiqua" w:hAnsi="Book Antiqua" w:cs="Arial"/>
        </w:rPr>
        <w:t>enjoyed</w:t>
      </w:r>
      <w:r w:rsidR="007171F9">
        <w:rPr>
          <w:rFonts w:ascii="Book Antiqua" w:hAnsi="Book Antiqua" w:cs="Arial"/>
        </w:rPr>
        <w:t xml:space="preserve"> at a distance and this could continue.  </w:t>
      </w:r>
    </w:p>
    <w:p w:rsidR="007171F9" w:rsidRDefault="007171F9" w:rsidP="00BF23BB">
      <w:pPr>
        <w:tabs>
          <w:tab w:val="left" w:pos="567"/>
        </w:tabs>
        <w:ind w:left="567" w:hanging="567"/>
        <w:jc w:val="both"/>
        <w:rPr>
          <w:rFonts w:ascii="Book Antiqua" w:hAnsi="Book Antiqua" w:cs="Arial"/>
        </w:rPr>
      </w:pPr>
    </w:p>
    <w:p w:rsidR="007171F9" w:rsidRDefault="00F52DA1" w:rsidP="00BF23BB">
      <w:pPr>
        <w:tabs>
          <w:tab w:val="left" w:pos="567"/>
        </w:tabs>
        <w:ind w:left="567" w:hanging="567"/>
        <w:jc w:val="both"/>
        <w:rPr>
          <w:rFonts w:ascii="Book Antiqua" w:hAnsi="Book Antiqua" w:cs="Arial"/>
        </w:rPr>
      </w:pPr>
      <w:r>
        <w:rPr>
          <w:rFonts w:ascii="Book Antiqua" w:hAnsi="Book Antiqua" w:cs="Arial"/>
        </w:rPr>
        <w:t>7</w:t>
      </w:r>
      <w:r w:rsidR="007171F9">
        <w:rPr>
          <w:rFonts w:ascii="Book Antiqua" w:hAnsi="Book Antiqua" w:cs="Arial"/>
        </w:rPr>
        <w:t>.</w:t>
      </w:r>
      <w:r w:rsidR="007171F9">
        <w:rPr>
          <w:rFonts w:ascii="Book Antiqua" w:hAnsi="Book Antiqua" w:cs="Arial"/>
        </w:rPr>
        <w:tab/>
      </w:r>
      <w:r w:rsidR="006F72DB">
        <w:rPr>
          <w:rFonts w:ascii="Book Antiqua" w:hAnsi="Book Antiqua" w:cs="Arial"/>
        </w:rPr>
        <w:t>Permission</w:t>
      </w:r>
      <w:r w:rsidR="007171F9">
        <w:rPr>
          <w:rFonts w:ascii="Book Antiqua" w:hAnsi="Book Antiqua" w:cs="Arial"/>
        </w:rPr>
        <w:t xml:space="preserve"> to appeal was granted by the First-tier Tribunal on the basis that it was arguable that the judge had ignored the financial burden that the appellant and his family might place upon the </w:t>
      </w:r>
      <w:smartTag w:uri="urn:schemas-microsoft-com:office:smarttags" w:element="place">
        <w:smartTag w:uri="urn:schemas-microsoft-com:office:smarttags" w:element="country-region">
          <w:r w:rsidR="007171F9">
            <w:rPr>
              <w:rFonts w:ascii="Book Antiqua" w:hAnsi="Book Antiqua" w:cs="Arial"/>
            </w:rPr>
            <w:t>UK</w:t>
          </w:r>
        </w:smartTag>
      </w:smartTag>
      <w:r w:rsidR="007171F9">
        <w:rPr>
          <w:rFonts w:ascii="Book Antiqua" w:hAnsi="Book Antiqua" w:cs="Arial"/>
        </w:rPr>
        <w:t xml:space="preserve"> and </w:t>
      </w:r>
      <w:r w:rsidR="006F72DB">
        <w:rPr>
          <w:rFonts w:ascii="Book Antiqua" w:hAnsi="Book Antiqua" w:cs="Arial"/>
        </w:rPr>
        <w:t>failed</w:t>
      </w:r>
      <w:r w:rsidR="007171F9">
        <w:rPr>
          <w:rFonts w:ascii="Book Antiqua" w:hAnsi="Book Antiqua" w:cs="Arial"/>
        </w:rPr>
        <w:t xml:space="preserve"> to properly consider the public interest in immigrants being self-financing.  </w:t>
      </w:r>
    </w:p>
    <w:p w:rsidR="007171F9" w:rsidRDefault="007171F9" w:rsidP="00BF23BB">
      <w:pPr>
        <w:tabs>
          <w:tab w:val="left" w:pos="567"/>
        </w:tabs>
        <w:ind w:left="567" w:hanging="567"/>
        <w:jc w:val="both"/>
        <w:rPr>
          <w:rFonts w:ascii="Book Antiqua" w:hAnsi="Book Antiqua" w:cs="Arial"/>
        </w:rPr>
      </w:pPr>
    </w:p>
    <w:p w:rsidR="007171F9" w:rsidRDefault="00F52DA1" w:rsidP="00BF23BB">
      <w:pPr>
        <w:tabs>
          <w:tab w:val="left" w:pos="567"/>
        </w:tabs>
        <w:ind w:left="567" w:hanging="567"/>
        <w:jc w:val="both"/>
        <w:rPr>
          <w:rFonts w:ascii="Book Antiqua" w:hAnsi="Book Antiqua" w:cs="Arial"/>
        </w:rPr>
      </w:pPr>
      <w:r>
        <w:rPr>
          <w:rFonts w:ascii="Book Antiqua" w:hAnsi="Book Antiqua" w:cs="Arial"/>
        </w:rPr>
        <w:t>8</w:t>
      </w:r>
      <w:r w:rsidR="007171F9">
        <w:rPr>
          <w:rFonts w:ascii="Book Antiqua" w:hAnsi="Book Antiqua" w:cs="Arial"/>
        </w:rPr>
        <w:t>.</w:t>
      </w:r>
      <w:r w:rsidR="007171F9">
        <w:rPr>
          <w:rFonts w:ascii="Book Antiqua" w:hAnsi="Book Antiqua" w:cs="Arial"/>
        </w:rPr>
        <w:tab/>
        <w:t xml:space="preserve">At the hearing Miss Ahmad relied on </w:t>
      </w:r>
      <w:r w:rsidR="007171F9" w:rsidRPr="007171F9">
        <w:rPr>
          <w:rFonts w:ascii="Book Antiqua" w:hAnsi="Book Antiqua" w:cs="Arial"/>
          <w:b/>
          <w:u w:val="single"/>
        </w:rPr>
        <w:t>SS</w:t>
      </w:r>
      <w:r w:rsidR="007171F9" w:rsidRPr="007171F9">
        <w:rPr>
          <w:rFonts w:ascii="Book Antiqua" w:hAnsi="Book Antiqua" w:cs="Arial"/>
          <w:b/>
        </w:rPr>
        <w:t xml:space="preserve"> (</w:t>
      </w:r>
      <w:smartTag w:uri="urn:schemas-microsoft-com:office:smarttags" w:element="place">
        <w:smartTag w:uri="urn:schemas-microsoft-com:office:smarttags" w:element="country-region">
          <w:r w:rsidR="007171F9" w:rsidRPr="007171F9">
            <w:rPr>
              <w:rFonts w:ascii="Book Antiqua" w:hAnsi="Book Antiqua" w:cs="Arial"/>
              <w:b/>
            </w:rPr>
            <w:t>Congo</w:t>
          </w:r>
        </w:smartTag>
      </w:smartTag>
      <w:r w:rsidR="007171F9" w:rsidRPr="007171F9">
        <w:rPr>
          <w:rFonts w:ascii="Book Antiqua" w:hAnsi="Book Antiqua" w:cs="Arial"/>
          <w:b/>
        </w:rPr>
        <w:t>) [2015] EWCA Civ 387</w:t>
      </w:r>
      <w:r w:rsidR="007171F9">
        <w:rPr>
          <w:rFonts w:ascii="Book Antiqua" w:hAnsi="Book Antiqua" w:cs="Arial"/>
        </w:rPr>
        <w:t xml:space="preserve"> at paragraphs 31 to 33.  The Tribunal was required to give the new Rules greater weight – they were not merely a starting point for the consideration of proportionality.  The Rules provided significant evidence about relevant public interest considerations.  </w:t>
      </w:r>
    </w:p>
    <w:p w:rsidR="007171F9" w:rsidRDefault="007171F9" w:rsidP="00BF23BB">
      <w:pPr>
        <w:tabs>
          <w:tab w:val="left" w:pos="567"/>
        </w:tabs>
        <w:ind w:left="567" w:hanging="567"/>
        <w:jc w:val="both"/>
        <w:rPr>
          <w:rFonts w:ascii="Book Antiqua" w:hAnsi="Book Antiqua" w:cs="Arial"/>
        </w:rPr>
      </w:pPr>
    </w:p>
    <w:p w:rsidR="007171F9" w:rsidRDefault="00F52DA1" w:rsidP="00BF23BB">
      <w:pPr>
        <w:tabs>
          <w:tab w:val="left" w:pos="567"/>
        </w:tabs>
        <w:ind w:left="567" w:hanging="567"/>
        <w:jc w:val="both"/>
        <w:rPr>
          <w:rFonts w:ascii="Book Antiqua" w:hAnsi="Book Antiqua" w:cs="Arial"/>
        </w:rPr>
      </w:pPr>
      <w:r>
        <w:rPr>
          <w:rFonts w:ascii="Book Antiqua" w:hAnsi="Book Antiqua" w:cs="Arial"/>
        </w:rPr>
        <w:t>9</w:t>
      </w:r>
      <w:r w:rsidR="007171F9">
        <w:rPr>
          <w:rFonts w:ascii="Book Antiqua" w:hAnsi="Book Antiqua" w:cs="Arial"/>
        </w:rPr>
        <w:t>.</w:t>
      </w:r>
      <w:r w:rsidR="007171F9">
        <w:rPr>
          <w:rFonts w:ascii="Book Antiqua" w:hAnsi="Book Antiqua" w:cs="Arial"/>
        </w:rPr>
        <w:tab/>
        <w:t xml:space="preserve">Miss Ahmad submitted that at paragraph 15 the judge had accepted that the appellant could not meet the Rules.  </w:t>
      </w:r>
      <w:r w:rsidR="00612AEA">
        <w:rPr>
          <w:rFonts w:ascii="Book Antiqua" w:hAnsi="Book Antiqua" w:cs="Arial"/>
        </w:rPr>
        <w:t xml:space="preserve">In paragraph 16 the judge had considered Section 117B but this remained a powerful factor as emphasised in the grounds.  The judge had neglected to apply a two-stage approach.  Compelling circumstances needed to be demonstrated – I was referred to paragraph 51 of </w:t>
      </w:r>
      <w:r w:rsidR="00612AEA" w:rsidRPr="00612AEA">
        <w:rPr>
          <w:rFonts w:ascii="Book Antiqua" w:hAnsi="Book Antiqua" w:cs="Arial"/>
          <w:b/>
          <w:u w:val="single"/>
        </w:rPr>
        <w:t>SS</w:t>
      </w:r>
      <w:r w:rsidR="00612AEA" w:rsidRPr="00612AEA">
        <w:rPr>
          <w:rFonts w:ascii="Book Antiqua" w:hAnsi="Book Antiqua" w:cs="Arial"/>
          <w:b/>
        </w:rPr>
        <w:t xml:space="preserve"> (</w:t>
      </w:r>
      <w:smartTag w:uri="urn:schemas-microsoft-com:office:smarttags" w:element="country-region">
        <w:smartTag w:uri="urn:schemas-microsoft-com:office:smarttags" w:element="place">
          <w:r w:rsidR="00612AEA" w:rsidRPr="00612AEA">
            <w:rPr>
              <w:rFonts w:ascii="Book Antiqua" w:hAnsi="Book Antiqua" w:cs="Arial"/>
              <w:b/>
            </w:rPr>
            <w:t>Congo</w:t>
          </w:r>
        </w:smartTag>
      </w:smartTag>
      <w:r w:rsidR="00612AEA" w:rsidRPr="00612AEA">
        <w:rPr>
          <w:rFonts w:ascii="Book Antiqua" w:hAnsi="Book Antiqua" w:cs="Arial"/>
          <w:b/>
        </w:rPr>
        <w:t>)</w:t>
      </w:r>
      <w:r w:rsidR="00612AEA">
        <w:rPr>
          <w:rFonts w:ascii="Book Antiqua" w:hAnsi="Book Antiqua" w:cs="Arial"/>
        </w:rPr>
        <w:t xml:space="preserve">.  Family life could continue outside the </w:t>
      </w:r>
      <w:smartTag w:uri="urn:schemas-microsoft-com:office:smarttags" w:element="country-region">
        <w:smartTag w:uri="urn:schemas-microsoft-com:office:smarttags" w:element="place">
          <w:r w:rsidR="00612AEA">
            <w:rPr>
              <w:rFonts w:ascii="Book Antiqua" w:hAnsi="Book Antiqua" w:cs="Arial"/>
            </w:rPr>
            <w:t>UK</w:t>
          </w:r>
        </w:smartTag>
      </w:smartTag>
      <w:r w:rsidR="00612AEA">
        <w:rPr>
          <w:rFonts w:ascii="Book Antiqua" w:hAnsi="Book Antiqua" w:cs="Arial"/>
        </w:rPr>
        <w:t xml:space="preserve">.  Miss Ahmad also referred to </w:t>
      </w:r>
      <w:r w:rsidR="00612AEA" w:rsidRPr="00612AEA">
        <w:rPr>
          <w:rFonts w:ascii="Book Antiqua" w:hAnsi="Book Antiqua" w:cs="Arial"/>
          <w:b/>
          <w:u w:val="single"/>
        </w:rPr>
        <w:t>Chen v Secretary of State</w:t>
      </w:r>
      <w:r w:rsidR="00612AEA" w:rsidRPr="00612AEA">
        <w:rPr>
          <w:rFonts w:ascii="Book Antiqua" w:hAnsi="Book Antiqua" w:cs="Arial"/>
          <w:b/>
        </w:rPr>
        <w:t xml:space="preserve"> (Appendix FM – Chikwamba – temporary separation – proportionality) IJR [2015] UKUT 00189 (IAC)</w:t>
      </w:r>
      <w:r w:rsidR="00612AEA">
        <w:rPr>
          <w:rFonts w:ascii="Book Antiqua" w:hAnsi="Book Antiqua" w:cs="Arial"/>
        </w:rPr>
        <w:t xml:space="preserve">.  She referred me to paragraphs 39 and 36 where reference is made to </w:t>
      </w:r>
      <w:r w:rsidR="00612AEA" w:rsidRPr="00612AEA">
        <w:rPr>
          <w:rFonts w:ascii="Book Antiqua" w:hAnsi="Book Antiqua" w:cs="Arial"/>
          <w:b/>
          <w:u w:val="single"/>
        </w:rPr>
        <w:t>Chikwamba</w:t>
      </w:r>
      <w:r w:rsidR="00612AEA">
        <w:rPr>
          <w:rFonts w:ascii="Book Antiqua" w:hAnsi="Book Antiqua" w:cs="Arial"/>
        </w:rPr>
        <w:t xml:space="preserve">, although Miss Ahmad acknowledged that the judge had referred to </w:t>
      </w:r>
      <w:r w:rsidR="00612AEA" w:rsidRPr="00612AEA">
        <w:rPr>
          <w:rFonts w:ascii="Book Antiqua" w:hAnsi="Book Antiqua" w:cs="Arial"/>
          <w:b/>
          <w:u w:val="single"/>
        </w:rPr>
        <w:t>Chikwamba</w:t>
      </w:r>
      <w:r w:rsidR="00612AEA">
        <w:rPr>
          <w:rFonts w:ascii="Book Antiqua" w:hAnsi="Book Antiqua" w:cs="Arial"/>
        </w:rPr>
        <w:t>.</w:t>
      </w:r>
    </w:p>
    <w:p w:rsidR="00612AEA" w:rsidRDefault="00612AEA" w:rsidP="00BF23BB">
      <w:pPr>
        <w:tabs>
          <w:tab w:val="left" w:pos="567"/>
        </w:tabs>
        <w:ind w:left="567" w:hanging="567"/>
        <w:jc w:val="both"/>
        <w:rPr>
          <w:rFonts w:ascii="Book Antiqua" w:hAnsi="Book Antiqua" w:cs="Arial"/>
        </w:rPr>
      </w:pPr>
    </w:p>
    <w:p w:rsidR="00612AEA" w:rsidRDefault="00F52DA1" w:rsidP="00BF23BB">
      <w:pPr>
        <w:tabs>
          <w:tab w:val="left" w:pos="567"/>
        </w:tabs>
        <w:ind w:left="567" w:hanging="567"/>
        <w:jc w:val="both"/>
        <w:rPr>
          <w:rFonts w:ascii="Book Antiqua" w:hAnsi="Book Antiqua" w:cs="Arial"/>
        </w:rPr>
      </w:pPr>
      <w:r>
        <w:rPr>
          <w:rFonts w:ascii="Book Antiqua" w:hAnsi="Book Antiqua" w:cs="Arial"/>
        </w:rPr>
        <w:lastRenderedPageBreak/>
        <w:t>10</w:t>
      </w:r>
      <w:r w:rsidR="00612AEA">
        <w:rPr>
          <w:rFonts w:ascii="Book Antiqua" w:hAnsi="Book Antiqua" w:cs="Arial"/>
        </w:rPr>
        <w:t>.</w:t>
      </w:r>
      <w:r w:rsidR="00612AEA">
        <w:rPr>
          <w:rFonts w:ascii="Book Antiqua" w:hAnsi="Book Antiqua" w:cs="Arial"/>
        </w:rPr>
        <w:tab/>
        <w:t xml:space="preserve">Mr Lay relied on his skeleton argument rather than the response that had been filed.  He submitted there was a need for caution in considering the case law.  Reference was made to </w:t>
      </w:r>
      <w:r w:rsidR="00612AEA" w:rsidRPr="00612AEA">
        <w:rPr>
          <w:rFonts w:ascii="Book Antiqua" w:hAnsi="Book Antiqua" w:cs="Arial"/>
          <w:b/>
          <w:u w:val="single"/>
        </w:rPr>
        <w:t>MM</w:t>
      </w:r>
      <w:r w:rsidR="00612AEA" w:rsidRPr="00612AEA">
        <w:rPr>
          <w:rFonts w:ascii="Book Antiqua" w:hAnsi="Book Antiqua" w:cs="Arial"/>
          <w:b/>
        </w:rPr>
        <w:t xml:space="preserve"> (</w:t>
      </w:r>
      <w:smartTag w:uri="urn:schemas-microsoft-com:office:smarttags" w:element="country-region">
        <w:r w:rsidR="00612AEA" w:rsidRPr="00612AEA">
          <w:rPr>
            <w:rFonts w:ascii="Book Antiqua" w:hAnsi="Book Antiqua" w:cs="Arial"/>
            <w:b/>
          </w:rPr>
          <w:t>Lebanon</w:t>
        </w:r>
      </w:smartTag>
      <w:r w:rsidR="00612AEA" w:rsidRPr="00612AEA">
        <w:rPr>
          <w:rFonts w:ascii="Book Antiqua" w:hAnsi="Book Antiqua" w:cs="Arial"/>
          <w:b/>
        </w:rPr>
        <w:t>) [2017] UKSC 10</w:t>
      </w:r>
      <w:r w:rsidR="00612AEA">
        <w:rPr>
          <w:rFonts w:ascii="Book Antiqua" w:hAnsi="Book Antiqua" w:cs="Arial"/>
        </w:rPr>
        <w:t xml:space="preserve"> which had been referred to as </w:t>
      </w:r>
      <w:r w:rsidR="00612AEA" w:rsidRPr="00612AEA">
        <w:rPr>
          <w:rFonts w:ascii="Book Antiqua" w:hAnsi="Book Antiqua" w:cs="Arial"/>
          <w:b/>
          <w:u w:val="single"/>
        </w:rPr>
        <w:t>SS</w:t>
      </w:r>
      <w:r w:rsidR="00612AEA" w:rsidRPr="00612AEA">
        <w:rPr>
          <w:rFonts w:ascii="Book Antiqua" w:hAnsi="Book Antiqua" w:cs="Arial"/>
          <w:b/>
        </w:rPr>
        <w:t xml:space="preserve"> (</w:t>
      </w:r>
      <w:smartTag w:uri="urn:schemas-microsoft-com:office:smarttags" w:element="country-region">
        <w:smartTag w:uri="urn:schemas-microsoft-com:office:smarttags" w:element="place">
          <w:r w:rsidR="00612AEA" w:rsidRPr="00612AEA">
            <w:rPr>
              <w:rFonts w:ascii="Book Antiqua" w:hAnsi="Book Antiqua" w:cs="Arial"/>
              <w:b/>
            </w:rPr>
            <w:t>Congo</w:t>
          </w:r>
        </w:smartTag>
      </w:smartTag>
      <w:r w:rsidR="00612AEA" w:rsidRPr="00612AEA">
        <w:rPr>
          <w:rFonts w:ascii="Book Antiqua" w:hAnsi="Book Antiqua" w:cs="Arial"/>
          <w:b/>
        </w:rPr>
        <w:t>)</w:t>
      </w:r>
      <w:r w:rsidR="00612AEA">
        <w:rPr>
          <w:rFonts w:ascii="Book Antiqua" w:hAnsi="Book Antiqua" w:cs="Arial"/>
        </w:rPr>
        <w:t xml:space="preserve"> in the grounds.  I was referred to </w:t>
      </w:r>
      <w:r w:rsidR="00612AEA" w:rsidRPr="00612AEA">
        <w:rPr>
          <w:rFonts w:ascii="Book Antiqua" w:hAnsi="Book Antiqua" w:cs="Arial"/>
          <w:b/>
          <w:u w:val="single"/>
        </w:rPr>
        <w:t>TZ</w:t>
      </w:r>
      <w:r w:rsidR="00612AEA" w:rsidRPr="00612AEA">
        <w:rPr>
          <w:rFonts w:ascii="Book Antiqua" w:hAnsi="Book Antiqua" w:cs="Arial"/>
          <w:b/>
        </w:rPr>
        <w:t xml:space="preserve"> (</w:t>
      </w:r>
      <w:smartTag w:uri="urn:schemas-microsoft-com:office:smarttags" w:element="country-region">
        <w:smartTag w:uri="urn:schemas-microsoft-com:office:smarttags" w:element="place">
          <w:r w:rsidR="00612AEA" w:rsidRPr="00612AEA">
            <w:rPr>
              <w:rFonts w:ascii="Book Antiqua" w:hAnsi="Book Antiqua" w:cs="Arial"/>
              <w:b/>
            </w:rPr>
            <w:t>Pakistan</w:t>
          </w:r>
        </w:smartTag>
      </w:smartTag>
      <w:r w:rsidR="00612AEA" w:rsidRPr="00612AEA">
        <w:rPr>
          <w:rFonts w:ascii="Book Antiqua" w:hAnsi="Book Antiqua" w:cs="Arial"/>
          <w:b/>
        </w:rPr>
        <w:t>) [2018] EWCA Civ 1109</w:t>
      </w:r>
      <w:r w:rsidR="00612AEA">
        <w:rPr>
          <w:rFonts w:ascii="Book Antiqua" w:hAnsi="Book Antiqua" w:cs="Arial"/>
        </w:rPr>
        <w:t xml:space="preserve"> and </w:t>
      </w:r>
      <w:r w:rsidR="00612AEA" w:rsidRPr="00612AEA">
        <w:rPr>
          <w:rFonts w:ascii="Book Antiqua" w:hAnsi="Book Antiqua" w:cs="Arial"/>
          <w:b/>
          <w:u w:val="single"/>
        </w:rPr>
        <w:t>Mostafa</w:t>
      </w:r>
      <w:r w:rsidR="00612AEA" w:rsidRPr="00612AEA">
        <w:rPr>
          <w:rFonts w:ascii="Book Antiqua" w:hAnsi="Book Antiqua" w:cs="Arial"/>
          <w:b/>
        </w:rPr>
        <w:t xml:space="preserve"> (Article 8 in entry clearance) [2015] UKUT </w:t>
      </w:r>
      <w:r w:rsidR="00612AEA">
        <w:rPr>
          <w:rFonts w:ascii="Book Antiqua" w:hAnsi="Book Antiqua" w:cs="Arial"/>
          <w:b/>
        </w:rPr>
        <w:t>112 (IAC)</w:t>
      </w:r>
      <w:r w:rsidR="00612AEA">
        <w:rPr>
          <w:rFonts w:ascii="Book Antiqua" w:hAnsi="Book Antiqua" w:cs="Arial"/>
        </w:rPr>
        <w:t xml:space="preserve">.  The degree to which an appellant substantively met an Immigration Rule will be a weighty consideration in his or her favour in the proportionality assessment.  The weight to be given to the public interest was not static.  Counsel referred to paragraph 28 of </w:t>
      </w:r>
      <w:r w:rsidR="00612AEA" w:rsidRPr="00612AEA">
        <w:rPr>
          <w:rFonts w:ascii="Book Antiqua" w:hAnsi="Book Antiqua" w:cs="Arial"/>
          <w:b/>
          <w:u w:val="single"/>
        </w:rPr>
        <w:t>TZ</w:t>
      </w:r>
      <w:r w:rsidR="00612AEA" w:rsidRPr="00612AEA">
        <w:rPr>
          <w:rFonts w:ascii="Book Antiqua" w:hAnsi="Book Antiqua" w:cs="Arial"/>
          <w:b/>
        </w:rPr>
        <w:t xml:space="preserve"> (</w:t>
      </w:r>
      <w:smartTag w:uri="urn:schemas-microsoft-com:office:smarttags" w:element="country-region">
        <w:smartTag w:uri="urn:schemas-microsoft-com:office:smarttags" w:element="place">
          <w:r w:rsidR="00612AEA" w:rsidRPr="00612AEA">
            <w:rPr>
              <w:rFonts w:ascii="Book Antiqua" w:hAnsi="Book Antiqua" w:cs="Arial"/>
              <w:b/>
            </w:rPr>
            <w:t>Pakistan</w:t>
          </w:r>
        </w:smartTag>
      </w:smartTag>
      <w:r w:rsidR="00612AEA" w:rsidRPr="00612AEA">
        <w:rPr>
          <w:rFonts w:ascii="Book Antiqua" w:hAnsi="Book Antiqua" w:cs="Arial"/>
          <w:b/>
        </w:rPr>
        <w:t>)</w:t>
      </w:r>
      <w:r w:rsidR="00612AEA">
        <w:rPr>
          <w:rFonts w:ascii="Book Antiqua" w:hAnsi="Book Antiqua" w:cs="Arial"/>
        </w:rPr>
        <w:t xml:space="preserve">.  It was submitted that the approach taken by the First-tier Judge in paragraph 16 of her decision was correct.  It followed that the appellant had almost but not completely met the requirements of the Rules but had in any event met the substantive part of the Rule in that the sponsor had been found to earn £7,000.00 above the minimum income requirement.  The judge had noted in paragraph 16 that there were statutory considerations which indicated that it was indeed in the </w:t>
      </w:r>
      <w:r w:rsidR="006F72DB">
        <w:rPr>
          <w:rFonts w:ascii="Book Antiqua" w:hAnsi="Book Antiqua" w:cs="Arial"/>
        </w:rPr>
        <w:t>public</w:t>
      </w:r>
      <w:r w:rsidR="00612AEA">
        <w:rPr>
          <w:rFonts w:ascii="Book Antiqua" w:hAnsi="Book Antiqua" w:cs="Arial"/>
        </w:rPr>
        <w:t xml:space="preserve"> interest to refuse the application.  </w:t>
      </w:r>
      <w:r w:rsidR="006F72DB">
        <w:rPr>
          <w:rFonts w:ascii="Book Antiqua" w:hAnsi="Book Antiqua" w:cs="Arial"/>
        </w:rPr>
        <w:t>Although</w:t>
      </w:r>
      <w:r w:rsidR="00612AEA">
        <w:rPr>
          <w:rFonts w:ascii="Book Antiqua" w:hAnsi="Book Antiqua" w:cs="Arial"/>
        </w:rPr>
        <w:t xml:space="preserve"> the Entry Clearance Officer had referred to Section 117</w:t>
      </w:r>
      <w:proofErr w:type="gramStart"/>
      <w:r w:rsidR="00612AEA">
        <w:rPr>
          <w:rFonts w:ascii="Book Antiqua" w:hAnsi="Book Antiqua" w:cs="Arial"/>
        </w:rPr>
        <w:t>B(</w:t>
      </w:r>
      <w:proofErr w:type="gramEnd"/>
      <w:r w:rsidR="00612AEA">
        <w:rPr>
          <w:rFonts w:ascii="Book Antiqua" w:hAnsi="Book Antiqua" w:cs="Arial"/>
        </w:rPr>
        <w:t xml:space="preserve">1) and the maintenance of effective immigration controls being in the </w:t>
      </w:r>
      <w:r w:rsidR="006F72DB">
        <w:rPr>
          <w:rFonts w:ascii="Book Antiqua" w:hAnsi="Book Antiqua" w:cs="Arial"/>
        </w:rPr>
        <w:t>public</w:t>
      </w:r>
      <w:r w:rsidR="00612AEA">
        <w:rPr>
          <w:rFonts w:ascii="Book Antiqua" w:hAnsi="Book Antiqua" w:cs="Arial"/>
        </w:rPr>
        <w:t xml:space="preserve"> interest there had been no respect in </w:t>
      </w:r>
      <w:r w:rsidR="006F72DB">
        <w:rPr>
          <w:rFonts w:ascii="Book Antiqua" w:hAnsi="Book Antiqua" w:cs="Arial"/>
        </w:rPr>
        <w:t>which</w:t>
      </w:r>
      <w:r w:rsidR="00612AEA">
        <w:rPr>
          <w:rFonts w:ascii="Book Antiqua" w:hAnsi="Book Antiqua" w:cs="Arial"/>
        </w:rPr>
        <w:t xml:space="preserve"> the appellant had </w:t>
      </w:r>
      <w:r w:rsidR="006F72DB">
        <w:rPr>
          <w:rFonts w:ascii="Book Antiqua" w:hAnsi="Book Antiqua" w:cs="Arial"/>
        </w:rPr>
        <w:t>sought</w:t>
      </w:r>
      <w:r w:rsidR="00612AEA">
        <w:rPr>
          <w:rFonts w:ascii="Book Antiqua" w:hAnsi="Book Antiqua" w:cs="Arial"/>
        </w:rPr>
        <w:t xml:space="preserve"> to undermine such controls.  He was not an overstayer and had no adverse immigration history.</w:t>
      </w:r>
    </w:p>
    <w:p w:rsidR="00612AEA" w:rsidRDefault="00612AEA" w:rsidP="00BF23BB">
      <w:pPr>
        <w:tabs>
          <w:tab w:val="left" w:pos="567"/>
        </w:tabs>
        <w:ind w:left="567" w:hanging="567"/>
        <w:jc w:val="both"/>
        <w:rPr>
          <w:rFonts w:ascii="Book Antiqua" w:hAnsi="Book Antiqua" w:cs="Arial"/>
        </w:rPr>
      </w:pPr>
    </w:p>
    <w:p w:rsidR="00612AEA" w:rsidRDefault="00F52DA1" w:rsidP="00BF23BB">
      <w:pPr>
        <w:tabs>
          <w:tab w:val="left" w:pos="567"/>
        </w:tabs>
        <w:ind w:left="567" w:hanging="567"/>
        <w:jc w:val="both"/>
        <w:rPr>
          <w:rFonts w:ascii="Book Antiqua" w:hAnsi="Book Antiqua" w:cs="Arial"/>
        </w:rPr>
      </w:pPr>
      <w:r>
        <w:rPr>
          <w:rFonts w:ascii="Book Antiqua" w:hAnsi="Book Antiqua" w:cs="Arial"/>
        </w:rPr>
        <w:t>11</w:t>
      </w:r>
      <w:r w:rsidR="00612AEA">
        <w:rPr>
          <w:rFonts w:ascii="Book Antiqua" w:hAnsi="Book Antiqua" w:cs="Arial"/>
        </w:rPr>
        <w:t>.</w:t>
      </w:r>
      <w:r w:rsidR="00612AEA">
        <w:rPr>
          <w:rFonts w:ascii="Book Antiqua" w:hAnsi="Book Antiqua" w:cs="Arial"/>
        </w:rPr>
        <w:tab/>
        <w:t xml:space="preserve">Reliance on paragraph 83 of </w:t>
      </w:r>
      <w:r w:rsidR="00612AEA" w:rsidRPr="00612AEA">
        <w:rPr>
          <w:rFonts w:ascii="Book Antiqua" w:hAnsi="Book Antiqua" w:cs="Arial"/>
          <w:b/>
          <w:u w:val="single"/>
        </w:rPr>
        <w:t>MM</w:t>
      </w:r>
      <w:r w:rsidR="00612AEA">
        <w:rPr>
          <w:rFonts w:ascii="Book Antiqua" w:hAnsi="Book Antiqua" w:cs="Arial"/>
        </w:rPr>
        <w:t xml:space="preserve"> in the grounds was misconceived.  In that case there had been a challenge to the minimum income requirement on judicial review.  </w:t>
      </w:r>
      <w:r w:rsidR="00D65C51">
        <w:rPr>
          <w:rFonts w:ascii="Book Antiqua" w:hAnsi="Book Antiqua" w:cs="Arial"/>
        </w:rPr>
        <w:t xml:space="preserve">While the general challenge to the principle and level of the MIR </w:t>
      </w:r>
      <w:r w:rsidR="006F72DB">
        <w:rPr>
          <w:rFonts w:ascii="Book Antiqua" w:hAnsi="Book Antiqua" w:cs="Arial"/>
        </w:rPr>
        <w:t>fail</w:t>
      </w:r>
      <w:r w:rsidR="00AC086C">
        <w:rPr>
          <w:rFonts w:ascii="Book Antiqua" w:hAnsi="Book Antiqua" w:cs="Arial"/>
        </w:rPr>
        <w:t>ed</w:t>
      </w:r>
      <w:r w:rsidR="00D65C51">
        <w:rPr>
          <w:rFonts w:ascii="Book Antiqua" w:hAnsi="Book Antiqua" w:cs="Arial"/>
        </w:rPr>
        <w:t xml:space="preserve">, the critical issue was whether entry clearance if refused outside the Rules also would disproportionately interfere with Article 8 rights.  The appellants in </w:t>
      </w:r>
      <w:r w:rsidR="00D65C51" w:rsidRPr="00D65C51">
        <w:rPr>
          <w:rFonts w:ascii="Book Antiqua" w:hAnsi="Book Antiqua" w:cs="Arial"/>
          <w:b/>
          <w:u w:val="single"/>
        </w:rPr>
        <w:t>MM</w:t>
      </w:r>
      <w:r w:rsidR="00D65C51">
        <w:rPr>
          <w:rFonts w:ascii="Book Antiqua" w:hAnsi="Book Antiqua" w:cs="Arial"/>
        </w:rPr>
        <w:t xml:space="preserve"> had in fact been successful.  The Supreme Court had found that the respondent’s guidance was unlawful in </w:t>
      </w:r>
      <w:r w:rsidR="006F72DB">
        <w:rPr>
          <w:rFonts w:ascii="Book Antiqua" w:hAnsi="Book Antiqua" w:cs="Arial"/>
        </w:rPr>
        <w:t>failing</w:t>
      </w:r>
      <w:r w:rsidR="00D65C51">
        <w:rPr>
          <w:rFonts w:ascii="Book Antiqua" w:hAnsi="Book Antiqua" w:cs="Arial"/>
        </w:rPr>
        <w:t xml:space="preserve"> to ensure that the best interests of children were taken </w:t>
      </w:r>
      <w:r w:rsidR="006F72DB">
        <w:rPr>
          <w:rFonts w:ascii="Book Antiqua" w:hAnsi="Book Antiqua" w:cs="Arial"/>
        </w:rPr>
        <w:t>into</w:t>
      </w:r>
      <w:r w:rsidR="00D65C51">
        <w:rPr>
          <w:rFonts w:ascii="Book Antiqua" w:hAnsi="Book Antiqua" w:cs="Arial"/>
        </w:rPr>
        <w:t xml:space="preserve"> </w:t>
      </w:r>
      <w:r w:rsidR="006F72DB">
        <w:rPr>
          <w:rFonts w:ascii="Book Antiqua" w:hAnsi="Book Antiqua" w:cs="Arial"/>
        </w:rPr>
        <w:t>account</w:t>
      </w:r>
      <w:r w:rsidR="00D65C51">
        <w:rPr>
          <w:rFonts w:ascii="Book Antiqua" w:hAnsi="Book Antiqua" w:cs="Arial"/>
        </w:rPr>
        <w:t xml:space="preserve"> in </w:t>
      </w:r>
      <w:r w:rsidR="00AC086C">
        <w:rPr>
          <w:rFonts w:ascii="Book Antiqua" w:hAnsi="Book Antiqua" w:cs="Arial"/>
        </w:rPr>
        <w:t>“</w:t>
      </w:r>
      <w:r w:rsidR="00D65C51">
        <w:rPr>
          <w:rFonts w:ascii="Book Antiqua" w:hAnsi="Book Antiqua" w:cs="Arial"/>
        </w:rPr>
        <w:t>outside the Rules</w:t>
      </w:r>
      <w:r w:rsidR="00AC086C">
        <w:rPr>
          <w:rFonts w:ascii="Book Antiqua" w:hAnsi="Book Antiqua" w:cs="Arial"/>
        </w:rPr>
        <w:t>”</w:t>
      </w:r>
      <w:r w:rsidR="00D65C51">
        <w:rPr>
          <w:rFonts w:ascii="Book Antiqua" w:hAnsi="Book Antiqua" w:cs="Arial"/>
        </w:rPr>
        <w:t xml:space="preserve"> decision making.  It was submitted in paragraph 23 of the skeleton argument that the only respect in which the First-tier Judge had failed to take into account a relevant consideration in the proportionality assessment was in not having regard to the appellant’s British citizen child.  The sponsor had in fact provided sufficient evidence of her earnings to prove that the substance of the MIR was met.  There was no financial burden on the taxpayer in this case.</w:t>
      </w:r>
    </w:p>
    <w:p w:rsidR="00D65C51" w:rsidRDefault="00D65C51" w:rsidP="00BF23BB">
      <w:pPr>
        <w:tabs>
          <w:tab w:val="left" w:pos="567"/>
        </w:tabs>
        <w:ind w:left="567" w:hanging="567"/>
        <w:jc w:val="both"/>
        <w:rPr>
          <w:rFonts w:ascii="Book Antiqua" w:hAnsi="Book Antiqua" w:cs="Arial"/>
        </w:rPr>
      </w:pPr>
    </w:p>
    <w:p w:rsidR="00D65C51" w:rsidRDefault="00F52DA1" w:rsidP="00BF23BB">
      <w:pPr>
        <w:tabs>
          <w:tab w:val="left" w:pos="567"/>
        </w:tabs>
        <w:ind w:left="567" w:hanging="567"/>
        <w:jc w:val="both"/>
        <w:rPr>
          <w:rFonts w:ascii="Book Antiqua" w:hAnsi="Book Antiqua" w:cs="Arial"/>
        </w:rPr>
      </w:pPr>
      <w:r>
        <w:rPr>
          <w:rFonts w:ascii="Book Antiqua" w:hAnsi="Book Antiqua" w:cs="Arial"/>
        </w:rPr>
        <w:t>12</w:t>
      </w:r>
      <w:r w:rsidR="00D65C51">
        <w:rPr>
          <w:rFonts w:ascii="Book Antiqua" w:hAnsi="Book Antiqua" w:cs="Arial"/>
        </w:rPr>
        <w:t>.</w:t>
      </w:r>
      <w:r w:rsidR="00D65C51">
        <w:rPr>
          <w:rFonts w:ascii="Book Antiqua" w:hAnsi="Book Antiqua" w:cs="Arial"/>
        </w:rPr>
        <w:tab/>
        <w:t xml:space="preserve">Miss Ahmad in reply submitted that the main argument was that the judge had failed to appreciate the test in </w:t>
      </w:r>
      <w:r w:rsidR="00D65C51" w:rsidRPr="00D65C51">
        <w:rPr>
          <w:rFonts w:ascii="Book Antiqua" w:hAnsi="Book Antiqua" w:cs="Arial"/>
          <w:b/>
          <w:u w:val="single"/>
        </w:rPr>
        <w:t>SS</w:t>
      </w:r>
      <w:r w:rsidR="00D65C51" w:rsidRPr="00D65C51">
        <w:rPr>
          <w:rFonts w:ascii="Book Antiqua" w:hAnsi="Book Antiqua" w:cs="Arial"/>
          <w:b/>
        </w:rPr>
        <w:t xml:space="preserve"> (</w:t>
      </w:r>
      <w:smartTag w:uri="urn:schemas-microsoft-com:office:smarttags" w:element="place">
        <w:smartTag w:uri="urn:schemas-microsoft-com:office:smarttags" w:element="country-region">
          <w:r w:rsidR="00D65C51" w:rsidRPr="00D65C51">
            <w:rPr>
              <w:rFonts w:ascii="Book Antiqua" w:hAnsi="Book Antiqua" w:cs="Arial"/>
              <w:b/>
            </w:rPr>
            <w:t>Congo</w:t>
          </w:r>
        </w:smartTag>
      </w:smartTag>
      <w:r w:rsidR="00D65C51" w:rsidRPr="00D65C51">
        <w:rPr>
          <w:rFonts w:ascii="Book Antiqua" w:hAnsi="Book Antiqua" w:cs="Arial"/>
          <w:b/>
        </w:rPr>
        <w:t>)</w:t>
      </w:r>
      <w:r w:rsidR="00D65C51">
        <w:rPr>
          <w:rFonts w:ascii="Book Antiqua" w:hAnsi="Book Antiqua" w:cs="Arial"/>
        </w:rPr>
        <w:t xml:space="preserve">.  The appellant failed to meet the requirements of the Rules.  She appreciated that the financial requirements had been met and accordingly was not relying on paragraph 83 of </w:t>
      </w:r>
      <w:r w:rsidR="00D65C51" w:rsidRPr="00D65C51">
        <w:rPr>
          <w:rFonts w:ascii="Book Antiqua" w:hAnsi="Book Antiqua" w:cs="Arial"/>
          <w:b/>
          <w:u w:val="single"/>
        </w:rPr>
        <w:t>MM</w:t>
      </w:r>
      <w:r w:rsidR="00D65C51" w:rsidRPr="00D65C51">
        <w:rPr>
          <w:rFonts w:ascii="Book Antiqua" w:hAnsi="Book Antiqua" w:cs="Arial"/>
          <w:b/>
        </w:rPr>
        <w:t xml:space="preserve"> (</w:t>
      </w:r>
      <w:smartTag w:uri="urn:schemas-microsoft-com:office:smarttags" w:element="place">
        <w:smartTag w:uri="urn:schemas-microsoft-com:office:smarttags" w:element="country-region">
          <w:r w:rsidR="00D65C51" w:rsidRPr="00D65C51">
            <w:rPr>
              <w:rFonts w:ascii="Book Antiqua" w:hAnsi="Book Antiqua" w:cs="Arial"/>
              <w:b/>
            </w:rPr>
            <w:t>Lebanon</w:t>
          </w:r>
        </w:smartTag>
      </w:smartTag>
      <w:r w:rsidR="00D65C51" w:rsidRPr="00D65C51">
        <w:rPr>
          <w:rFonts w:ascii="Book Antiqua" w:hAnsi="Book Antiqua" w:cs="Arial"/>
          <w:b/>
        </w:rPr>
        <w:t>)</w:t>
      </w:r>
      <w:r w:rsidR="00D65C51">
        <w:rPr>
          <w:rFonts w:ascii="Book Antiqua" w:hAnsi="Book Antiqua" w:cs="Arial"/>
        </w:rPr>
        <w:t xml:space="preserve">.  </w:t>
      </w:r>
    </w:p>
    <w:p w:rsidR="00D65C51" w:rsidRDefault="00D65C51" w:rsidP="00BF23BB">
      <w:pPr>
        <w:tabs>
          <w:tab w:val="left" w:pos="567"/>
        </w:tabs>
        <w:ind w:left="567" w:hanging="567"/>
        <w:jc w:val="both"/>
        <w:rPr>
          <w:rFonts w:ascii="Book Antiqua" w:hAnsi="Book Antiqua" w:cs="Arial"/>
        </w:rPr>
      </w:pPr>
    </w:p>
    <w:p w:rsidR="00D65C51" w:rsidRDefault="00F52DA1" w:rsidP="00BF23BB">
      <w:pPr>
        <w:tabs>
          <w:tab w:val="left" w:pos="567"/>
        </w:tabs>
        <w:ind w:left="567" w:hanging="567"/>
        <w:jc w:val="both"/>
        <w:rPr>
          <w:rFonts w:ascii="Book Antiqua" w:hAnsi="Book Antiqua" w:cs="Arial"/>
        </w:rPr>
      </w:pPr>
      <w:r>
        <w:rPr>
          <w:rFonts w:ascii="Book Antiqua" w:hAnsi="Book Antiqua" w:cs="Arial"/>
        </w:rPr>
        <w:t>13</w:t>
      </w:r>
      <w:r w:rsidR="00D65C51">
        <w:rPr>
          <w:rFonts w:ascii="Book Antiqua" w:hAnsi="Book Antiqua" w:cs="Arial"/>
        </w:rPr>
        <w:t>.</w:t>
      </w:r>
      <w:r w:rsidR="00D65C51">
        <w:rPr>
          <w:rFonts w:ascii="Book Antiqua" w:hAnsi="Book Antiqua" w:cs="Arial"/>
        </w:rPr>
        <w:tab/>
        <w:t xml:space="preserve">At the conclusion of the submissions I reserved my decision.  I can of course only interfere with the decision of the First-tier Judge if it was materially flawed in law.  </w:t>
      </w:r>
    </w:p>
    <w:p w:rsidR="00D65C51" w:rsidRDefault="00D65C51" w:rsidP="00BF23BB">
      <w:pPr>
        <w:tabs>
          <w:tab w:val="left" w:pos="567"/>
        </w:tabs>
        <w:ind w:left="567" w:hanging="567"/>
        <w:jc w:val="both"/>
        <w:rPr>
          <w:rFonts w:ascii="Book Antiqua" w:hAnsi="Book Antiqua" w:cs="Arial"/>
        </w:rPr>
      </w:pPr>
    </w:p>
    <w:p w:rsidR="00D65C51" w:rsidRDefault="00F52DA1" w:rsidP="00BF23BB">
      <w:pPr>
        <w:tabs>
          <w:tab w:val="left" w:pos="567"/>
        </w:tabs>
        <w:ind w:left="567" w:hanging="567"/>
        <w:jc w:val="both"/>
        <w:rPr>
          <w:rFonts w:ascii="Book Antiqua" w:hAnsi="Book Antiqua" w:cs="Arial"/>
        </w:rPr>
      </w:pPr>
      <w:r>
        <w:rPr>
          <w:rFonts w:ascii="Book Antiqua" w:hAnsi="Book Antiqua" w:cs="Arial"/>
        </w:rPr>
        <w:t>14</w:t>
      </w:r>
      <w:r w:rsidR="00D65C51">
        <w:rPr>
          <w:rFonts w:ascii="Book Antiqua" w:hAnsi="Book Antiqua" w:cs="Arial"/>
        </w:rPr>
        <w:t>.</w:t>
      </w:r>
      <w:r w:rsidR="00D65C51">
        <w:rPr>
          <w:rFonts w:ascii="Book Antiqua" w:hAnsi="Book Antiqua" w:cs="Arial"/>
        </w:rPr>
        <w:tab/>
        <w:t xml:space="preserve">The decision is a short one but no worse for that.  The case proceeded by way of submissions.  The judge noted </w:t>
      </w:r>
      <w:r w:rsidR="008C2EA6">
        <w:rPr>
          <w:rFonts w:ascii="Book Antiqua" w:hAnsi="Book Antiqua" w:cs="Arial"/>
        </w:rPr>
        <w:t xml:space="preserve">that as a human rights appeal was involved she had to consider the position as at the date of hearing.  The judge was plainly satisfied that the sponsor met the financial requirements of the Rules.  This was indeed conceded by the Presenting Officer.  The application letters failed to contain two pieces of required </w:t>
      </w:r>
      <w:r w:rsidR="008C2EA6">
        <w:rPr>
          <w:rFonts w:ascii="Book Antiqua" w:hAnsi="Book Antiqua" w:cs="Arial"/>
        </w:rPr>
        <w:lastRenderedPageBreak/>
        <w:t xml:space="preserve">information – the type of employment and annual salary.  It was not disputed that the appellant met the requirements of the Rules in every other aspect.  There was no dispute that the relationship was genuine and subsisting and that family life existed between the appellant, his wife and children.  In my view the judge correctly summarised the matter in paragraph 15 of her decision.  The judge did note that children were involved and this was plainly a relevant matter as Counsel points out following </w:t>
      </w:r>
      <w:r w:rsidR="008C2EA6" w:rsidRPr="008C2EA6">
        <w:rPr>
          <w:rFonts w:ascii="Book Antiqua" w:hAnsi="Book Antiqua" w:cs="Arial"/>
          <w:b/>
          <w:u w:val="single"/>
        </w:rPr>
        <w:t>MM</w:t>
      </w:r>
      <w:r w:rsidR="008C2EA6" w:rsidRPr="008C2EA6">
        <w:rPr>
          <w:rFonts w:ascii="Book Antiqua" w:hAnsi="Book Antiqua" w:cs="Arial"/>
          <w:b/>
        </w:rPr>
        <w:t xml:space="preserve"> (</w:t>
      </w:r>
      <w:smartTag w:uri="urn:schemas-microsoft-com:office:smarttags" w:element="place">
        <w:smartTag w:uri="urn:schemas-microsoft-com:office:smarttags" w:element="country-region">
          <w:r w:rsidR="008C2EA6" w:rsidRPr="008C2EA6">
            <w:rPr>
              <w:rFonts w:ascii="Book Antiqua" w:hAnsi="Book Antiqua" w:cs="Arial"/>
              <w:b/>
            </w:rPr>
            <w:t>Lebanon</w:t>
          </w:r>
        </w:smartTag>
      </w:smartTag>
      <w:r w:rsidR="008C2EA6" w:rsidRPr="008C2EA6">
        <w:rPr>
          <w:rFonts w:ascii="Book Antiqua" w:hAnsi="Book Antiqua" w:cs="Arial"/>
          <w:b/>
        </w:rPr>
        <w:t>)</w:t>
      </w:r>
      <w:r w:rsidR="008C2EA6">
        <w:rPr>
          <w:rFonts w:ascii="Book Antiqua" w:hAnsi="Book Antiqua" w:cs="Arial"/>
        </w:rPr>
        <w:t xml:space="preserve">.  I do not find that the judge erred in referring to </w:t>
      </w:r>
      <w:r w:rsidR="008C2EA6" w:rsidRPr="008C2EA6">
        <w:rPr>
          <w:rFonts w:ascii="Book Antiqua" w:hAnsi="Book Antiqua" w:cs="Arial"/>
          <w:b/>
          <w:u w:val="single"/>
        </w:rPr>
        <w:t>Chikwamba</w:t>
      </w:r>
      <w:r w:rsidR="008C2EA6">
        <w:rPr>
          <w:rFonts w:ascii="Book Antiqua" w:hAnsi="Book Antiqua" w:cs="Arial"/>
        </w:rPr>
        <w:t xml:space="preserve"> in paragraph 16.  </w:t>
      </w:r>
      <w:r w:rsidR="00B172EF">
        <w:rPr>
          <w:rFonts w:ascii="Book Antiqua" w:hAnsi="Book Antiqua" w:cs="Arial"/>
        </w:rPr>
        <w:t>She</w:t>
      </w:r>
      <w:r w:rsidR="006F72DB">
        <w:rPr>
          <w:rFonts w:ascii="Book Antiqua" w:hAnsi="Book Antiqua" w:cs="Arial"/>
        </w:rPr>
        <w:t xml:space="preserve"> does qualify the word “guaranteed” with the word “almost”.  Clearly public interest considerations are an important factor.  However, in this case it was expressly conceded that the appellant met all the relevant criteria under the Rules apart from the two evidential requirements.  Not only were the financial requirements met, but they were exceeded comfortably as Counsel points out.  </w:t>
      </w:r>
    </w:p>
    <w:p w:rsidR="006F72DB" w:rsidRDefault="006F72DB" w:rsidP="00BF23BB">
      <w:pPr>
        <w:tabs>
          <w:tab w:val="left" w:pos="567"/>
        </w:tabs>
        <w:ind w:left="567" w:hanging="567"/>
        <w:jc w:val="both"/>
        <w:rPr>
          <w:rFonts w:ascii="Book Antiqua" w:hAnsi="Book Antiqua" w:cs="Arial"/>
        </w:rPr>
      </w:pPr>
    </w:p>
    <w:p w:rsidR="006F72DB" w:rsidRDefault="00F52DA1" w:rsidP="00BF23BB">
      <w:pPr>
        <w:tabs>
          <w:tab w:val="left" w:pos="567"/>
        </w:tabs>
        <w:ind w:left="567" w:hanging="567"/>
        <w:jc w:val="both"/>
        <w:rPr>
          <w:rFonts w:ascii="Book Antiqua" w:hAnsi="Book Antiqua" w:cs="Arial"/>
        </w:rPr>
      </w:pPr>
      <w:r>
        <w:rPr>
          <w:rFonts w:ascii="Book Antiqua" w:hAnsi="Book Antiqua" w:cs="Arial"/>
        </w:rPr>
        <w:t>15</w:t>
      </w:r>
      <w:r w:rsidR="006F72DB">
        <w:rPr>
          <w:rFonts w:ascii="Book Antiqua" w:hAnsi="Book Antiqua" w:cs="Arial"/>
        </w:rPr>
        <w:t>.</w:t>
      </w:r>
      <w:r w:rsidR="006F72DB">
        <w:rPr>
          <w:rFonts w:ascii="Book Antiqua" w:hAnsi="Book Antiqua" w:cs="Arial"/>
        </w:rPr>
        <w:tab/>
        <w:t xml:space="preserve">Permission to appeal was granted on the basis that the judge had ignored the financial burden that might be placed upon the </w:t>
      </w:r>
      <w:smartTag w:uri="urn:schemas-microsoft-com:office:smarttags" w:element="place">
        <w:smartTag w:uri="urn:schemas-microsoft-com:office:smarttags" w:element="country-region">
          <w:r w:rsidR="006F72DB">
            <w:rPr>
              <w:rFonts w:ascii="Book Antiqua" w:hAnsi="Book Antiqua" w:cs="Arial"/>
            </w:rPr>
            <w:t>UK</w:t>
          </w:r>
        </w:smartTag>
      </w:smartTag>
      <w:r w:rsidR="006F72DB">
        <w:rPr>
          <w:rFonts w:ascii="Book Antiqua" w:hAnsi="Book Antiqua" w:cs="Arial"/>
        </w:rPr>
        <w:t xml:space="preserve">, but that is to misunderstand the position.  On the findings of the judge the sponsor had demonstrated compliance with the MIR and indeed on the judge’s assessment had been earning over and above the necessary amount.  </w:t>
      </w:r>
    </w:p>
    <w:p w:rsidR="006F72DB" w:rsidRDefault="006F72DB" w:rsidP="00BF23BB">
      <w:pPr>
        <w:tabs>
          <w:tab w:val="left" w:pos="567"/>
        </w:tabs>
        <w:ind w:left="567" w:hanging="567"/>
        <w:jc w:val="both"/>
        <w:rPr>
          <w:rFonts w:ascii="Book Antiqua" w:hAnsi="Book Antiqua" w:cs="Arial"/>
        </w:rPr>
      </w:pPr>
    </w:p>
    <w:p w:rsidR="006F72DB" w:rsidRDefault="00F52DA1" w:rsidP="00BF23BB">
      <w:pPr>
        <w:tabs>
          <w:tab w:val="left" w:pos="567"/>
        </w:tabs>
        <w:ind w:left="567" w:hanging="567"/>
        <w:jc w:val="both"/>
        <w:rPr>
          <w:rFonts w:ascii="Book Antiqua" w:hAnsi="Book Antiqua" w:cs="Arial"/>
        </w:rPr>
      </w:pPr>
      <w:r>
        <w:rPr>
          <w:rFonts w:ascii="Book Antiqua" w:hAnsi="Book Antiqua" w:cs="Arial"/>
        </w:rPr>
        <w:t>16</w:t>
      </w:r>
      <w:r w:rsidR="006F72DB">
        <w:rPr>
          <w:rFonts w:ascii="Book Antiqua" w:hAnsi="Book Antiqua" w:cs="Arial"/>
        </w:rPr>
        <w:t>.</w:t>
      </w:r>
      <w:r w:rsidR="006F72DB">
        <w:rPr>
          <w:rFonts w:ascii="Book Antiqua" w:hAnsi="Book Antiqua" w:cs="Arial"/>
        </w:rPr>
        <w:tab/>
        <w:t xml:space="preserve">While I have taken very careful account of the points made by Miss Ahmad, I am not satisfied that the judge materially erred in law for the reasons advanced by Counsel.  </w:t>
      </w:r>
      <w:proofErr w:type="gramStart"/>
      <w:r w:rsidR="006F72DB">
        <w:rPr>
          <w:rFonts w:ascii="Book Antiqua" w:hAnsi="Book Antiqua" w:cs="Arial"/>
        </w:rPr>
        <w:t>Accordingly</w:t>
      </w:r>
      <w:proofErr w:type="gramEnd"/>
      <w:r w:rsidR="006F72DB">
        <w:rPr>
          <w:rFonts w:ascii="Book Antiqua" w:hAnsi="Book Antiqua" w:cs="Arial"/>
        </w:rPr>
        <w:t xml:space="preserve"> the appeal by the Entry Clearance Officer is dismissed and the decision of the First-tier Judge to allow the appeal on human rights grounds is confirmed.</w:t>
      </w:r>
    </w:p>
    <w:p w:rsidR="006F72DB" w:rsidRDefault="006F72DB" w:rsidP="00BF23BB">
      <w:pPr>
        <w:tabs>
          <w:tab w:val="left" w:pos="567"/>
        </w:tabs>
        <w:ind w:left="567" w:hanging="567"/>
        <w:jc w:val="both"/>
        <w:rPr>
          <w:rFonts w:ascii="Book Antiqua" w:hAnsi="Book Antiqua" w:cs="Arial"/>
        </w:rPr>
      </w:pPr>
    </w:p>
    <w:p w:rsidR="006F72DB" w:rsidRDefault="00F52DA1" w:rsidP="00BF23BB">
      <w:pPr>
        <w:tabs>
          <w:tab w:val="left" w:pos="567"/>
        </w:tabs>
        <w:ind w:left="567" w:hanging="567"/>
        <w:jc w:val="both"/>
        <w:rPr>
          <w:rFonts w:ascii="Book Antiqua" w:hAnsi="Book Antiqua" w:cs="Arial"/>
        </w:rPr>
      </w:pPr>
      <w:r>
        <w:rPr>
          <w:rFonts w:ascii="Book Antiqua" w:hAnsi="Book Antiqua" w:cs="Arial"/>
        </w:rPr>
        <w:t>17</w:t>
      </w:r>
      <w:r w:rsidR="006F72DB">
        <w:rPr>
          <w:rFonts w:ascii="Book Antiqua" w:hAnsi="Book Antiqua" w:cs="Arial"/>
        </w:rPr>
        <w:t>.</w:t>
      </w:r>
      <w:r w:rsidR="006F72DB">
        <w:rPr>
          <w:rFonts w:ascii="Book Antiqua" w:hAnsi="Book Antiqua" w:cs="Arial"/>
        </w:rPr>
        <w:tab/>
        <w:t>The First-tier Judge made no anonymity direction and I make none.</w:t>
      </w:r>
    </w:p>
    <w:p w:rsidR="006F72DB" w:rsidRDefault="006F72DB" w:rsidP="00BF23BB">
      <w:pPr>
        <w:tabs>
          <w:tab w:val="left" w:pos="567"/>
        </w:tabs>
        <w:ind w:left="567" w:hanging="567"/>
        <w:jc w:val="both"/>
        <w:rPr>
          <w:rFonts w:ascii="Book Antiqua" w:hAnsi="Book Antiqua" w:cs="Arial"/>
        </w:rPr>
      </w:pPr>
    </w:p>
    <w:p w:rsidR="006F72DB" w:rsidRPr="00612AEA" w:rsidRDefault="00F52DA1" w:rsidP="00BF23BB">
      <w:pPr>
        <w:tabs>
          <w:tab w:val="left" w:pos="567"/>
        </w:tabs>
        <w:ind w:left="567" w:hanging="567"/>
        <w:jc w:val="both"/>
        <w:rPr>
          <w:rFonts w:ascii="Book Antiqua" w:hAnsi="Book Antiqua" w:cs="Arial"/>
        </w:rPr>
      </w:pPr>
      <w:r>
        <w:rPr>
          <w:rFonts w:ascii="Book Antiqua" w:hAnsi="Book Antiqua" w:cs="Arial"/>
        </w:rPr>
        <w:t>18</w:t>
      </w:r>
      <w:r w:rsidR="006F72DB">
        <w:rPr>
          <w:rFonts w:ascii="Book Antiqua" w:hAnsi="Book Antiqua" w:cs="Arial"/>
        </w:rPr>
        <w:t>.</w:t>
      </w:r>
      <w:r w:rsidR="006F72DB">
        <w:rPr>
          <w:rFonts w:ascii="Book Antiqua" w:hAnsi="Book Antiqua" w:cs="Arial"/>
        </w:rPr>
        <w:tab/>
        <w:t>The First-tier Judge made no fee award and I make none.</w:t>
      </w:r>
    </w:p>
    <w:p w:rsidR="004B71FD" w:rsidRDefault="004B71FD" w:rsidP="00BF23BB">
      <w:pPr>
        <w:tabs>
          <w:tab w:val="left" w:pos="567"/>
        </w:tabs>
        <w:ind w:left="567" w:hanging="567"/>
        <w:jc w:val="both"/>
        <w:rPr>
          <w:rFonts w:ascii="Book Antiqua" w:hAnsi="Book Antiqua" w:cs="Arial"/>
        </w:rPr>
      </w:pPr>
    </w:p>
    <w:p w:rsidR="004B71FD" w:rsidRPr="001C5703" w:rsidRDefault="004B71FD" w:rsidP="00BF23BB">
      <w:pPr>
        <w:tabs>
          <w:tab w:val="left" w:pos="567"/>
        </w:tabs>
        <w:ind w:left="567" w:hanging="567"/>
        <w:jc w:val="both"/>
        <w:rPr>
          <w:rFonts w:ascii="Book Antiqua" w:hAnsi="Book Antiqua" w:cs="Arial"/>
        </w:rPr>
      </w:pPr>
    </w:p>
    <w:p w:rsidR="001F2716" w:rsidRPr="001C5703" w:rsidRDefault="001F2716" w:rsidP="00780F86">
      <w:pPr>
        <w:ind w:left="540" w:hanging="540"/>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A509FA" w:rsidRPr="001C5703" w:rsidRDefault="00A509FA"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044226">
        <w:rPr>
          <w:rFonts w:ascii="Book Antiqua" w:hAnsi="Book Antiqua" w:cs="Arial"/>
        </w:rPr>
        <w:t xml:space="preserve"> </w:t>
      </w:r>
      <w:bookmarkStart w:id="1" w:name="_Hlk517369613"/>
      <w:r w:rsidR="00044226">
        <w:rPr>
          <w:rFonts w:ascii="Book Antiqua" w:hAnsi="Book Antiqua" w:cs="Arial"/>
        </w:rPr>
        <w:t>22 June 2018</w:t>
      </w:r>
      <w:bookmarkEnd w:id="1"/>
    </w:p>
    <w:p w:rsidR="001F2716" w:rsidRPr="001C5703" w:rsidRDefault="001F2716" w:rsidP="00402B9E">
      <w:pPr>
        <w:tabs>
          <w:tab w:val="left" w:pos="2520"/>
        </w:tabs>
        <w:ind w:left="540" w:hanging="540"/>
        <w:jc w:val="both"/>
        <w:rPr>
          <w:rFonts w:ascii="Book Antiqua" w:hAnsi="Book Antiqua" w:cs="Arial"/>
        </w:rPr>
      </w:pPr>
    </w:p>
    <w:p w:rsidR="001F2716" w:rsidRPr="001C5703" w:rsidRDefault="001F2716" w:rsidP="00402B9E">
      <w:pPr>
        <w:tabs>
          <w:tab w:val="left" w:pos="2520"/>
        </w:tabs>
        <w:ind w:left="540" w:hanging="540"/>
        <w:jc w:val="both"/>
        <w:rPr>
          <w:rFonts w:ascii="Book Antiqua" w:hAnsi="Book Antiqua" w:cs="Arial"/>
        </w:rPr>
      </w:pPr>
    </w:p>
    <w:p w:rsidR="00B95326" w:rsidRPr="001C5703" w:rsidRDefault="00044226" w:rsidP="00B5665B">
      <w:pPr>
        <w:tabs>
          <w:tab w:val="left" w:pos="2520"/>
        </w:tabs>
        <w:ind w:left="540" w:hanging="540"/>
        <w:rPr>
          <w:rFonts w:ascii="Book Antiqua" w:hAnsi="Book Antiqua" w:cs="Arial"/>
        </w:rPr>
      </w:pPr>
      <w:r>
        <w:rPr>
          <w:rFonts w:ascii="Book Antiqua" w:hAnsi="Book Antiqua" w:cs="Arial"/>
          <w:color w:val="000000"/>
        </w:rPr>
        <w:t xml:space="preserve">G Warr, Judge of the Upper Tribunal </w:t>
      </w:r>
    </w:p>
    <w:sectPr w:rsidR="00B95326" w:rsidRPr="001C5703"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FDD" w:rsidRDefault="00484FDD">
      <w:r>
        <w:separator/>
      </w:r>
    </w:p>
  </w:endnote>
  <w:endnote w:type="continuationSeparator" w:id="0">
    <w:p w:rsidR="00484FDD" w:rsidRDefault="00484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D26" w:rsidRPr="001C5703" w:rsidRDefault="00810D26"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070BEF">
      <w:rPr>
        <w:rStyle w:val="PageNumber"/>
        <w:rFonts w:ascii="Book Antiqua" w:hAnsi="Book Antiqua" w:cs="Arial"/>
        <w:noProof/>
        <w:sz w:val="16"/>
        <w:szCs w:val="16"/>
      </w:rPr>
      <w:t>5</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D26" w:rsidRPr="001C5703" w:rsidRDefault="00810D26"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FDD" w:rsidRDefault="00484FDD">
      <w:r>
        <w:separator/>
      </w:r>
    </w:p>
  </w:footnote>
  <w:footnote w:type="continuationSeparator" w:id="0">
    <w:p w:rsidR="00484FDD" w:rsidRDefault="00484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D26" w:rsidRPr="00DA6026" w:rsidRDefault="00810D26"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DA6026">
      <w:rPr>
        <w:rFonts w:ascii="Book Antiqua" w:hAnsi="Book Antiqua" w:cs="Arial"/>
        <w:sz w:val="16"/>
        <w:szCs w:val="16"/>
      </w:rPr>
      <w:t>HU/21163/2016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D26" w:rsidRPr="001C5703" w:rsidRDefault="00810D26">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4A2"/>
    <w:rsid w:val="00000621"/>
    <w:rsid w:val="000036C2"/>
    <w:rsid w:val="00033D3D"/>
    <w:rsid w:val="00044226"/>
    <w:rsid w:val="00062F02"/>
    <w:rsid w:val="00070BEF"/>
    <w:rsid w:val="00071A7E"/>
    <w:rsid w:val="000746C0"/>
    <w:rsid w:val="00074D1D"/>
    <w:rsid w:val="00092580"/>
    <w:rsid w:val="00093D4D"/>
    <w:rsid w:val="000C40AB"/>
    <w:rsid w:val="000D3F2F"/>
    <w:rsid w:val="000D5D94"/>
    <w:rsid w:val="000F1A0E"/>
    <w:rsid w:val="000F2591"/>
    <w:rsid w:val="000F30BD"/>
    <w:rsid w:val="0010335F"/>
    <w:rsid w:val="001165A7"/>
    <w:rsid w:val="001173BA"/>
    <w:rsid w:val="00167D3A"/>
    <w:rsid w:val="001731EE"/>
    <w:rsid w:val="00174A01"/>
    <w:rsid w:val="001970A9"/>
    <w:rsid w:val="001A3082"/>
    <w:rsid w:val="001B186A"/>
    <w:rsid w:val="001B2F75"/>
    <w:rsid w:val="001C5703"/>
    <w:rsid w:val="001F2716"/>
    <w:rsid w:val="00207617"/>
    <w:rsid w:val="0023134B"/>
    <w:rsid w:val="00283659"/>
    <w:rsid w:val="00284A9E"/>
    <w:rsid w:val="002A52EA"/>
    <w:rsid w:val="002C576E"/>
    <w:rsid w:val="002C6BD4"/>
    <w:rsid w:val="002D68BF"/>
    <w:rsid w:val="002F6B98"/>
    <w:rsid w:val="00333691"/>
    <w:rsid w:val="00336CBF"/>
    <w:rsid w:val="00343FE3"/>
    <w:rsid w:val="003543A1"/>
    <w:rsid w:val="003546C8"/>
    <w:rsid w:val="003772DD"/>
    <w:rsid w:val="003824D5"/>
    <w:rsid w:val="003A7CF2"/>
    <w:rsid w:val="003C5CE5"/>
    <w:rsid w:val="003E267B"/>
    <w:rsid w:val="003E7CD1"/>
    <w:rsid w:val="003F5CCC"/>
    <w:rsid w:val="00402B9E"/>
    <w:rsid w:val="004249CB"/>
    <w:rsid w:val="0044127D"/>
    <w:rsid w:val="004448DB"/>
    <w:rsid w:val="00446C9A"/>
    <w:rsid w:val="00452F2B"/>
    <w:rsid w:val="00477193"/>
    <w:rsid w:val="00484FDD"/>
    <w:rsid w:val="004A1848"/>
    <w:rsid w:val="004A6F4A"/>
    <w:rsid w:val="004B71FD"/>
    <w:rsid w:val="004D2CC3"/>
    <w:rsid w:val="004D643C"/>
    <w:rsid w:val="004E4717"/>
    <w:rsid w:val="004E5B3F"/>
    <w:rsid w:val="00500437"/>
    <w:rsid w:val="00507FEC"/>
    <w:rsid w:val="00510F0E"/>
    <w:rsid w:val="00520345"/>
    <w:rsid w:val="0052070D"/>
    <w:rsid w:val="005479E1"/>
    <w:rsid w:val="00553E0A"/>
    <w:rsid w:val="005570FD"/>
    <w:rsid w:val="005575EA"/>
    <w:rsid w:val="0057790C"/>
    <w:rsid w:val="00593795"/>
    <w:rsid w:val="005A75FF"/>
    <w:rsid w:val="005B1C60"/>
    <w:rsid w:val="005D10AB"/>
    <w:rsid w:val="00601D8F"/>
    <w:rsid w:val="00612AEA"/>
    <w:rsid w:val="006374A2"/>
    <w:rsid w:val="00653E97"/>
    <w:rsid w:val="00684A74"/>
    <w:rsid w:val="00690B8A"/>
    <w:rsid w:val="00692148"/>
    <w:rsid w:val="006D4B0B"/>
    <w:rsid w:val="006F2CF1"/>
    <w:rsid w:val="006F3DC0"/>
    <w:rsid w:val="006F72DB"/>
    <w:rsid w:val="007038ED"/>
    <w:rsid w:val="00703BC3"/>
    <w:rsid w:val="00704B61"/>
    <w:rsid w:val="0071607B"/>
    <w:rsid w:val="007171F9"/>
    <w:rsid w:val="007552A9"/>
    <w:rsid w:val="00761858"/>
    <w:rsid w:val="00767D59"/>
    <w:rsid w:val="00776E97"/>
    <w:rsid w:val="00780F86"/>
    <w:rsid w:val="00786821"/>
    <w:rsid w:val="007912AD"/>
    <w:rsid w:val="00791995"/>
    <w:rsid w:val="007B0824"/>
    <w:rsid w:val="007B5D3C"/>
    <w:rsid w:val="007B6E4F"/>
    <w:rsid w:val="007C56C3"/>
    <w:rsid w:val="00810D26"/>
    <w:rsid w:val="00821B72"/>
    <w:rsid w:val="00823B3F"/>
    <w:rsid w:val="00823EF2"/>
    <w:rsid w:val="00825DDF"/>
    <w:rsid w:val="008303B8"/>
    <w:rsid w:val="00833DCE"/>
    <w:rsid w:val="00846DE8"/>
    <w:rsid w:val="00871D34"/>
    <w:rsid w:val="008B0BE6"/>
    <w:rsid w:val="008B270C"/>
    <w:rsid w:val="008B5078"/>
    <w:rsid w:val="008C2EA6"/>
    <w:rsid w:val="008C3D3D"/>
    <w:rsid w:val="008D40E3"/>
    <w:rsid w:val="008D4131"/>
    <w:rsid w:val="008F1932"/>
    <w:rsid w:val="00904924"/>
    <w:rsid w:val="00921062"/>
    <w:rsid w:val="009405A9"/>
    <w:rsid w:val="009722BC"/>
    <w:rsid w:val="009727A3"/>
    <w:rsid w:val="00980E2C"/>
    <w:rsid w:val="00987774"/>
    <w:rsid w:val="009A0C11"/>
    <w:rsid w:val="009A11E8"/>
    <w:rsid w:val="009F5220"/>
    <w:rsid w:val="00A10174"/>
    <w:rsid w:val="00A15234"/>
    <w:rsid w:val="00A201AB"/>
    <w:rsid w:val="00A31C8B"/>
    <w:rsid w:val="00A40996"/>
    <w:rsid w:val="00A509FA"/>
    <w:rsid w:val="00A57B3D"/>
    <w:rsid w:val="00A72793"/>
    <w:rsid w:val="00A845DC"/>
    <w:rsid w:val="00A90A85"/>
    <w:rsid w:val="00AB384C"/>
    <w:rsid w:val="00AC086C"/>
    <w:rsid w:val="00AE7219"/>
    <w:rsid w:val="00B172EF"/>
    <w:rsid w:val="00B26AA2"/>
    <w:rsid w:val="00B31D78"/>
    <w:rsid w:val="00B3524D"/>
    <w:rsid w:val="00B40F69"/>
    <w:rsid w:val="00B46616"/>
    <w:rsid w:val="00B5665B"/>
    <w:rsid w:val="00B56B2E"/>
    <w:rsid w:val="00B7040A"/>
    <w:rsid w:val="00B81793"/>
    <w:rsid w:val="00B83391"/>
    <w:rsid w:val="00B95326"/>
    <w:rsid w:val="00BA3A97"/>
    <w:rsid w:val="00BD4196"/>
    <w:rsid w:val="00BF22CA"/>
    <w:rsid w:val="00BF23BB"/>
    <w:rsid w:val="00C26032"/>
    <w:rsid w:val="00C345E1"/>
    <w:rsid w:val="00C43BFD"/>
    <w:rsid w:val="00C55A3E"/>
    <w:rsid w:val="00C57656"/>
    <w:rsid w:val="00C91DD2"/>
    <w:rsid w:val="00CA0F56"/>
    <w:rsid w:val="00CB23C3"/>
    <w:rsid w:val="00CB6E35"/>
    <w:rsid w:val="00CE1A46"/>
    <w:rsid w:val="00CE2248"/>
    <w:rsid w:val="00D12953"/>
    <w:rsid w:val="00D20757"/>
    <w:rsid w:val="00D22636"/>
    <w:rsid w:val="00D40FD9"/>
    <w:rsid w:val="00D53769"/>
    <w:rsid w:val="00D635D3"/>
    <w:rsid w:val="00D64505"/>
    <w:rsid w:val="00D65C51"/>
    <w:rsid w:val="00D80E00"/>
    <w:rsid w:val="00D85C13"/>
    <w:rsid w:val="00D9111A"/>
    <w:rsid w:val="00D91BE3"/>
    <w:rsid w:val="00D94AFC"/>
    <w:rsid w:val="00DA6026"/>
    <w:rsid w:val="00DB70AE"/>
    <w:rsid w:val="00DD5071"/>
    <w:rsid w:val="00DD5C39"/>
    <w:rsid w:val="00DE7DB7"/>
    <w:rsid w:val="00E00A0A"/>
    <w:rsid w:val="00E066DE"/>
    <w:rsid w:val="00E07F57"/>
    <w:rsid w:val="00E30683"/>
    <w:rsid w:val="00E31524"/>
    <w:rsid w:val="00E33855"/>
    <w:rsid w:val="00E453D8"/>
    <w:rsid w:val="00E50BCE"/>
    <w:rsid w:val="00E574BF"/>
    <w:rsid w:val="00E61292"/>
    <w:rsid w:val="00E77C4D"/>
    <w:rsid w:val="00E81D01"/>
    <w:rsid w:val="00EE45D8"/>
    <w:rsid w:val="00F2036F"/>
    <w:rsid w:val="00F22EDA"/>
    <w:rsid w:val="00F52DA1"/>
    <w:rsid w:val="00F63C51"/>
    <w:rsid w:val="00F92CCC"/>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2443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2018-07-17T10:01:00Z</dcterms:created>
  <dcterms:modified xsi:type="dcterms:W3CDTF">2018-07-17T10:01:00Z</dcterms:modified>
</cp:coreProperties>
</file>