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A6059" w:rsidRPr="00F101B4" w:rsidRDefault="00C249FF" w:rsidP="008A6059">
      <w:pPr>
        <w:jc w:val="center"/>
        <w:rPr>
          <w:rFonts w:ascii="Book Antiqua" w:hAnsi="Book Antiqua" w:cs="Arial"/>
          <w:caps/>
          <w:color w:val="000000"/>
          <w:sz w:val="16"/>
          <w:szCs w:val="16"/>
        </w:rPr>
      </w:pPr>
      <w:r w:rsidRPr="00F101B4">
        <w:rPr>
          <w:noProof/>
          <w:sz w:val="16"/>
          <w:szCs w:val="16"/>
        </w:rPr>
        <w:drawing>
          <wp:inline distT="0" distB="0" distL="0" distR="0">
            <wp:extent cx="1049020" cy="9055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49020" cy="905510"/>
                    </a:xfrm>
                    <a:prstGeom prst="rect">
                      <a:avLst/>
                    </a:prstGeom>
                    <a:noFill/>
                    <a:ln>
                      <a:noFill/>
                    </a:ln>
                  </pic:spPr>
                </pic:pic>
              </a:graphicData>
            </a:graphic>
          </wp:inline>
        </w:drawing>
      </w:r>
    </w:p>
    <w:p w:rsidR="00F101B4" w:rsidRPr="00F101B4" w:rsidRDefault="00F101B4" w:rsidP="008A6059">
      <w:pPr>
        <w:jc w:val="center"/>
        <w:rPr>
          <w:rFonts w:ascii="Book Antiqua" w:hAnsi="Book Antiqua" w:cs="Arial"/>
          <w:caps/>
          <w:color w:val="000000"/>
          <w:sz w:val="16"/>
          <w:szCs w:val="16"/>
        </w:rPr>
      </w:pPr>
    </w:p>
    <w:p w:rsidR="008A6059" w:rsidRPr="009B7433" w:rsidRDefault="008A6059" w:rsidP="00780F86">
      <w:pPr>
        <w:tabs>
          <w:tab w:val="right" w:pos="9720"/>
        </w:tabs>
        <w:ind w:right="-82"/>
        <w:rPr>
          <w:rFonts w:ascii="Book Antiqua" w:hAnsi="Book Antiqua" w:cs="Arial"/>
          <w:b/>
          <w:color w:val="000000"/>
        </w:rPr>
      </w:pPr>
      <w:r w:rsidRPr="009B7433">
        <w:rPr>
          <w:rFonts w:ascii="Book Antiqua" w:hAnsi="Book Antiqua" w:cs="Arial"/>
          <w:b/>
          <w:color w:val="000000"/>
        </w:rPr>
        <w:t xml:space="preserve">Upper Tribunal </w:t>
      </w:r>
    </w:p>
    <w:p w:rsidR="007B0824" w:rsidRDefault="008A6059" w:rsidP="00780F86">
      <w:pPr>
        <w:tabs>
          <w:tab w:val="right" w:pos="9720"/>
        </w:tabs>
        <w:ind w:right="-82"/>
        <w:rPr>
          <w:rFonts w:ascii="Book Antiqua" w:hAnsi="Book Antiqua" w:cs="Arial"/>
          <w:caps/>
          <w:color w:val="000000"/>
        </w:rPr>
      </w:pPr>
      <w:r w:rsidRPr="009B7433">
        <w:rPr>
          <w:rFonts w:ascii="Book Antiqua" w:hAnsi="Book Antiqua" w:cs="Arial"/>
          <w:b/>
          <w:color w:val="000000"/>
        </w:rPr>
        <w:t>(Immigration and Asylum Chamber)</w:t>
      </w:r>
      <w:r w:rsidR="00DB70AE" w:rsidRPr="009B7433">
        <w:rPr>
          <w:rFonts w:ascii="Book Antiqua" w:hAnsi="Book Antiqua" w:cs="Arial"/>
          <w:b/>
          <w:color w:val="000000"/>
        </w:rPr>
        <w:tab/>
      </w:r>
      <w:r w:rsidR="00B3524D" w:rsidRPr="009B7433">
        <w:rPr>
          <w:rFonts w:ascii="Book Antiqua" w:hAnsi="Book Antiqua" w:cs="Arial"/>
          <w:color w:val="000000"/>
        </w:rPr>
        <w:t>Appeal Number</w:t>
      </w:r>
      <w:r w:rsidR="00F61AEF">
        <w:rPr>
          <w:rFonts w:ascii="Book Antiqua" w:hAnsi="Book Antiqua" w:cs="Arial"/>
          <w:color w:val="000000"/>
        </w:rPr>
        <w:t>s</w:t>
      </w:r>
      <w:r w:rsidR="00D53769" w:rsidRPr="009B7433">
        <w:rPr>
          <w:rFonts w:ascii="Book Antiqua" w:hAnsi="Book Antiqua" w:cs="Arial"/>
          <w:color w:val="000000"/>
        </w:rPr>
        <w:t>:</w:t>
      </w:r>
      <w:r w:rsidR="00B3524D" w:rsidRPr="009B7433">
        <w:rPr>
          <w:rFonts w:ascii="Book Antiqua" w:hAnsi="Book Antiqua" w:cs="Arial"/>
          <w:color w:val="000000"/>
        </w:rPr>
        <w:t xml:space="preserve"> </w:t>
      </w:r>
      <w:r w:rsidR="008B4493">
        <w:rPr>
          <w:rFonts w:ascii="Book Antiqua" w:hAnsi="Book Antiqua" w:cs="Arial"/>
          <w:color w:val="000000"/>
        </w:rPr>
        <w:t>HU</w:t>
      </w:r>
      <w:r w:rsidR="008B4493">
        <w:rPr>
          <w:rFonts w:ascii="Book Antiqua" w:hAnsi="Book Antiqua" w:cs="Arial"/>
          <w:caps/>
          <w:color w:val="000000"/>
        </w:rPr>
        <w:t>/21204</w:t>
      </w:r>
      <w:r w:rsidR="00403974">
        <w:rPr>
          <w:rFonts w:ascii="Book Antiqua" w:hAnsi="Book Antiqua" w:cs="Arial"/>
          <w:caps/>
          <w:color w:val="000000"/>
        </w:rPr>
        <w:t>/201</w:t>
      </w:r>
      <w:r w:rsidR="008B4493">
        <w:rPr>
          <w:rFonts w:ascii="Book Antiqua" w:hAnsi="Book Antiqua" w:cs="Arial"/>
          <w:caps/>
          <w:color w:val="000000"/>
        </w:rPr>
        <w:t>6</w:t>
      </w:r>
    </w:p>
    <w:p w:rsidR="008B4493" w:rsidRDefault="008B4493" w:rsidP="008B4493">
      <w:pPr>
        <w:tabs>
          <w:tab w:val="right" w:pos="9720"/>
        </w:tabs>
        <w:ind w:right="-82"/>
        <w:jc w:val="right"/>
        <w:rPr>
          <w:rFonts w:ascii="Book Antiqua" w:hAnsi="Book Antiqua" w:cs="Arial"/>
          <w:caps/>
          <w:color w:val="000000"/>
        </w:rPr>
      </w:pPr>
      <w:bookmarkStart w:id="0" w:name="_GoBack"/>
      <w:r>
        <w:rPr>
          <w:rFonts w:ascii="Book Antiqua" w:hAnsi="Book Antiqua" w:cs="Arial"/>
          <w:caps/>
          <w:color w:val="000000"/>
        </w:rPr>
        <w:t>HU/21209/2016</w:t>
      </w:r>
      <w:bookmarkEnd w:id="0"/>
    </w:p>
    <w:p w:rsidR="00617200" w:rsidRPr="00974915" w:rsidRDefault="00617200" w:rsidP="00C345E1">
      <w:pPr>
        <w:jc w:val="center"/>
        <w:rPr>
          <w:rFonts w:ascii="Book Antiqua" w:hAnsi="Book Antiqua" w:cs="Arial"/>
          <w:b/>
          <w:color w:val="000000"/>
          <w:u w:val="single"/>
        </w:rPr>
      </w:pPr>
    </w:p>
    <w:p w:rsidR="00617200" w:rsidRPr="00974915" w:rsidRDefault="00617200" w:rsidP="00C345E1">
      <w:pPr>
        <w:jc w:val="center"/>
        <w:rPr>
          <w:rFonts w:ascii="Book Antiqua" w:hAnsi="Book Antiqua" w:cs="Arial"/>
          <w:b/>
          <w:color w:val="000000"/>
          <w:u w:val="single"/>
        </w:rPr>
      </w:pPr>
    </w:p>
    <w:p w:rsidR="00C345E1" w:rsidRDefault="00C345E1" w:rsidP="00C345E1">
      <w:pPr>
        <w:jc w:val="center"/>
        <w:rPr>
          <w:rFonts w:ascii="Book Antiqua" w:hAnsi="Book Antiqua" w:cs="Arial"/>
          <w:b/>
          <w:color w:val="000000"/>
          <w:u w:val="single"/>
          <w:lang w:val="es-ES"/>
        </w:rPr>
      </w:pPr>
      <w:r w:rsidRPr="00036ABB">
        <w:rPr>
          <w:rFonts w:ascii="Book Antiqua" w:hAnsi="Book Antiqua" w:cs="Arial"/>
          <w:b/>
          <w:color w:val="000000"/>
          <w:u w:val="single"/>
          <w:lang w:val="es-ES"/>
        </w:rPr>
        <w:t>THE IMMIGRATION ACTS</w:t>
      </w:r>
    </w:p>
    <w:p w:rsidR="00F101B4" w:rsidRPr="00036ABB" w:rsidRDefault="00F101B4" w:rsidP="00C345E1">
      <w:pPr>
        <w:jc w:val="center"/>
        <w:rPr>
          <w:rFonts w:ascii="Book Antiqua" w:hAnsi="Book Antiqua" w:cs="Arial"/>
          <w:b/>
          <w:color w:val="000000"/>
          <w:u w:val="single"/>
          <w:lang w:val="es-ES"/>
        </w:rPr>
      </w:pPr>
    </w:p>
    <w:p w:rsidR="00C345E1" w:rsidRPr="00036ABB" w:rsidRDefault="00C345E1" w:rsidP="00C345E1">
      <w:pPr>
        <w:jc w:val="center"/>
        <w:rPr>
          <w:rFonts w:ascii="Book Antiqua" w:hAnsi="Book Antiqua" w:cs="Arial"/>
          <w:b/>
          <w:u w:val="single"/>
          <w:lang w:val="es-ES"/>
        </w:rPr>
      </w:pPr>
    </w:p>
    <w:tbl>
      <w:tblPr>
        <w:tblStyle w:val="TableGrid"/>
        <w:tblW w:w="100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6048"/>
        <w:gridCol w:w="3960"/>
      </w:tblGrid>
      <w:tr w:rsidR="00D22636" w:rsidRPr="009B7433" w:rsidTr="00D949B7">
        <w:tc>
          <w:tcPr>
            <w:tcW w:w="6048" w:type="dxa"/>
          </w:tcPr>
          <w:p w:rsidR="00D22636" w:rsidRPr="009B7433" w:rsidRDefault="00403974" w:rsidP="004A1848">
            <w:pPr>
              <w:jc w:val="both"/>
              <w:rPr>
                <w:rFonts w:ascii="Book Antiqua" w:hAnsi="Book Antiqua" w:cs="Arial"/>
                <w:b/>
              </w:rPr>
            </w:pPr>
            <w:r>
              <w:rPr>
                <w:rFonts w:ascii="Book Antiqua" w:hAnsi="Book Antiqua" w:cs="Arial"/>
                <w:b/>
              </w:rPr>
              <w:t xml:space="preserve">Heard at </w:t>
            </w:r>
            <w:smartTag w:uri="urn:schemas-microsoft-com:office:smarttags" w:element="place">
              <w:smartTag w:uri="urn:schemas-microsoft-com:office:smarttags" w:element="City">
                <w:r>
                  <w:rPr>
                    <w:rFonts w:ascii="Book Antiqua" w:hAnsi="Book Antiqua" w:cs="Arial"/>
                    <w:b/>
                  </w:rPr>
                  <w:t>Cardiff</w:t>
                </w:r>
              </w:smartTag>
            </w:smartTag>
            <w:r>
              <w:rPr>
                <w:rFonts w:ascii="Book Antiqua" w:hAnsi="Book Antiqua" w:cs="Arial"/>
                <w:b/>
              </w:rPr>
              <w:t xml:space="preserve"> Civil Justice Centre</w:t>
            </w:r>
          </w:p>
        </w:tc>
        <w:tc>
          <w:tcPr>
            <w:tcW w:w="3960" w:type="dxa"/>
          </w:tcPr>
          <w:p w:rsidR="00D22636" w:rsidRPr="009B7433" w:rsidRDefault="00D949B7" w:rsidP="00093D4D">
            <w:pPr>
              <w:jc w:val="both"/>
              <w:rPr>
                <w:rFonts w:ascii="Book Antiqua" w:hAnsi="Book Antiqua" w:cs="Arial"/>
                <w:b/>
                <w:color w:val="000000"/>
              </w:rPr>
            </w:pPr>
            <w:r>
              <w:rPr>
                <w:rFonts w:ascii="Book Antiqua" w:hAnsi="Book Antiqua" w:cs="Arial"/>
                <w:b/>
                <w:color w:val="000000"/>
              </w:rPr>
              <w:t>Decision &amp; Reasons</w:t>
            </w:r>
            <w:r w:rsidR="00283659" w:rsidRPr="009B7433">
              <w:rPr>
                <w:rFonts w:ascii="Book Antiqua" w:hAnsi="Book Antiqua" w:cs="Arial"/>
                <w:b/>
                <w:color w:val="000000"/>
              </w:rPr>
              <w:t xml:space="preserve"> Promulgated</w:t>
            </w:r>
          </w:p>
        </w:tc>
      </w:tr>
      <w:tr w:rsidR="00D22636" w:rsidRPr="009B7433" w:rsidTr="00D949B7">
        <w:tc>
          <w:tcPr>
            <w:tcW w:w="6048" w:type="dxa"/>
          </w:tcPr>
          <w:p w:rsidR="00D22636" w:rsidRPr="009B7433" w:rsidRDefault="00403974" w:rsidP="004A1848">
            <w:pPr>
              <w:jc w:val="both"/>
              <w:rPr>
                <w:rFonts w:ascii="Book Antiqua" w:hAnsi="Book Antiqua" w:cs="Arial"/>
                <w:b/>
              </w:rPr>
            </w:pPr>
            <w:r>
              <w:rPr>
                <w:rFonts w:ascii="Book Antiqua" w:hAnsi="Book Antiqua" w:cs="Arial"/>
                <w:b/>
              </w:rPr>
              <w:t>8 February 2018</w:t>
            </w:r>
          </w:p>
        </w:tc>
        <w:tc>
          <w:tcPr>
            <w:tcW w:w="3960" w:type="dxa"/>
          </w:tcPr>
          <w:p w:rsidR="00D22636" w:rsidRPr="009B7433" w:rsidRDefault="00411F97" w:rsidP="004A1848">
            <w:pPr>
              <w:jc w:val="both"/>
              <w:rPr>
                <w:rFonts w:ascii="Book Antiqua" w:hAnsi="Book Antiqua" w:cs="Arial"/>
                <w:b/>
              </w:rPr>
            </w:pPr>
            <w:r>
              <w:rPr>
                <w:rFonts w:ascii="Book Antiqua" w:hAnsi="Book Antiqua" w:cs="Arial"/>
                <w:b/>
              </w:rPr>
              <w:t>16 May 2018</w:t>
            </w:r>
          </w:p>
        </w:tc>
      </w:tr>
      <w:tr w:rsidR="00D22636" w:rsidRPr="009B7433" w:rsidTr="00D949B7">
        <w:tc>
          <w:tcPr>
            <w:tcW w:w="6048" w:type="dxa"/>
          </w:tcPr>
          <w:p w:rsidR="00617200" w:rsidRPr="009B7433" w:rsidRDefault="00617200" w:rsidP="004A1848">
            <w:pPr>
              <w:jc w:val="both"/>
              <w:rPr>
                <w:rFonts w:ascii="Book Antiqua" w:hAnsi="Book Antiqua" w:cs="Arial"/>
                <w:b/>
              </w:rPr>
            </w:pPr>
          </w:p>
        </w:tc>
        <w:tc>
          <w:tcPr>
            <w:tcW w:w="3960" w:type="dxa"/>
          </w:tcPr>
          <w:p w:rsidR="00D22636" w:rsidRPr="009B7433" w:rsidRDefault="00D22636" w:rsidP="004A1848">
            <w:pPr>
              <w:jc w:val="both"/>
              <w:rPr>
                <w:rFonts w:ascii="Book Antiqua" w:hAnsi="Book Antiqua" w:cs="Arial"/>
                <w:b/>
              </w:rPr>
            </w:pPr>
          </w:p>
        </w:tc>
      </w:tr>
    </w:tbl>
    <w:p w:rsidR="00F101B4" w:rsidRDefault="00F101B4" w:rsidP="00A15234">
      <w:pPr>
        <w:jc w:val="center"/>
        <w:rPr>
          <w:rFonts w:ascii="Book Antiqua" w:hAnsi="Book Antiqua" w:cs="Arial"/>
          <w:b/>
        </w:rPr>
      </w:pPr>
    </w:p>
    <w:p w:rsidR="00A15234" w:rsidRPr="009B7433" w:rsidRDefault="00207617" w:rsidP="00A15234">
      <w:pPr>
        <w:jc w:val="center"/>
        <w:rPr>
          <w:rFonts w:ascii="Book Antiqua" w:hAnsi="Book Antiqua" w:cs="Arial"/>
          <w:b/>
        </w:rPr>
      </w:pPr>
      <w:r w:rsidRPr="009B7433">
        <w:rPr>
          <w:rFonts w:ascii="Book Antiqua" w:hAnsi="Book Antiqua" w:cs="Arial"/>
          <w:b/>
        </w:rPr>
        <w:t>Befo</w:t>
      </w:r>
      <w:r w:rsidR="00A15234" w:rsidRPr="009B7433">
        <w:rPr>
          <w:rFonts w:ascii="Book Antiqua" w:hAnsi="Book Antiqua" w:cs="Arial"/>
          <w:b/>
        </w:rPr>
        <w:t>re</w:t>
      </w:r>
    </w:p>
    <w:p w:rsidR="00A15234" w:rsidRPr="009B7433" w:rsidRDefault="00A15234" w:rsidP="00A15234">
      <w:pPr>
        <w:jc w:val="center"/>
        <w:rPr>
          <w:rFonts w:ascii="Book Antiqua" w:hAnsi="Book Antiqua" w:cs="Arial"/>
          <w:b/>
        </w:rPr>
      </w:pPr>
    </w:p>
    <w:p w:rsidR="004A2D15" w:rsidRDefault="00342DE4" w:rsidP="004A2D15">
      <w:pPr>
        <w:jc w:val="center"/>
        <w:rPr>
          <w:rFonts w:ascii="Book Antiqua" w:hAnsi="Book Antiqua" w:cs="Arial"/>
          <w:b/>
          <w:color w:val="000000"/>
        </w:rPr>
      </w:pPr>
      <w:r>
        <w:rPr>
          <w:rFonts w:ascii="Book Antiqua" w:hAnsi="Book Antiqua" w:cs="Arial"/>
          <w:b/>
          <w:color w:val="000000"/>
        </w:rPr>
        <w:t>MR C M G OCKELTON, VICE PRESIDENT</w:t>
      </w:r>
    </w:p>
    <w:p w:rsidR="00974915" w:rsidRPr="001C5703" w:rsidRDefault="00974915" w:rsidP="004A2D15">
      <w:pPr>
        <w:jc w:val="center"/>
        <w:rPr>
          <w:rFonts w:ascii="Book Antiqua" w:hAnsi="Book Antiqua" w:cs="Arial"/>
          <w:b/>
          <w:color w:val="000000"/>
        </w:rPr>
      </w:pPr>
      <w:r>
        <w:rPr>
          <w:rFonts w:ascii="Book Antiqua" w:hAnsi="Book Antiqua" w:cs="Arial"/>
          <w:b/>
          <w:color w:val="000000"/>
        </w:rPr>
        <w:t>UPPER TRIBUNAL JUDGE GRUBB</w:t>
      </w:r>
    </w:p>
    <w:p w:rsidR="00D20757" w:rsidRDefault="00D20757" w:rsidP="00A15234">
      <w:pPr>
        <w:jc w:val="center"/>
        <w:rPr>
          <w:rFonts w:ascii="Book Antiqua" w:hAnsi="Book Antiqua" w:cs="Arial"/>
          <w:b/>
        </w:rPr>
      </w:pPr>
    </w:p>
    <w:p w:rsidR="00F101B4" w:rsidRPr="009B7433" w:rsidRDefault="00F101B4" w:rsidP="00A15234">
      <w:pPr>
        <w:jc w:val="center"/>
        <w:rPr>
          <w:rFonts w:ascii="Book Antiqua" w:hAnsi="Book Antiqua" w:cs="Arial"/>
          <w:b/>
        </w:rPr>
      </w:pPr>
    </w:p>
    <w:p w:rsidR="00A845DC" w:rsidRPr="009B7433" w:rsidRDefault="00A845DC" w:rsidP="00A15234">
      <w:pPr>
        <w:jc w:val="center"/>
        <w:rPr>
          <w:rFonts w:ascii="Book Antiqua" w:hAnsi="Book Antiqua" w:cs="Arial"/>
          <w:b/>
        </w:rPr>
      </w:pPr>
      <w:r w:rsidRPr="009B7433">
        <w:rPr>
          <w:rFonts w:ascii="Book Antiqua" w:hAnsi="Book Antiqua" w:cs="Arial"/>
          <w:b/>
        </w:rPr>
        <w:t>Between</w:t>
      </w:r>
    </w:p>
    <w:p w:rsidR="007933E8" w:rsidRPr="009B7433" w:rsidRDefault="007933E8" w:rsidP="00A15234">
      <w:pPr>
        <w:jc w:val="center"/>
        <w:rPr>
          <w:rFonts w:ascii="Book Antiqua" w:hAnsi="Book Antiqua" w:cs="Arial"/>
          <w:b/>
        </w:rPr>
      </w:pPr>
    </w:p>
    <w:p w:rsidR="00D949B7" w:rsidRDefault="00512CB1" w:rsidP="00D949B7">
      <w:pPr>
        <w:jc w:val="center"/>
        <w:rPr>
          <w:rFonts w:ascii="Book Antiqua" w:hAnsi="Book Antiqua" w:cs="Arial"/>
          <w:b/>
          <w:caps/>
        </w:rPr>
      </w:pPr>
      <w:r>
        <w:rPr>
          <w:rFonts w:ascii="Book Antiqua" w:hAnsi="Book Antiqua" w:cs="Arial"/>
          <w:b/>
          <w:caps/>
        </w:rPr>
        <w:t xml:space="preserve">SALLIMATOU </w:t>
      </w:r>
      <w:r w:rsidR="00F101B4">
        <w:rPr>
          <w:rFonts w:ascii="Book Antiqua" w:hAnsi="Book Antiqua" w:cs="Arial"/>
          <w:b/>
          <w:caps/>
        </w:rPr>
        <w:t>[</w:t>
      </w:r>
      <w:r>
        <w:rPr>
          <w:rFonts w:ascii="Book Antiqua" w:hAnsi="Book Antiqua" w:cs="Arial"/>
          <w:b/>
          <w:caps/>
        </w:rPr>
        <w:t>J</w:t>
      </w:r>
      <w:r w:rsidR="00F101B4">
        <w:rPr>
          <w:rFonts w:ascii="Book Antiqua" w:hAnsi="Book Antiqua" w:cs="Arial"/>
          <w:b/>
          <w:caps/>
        </w:rPr>
        <w:t>]</w:t>
      </w:r>
    </w:p>
    <w:p w:rsidR="00512CB1" w:rsidRDefault="00F101B4" w:rsidP="00D949B7">
      <w:pPr>
        <w:jc w:val="center"/>
        <w:rPr>
          <w:rFonts w:ascii="Book Antiqua" w:hAnsi="Book Antiqua" w:cs="Arial"/>
          <w:b/>
          <w:caps/>
        </w:rPr>
      </w:pPr>
      <w:r>
        <w:rPr>
          <w:rFonts w:ascii="Book Antiqua" w:hAnsi="Book Antiqua" w:cs="Arial"/>
          <w:b/>
          <w:caps/>
        </w:rPr>
        <w:t>[</w:t>
      </w:r>
      <w:r w:rsidR="00512CB1">
        <w:rPr>
          <w:rFonts w:ascii="Book Antiqua" w:hAnsi="Book Antiqua" w:cs="Arial"/>
          <w:b/>
          <w:caps/>
        </w:rPr>
        <w:t>E</w:t>
      </w:r>
      <w:r>
        <w:rPr>
          <w:rFonts w:ascii="Book Antiqua" w:hAnsi="Book Antiqua" w:cs="Arial"/>
          <w:b/>
          <w:caps/>
        </w:rPr>
        <w:t xml:space="preserve"> </w:t>
      </w:r>
      <w:r w:rsidR="00512CB1">
        <w:rPr>
          <w:rFonts w:ascii="Book Antiqua" w:hAnsi="Book Antiqua" w:cs="Arial"/>
          <w:b/>
          <w:caps/>
        </w:rPr>
        <w:t>S</w:t>
      </w:r>
      <w:r>
        <w:rPr>
          <w:rFonts w:ascii="Book Antiqua" w:hAnsi="Book Antiqua" w:cs="Arial"/>
          <w:b/>
          <w:caps/>
        </w:rPr>
        <w:t>]</w:t>
      </w:r>
    </w:p>
    <w:p w:rsidR="00704B61" w:rsidRPr="009B7433" w:rsidRDefault="00704B61" w:rsidP="00704B61">
      <w:pPr>
        <w:jc w:val="right"/>
        <w:rPr>
          <w:rFonts w:ascii="Book Antiqua" w:hAnsi="Book Antiqua" w:cs="Arial"/>
          <w:u w:val="single"/>
        </w:rPr>
      </w:pPr>
      <w:r w:rsidRPr="009B7433">
        <w:rPr>
          <w:rFonts w:ascii="Book Antiqua" w:hAnsi="Book Antiqua" w:cs="Arial"/>
          <w:u w:val="single"/>
        </w:rPr>
        <w:t>Appellant</w:t>
      </w:r>
      <w:r w:rsidR="00512CB1">
        <w:rPr>
          <w:rFonts w:ascii="Book Antiqua" w:hAnsi="Book Antiqua" w:cs="Arial"/>
          <w:u w:val="single"/>
        </w:rPr>
        <w:t>s</w:t>
      </w:r>
    </w:p>
    <w:p w:rsidR="00704B61" w:rsidRPr="009B7433" w:rsidRDefault="00DD5071" w:rsidP="00704B61">
      <w:pPr>
        <w:jc w:val="center"/>
        <w:rPr>
          <w:rFonts w:ascii="Book Antiqua" w:hAnsi="Book Antiqua" w:cs="Arial"/>
          <w:b/>
        </w:rPr>
      </w:pPr>
      <w:r w:rsidRPr="009B7433">
        <w:rPr>
          <w:rFonts w:ascii="Book Antiqua" w:hAnsi="Book Antiqua" w:cs="Arial"/>
          <w:b/>
        </w:rPr>
        <w:t>and</w:t>
      </w:r>
    </w:p>
    <w:p w:rsidR="00DD5071" w:rsidRPr="009B7433" w:rsidRDefault="00DD5071" w:rsidP="00704B61">
      <w:pPr>
        <w:jc w:val="center"/>
        <w:rPr>
          <w:rFonts w:ascii="Book Antiqua" w:hAnsi="Book Antiqua" w:cs="Arial"/>
          <w:b/>
        </w:rPr>
      </w:pPr>
    </w:p>
    <w:p w:rsidR="001A31FA" w:rsidRDefault="00974915" w:rsidP="007933E8">
      <w:pPr>
        <w:jc w:val="center"/>
        <w:rPr>
          <w:rFonts w:ascii="Book Antiqua" w:hAnsi="Book Antiqua" w:cs="Arial"/>
          <w:b/>
          <w:caps/>
        </w:rPr>
      </w:pPr>
      <w:r>
        <w:rPr>
          <w:rFonts w:ascii="Book Antiqua" w:hAnsi="Book Antiqua" w:cs="Arial"/>
          <w:b/>
          <w:caps/>
        </w:rPr>
        <w:t>secretary of state for the home department</w:t>
      </w:r>
    </w:p>
    <w:p w:rsidR="00DD5071" w:rsidRPr="009B7433" w:rsidRDefault="00DD5071" w:rsidP="00DD5071">
      <w:pPr>
        <w:jc w:val="right"/>
        <w:rPr>
          <w:rFonts w:ascii="Book Antiqua" w:hAnsi="Book Antiqua" w:cs="Arial"/>
          <w:u w:val="single"/>
        </w:rPr>
      </w:pPr>
      <w:r w:rsidRPr="009B7433">
        <w:rPr>
          <w:rFonts w:ascii="Book Antiqua" w:hAnsi="Book Antiqua" w:cs="Arial"/>
          <w:u w:val="single"/>
        </w:rPr>
        <w:t>Respondent</w:t>
      </w:r>
    </w:p>
    <w:p w:rsidR="00F101B4" w:rsidRDefault="00F101B4" w:rsidP="001A31FA">
      <w:pPr>
        <w:rPr>
          <w:rFonts w:ascii="Book Antiqua" w:hAnsi="Book Antiqua" w:cs="Arial"/>
          <w:b/>
          <w:u w:val="single"/>
        </w:rPr>
      </w:pPr>
    </w:p>
    <w:p w:rsidR="00F101B4" w:rsidRDefault="00F101B4" w:rsidP="001A31FA">
      <w:pPr>
        <w:rPr>
          <w:rFonts w:ascii="Book Antiqua" w:hAnsi="Book Antiqua" w:cs="Arial"/>
          <w:b/>
          <w:u w:val="single"/>
        </w:rPr>
      </w:pPr>
    </w:p>
    <w:p w:rsidR="001A31FA" w:rsidRPr="009B7433" w:rsidRDefault="001A31FA" w:rsidP="001A31FA">
      <w:pPr>
        <w:rPr>
          <w:rFonts w:ascii="Book Antiqua" w:hAnsi="Book Antiqua" w:cs="Arial"/>
        </w:rPr>
      </w:pPr>
      <w:r w:rsidRPr="009B7433">
        <w:rPr>
          <w:rFonts w:ascii="Book Antiqua" w:hAnsi="Book Antiqua" w:cs="Arial"/>
          <w:b/>
          <w:u w:val="single"/>
        </w:rPr>
        <w:t>Representation</w:t>
      </w:r>
      <w:r w:rsidRPr="009B7433">
        <w:rPr>
          <w:rFonts w:ascii="Book Antiqua" w:hAnsi="Book Antiqua" w:cs="Arial"/>
          <w:b/>
        </w:rPr>
        <w:t>:</w:t>
      </w:r>
    </w:p>
    <w:p w:rsidR="001A31FA" w:rsidRDefault="00512CB1" w:rsidP="00F101B4">
      <w:pPr>
        <w:tabs>
          <w:tab w:val="left" w:pos="2552"/>
        </w:tabs>
        <w:rPr>
          <w:rFonts w:ascii="Book Antiqua" w:hAnsi="Book Antiqua" w:cs="Arial"/>
        </w:rPr>
      </w:pPr>
      <w:r>
        <w:rPr>
          <w:rFonts w:ascii="Book Antiqua" w:hAnsi="Book Antiqua" w:cs="Arial"/>
        </w:rPr>
        <w:t xml:space="preserve">For the </w:t>
      </w:r>
      <w:r w:rsidR="001A31FA" w:rsidRPr="009B7433">
        <w:rPr>
          <w:rFonts w:ascii="Book Antiqua" w:hAnsi="Book Antiqua" w:cs="Arial"/>
        </w:rPr>
        <w:t>Appellant</w:t>
      </w:r>
      <w:r>
        <w:rPr>
          <w:rFonts w:ascii="Book Antiqua" w:hAnsi="Book Antiqua" w:cs="Arial"/>
        </w:rPr>
        <w:t>s</w:t>
      </w:r>
      <w:r w:rsidR="001A31FA" w:rsidRPr="009B7433">
        <w:rPr>
          <w:rFonts w:ascii="Book Antiqua" w:hAnsi="Book Antiqua" w:cs="Arial"/>
        </w:rPr>
        <w:t>:</w:t>
      </w:r>
      <w:r w:rsidR="001A31FA" w:rsidRPr="009B7433">
        <w:rPr>
          <w:rFonts w:ascii="Book Antiqua" w:hAnsi="Book Antiqua" w:cs="Arial"/>
        </w:rPr>
        <w:tab/>
      </w:r>
      <w:r w:rsidR="00081B95">
        <w:rPr>
          <w:rFonts w:ascii="Book Antiqua" w:hAnsi="Book Antiqua" w:cs="Arial"/>
        </w:rPr>
        <w:t>The f</w:t>
      </w:r>
      <w:r w:rsidR="008C1EBE">
        <w:rPr>
          <w:rFonts w:ascii="Book Antiqua" w:hAnsi="Book Antiqua" w:cs="Arial"/>
        </w:rPr>
        <w:t>irst appellant a</w:t>
      </w:r>
      <w:r>
        <w:rPr>
          <w:rFonts w:ascii="Book Antiqua" w:hAnsi="Book Antiqua" w:cs="Arial"/>
        </w:rPr>
        <w:t>ppeared in person.</w:t>
      </w:r>
    </w:p>
    <w:p w:rsidR="001A31FA" w:rsidRDefault="001A31FA" w:rsidP="00F101B4">
      <w:pPr>
        <w:tabs>
          <w:tab w:val="left" w:pos="2552"/>
        </w:tabs>
        <w:ind w:left="2520" w:hanging="2520"/>
        <w:rPr>
          <w:rFonts w:ascii="Book Antiqua" w:hAnsi="Book Antiqua" w:cs="Arial"/>
        </w:rPr>
      </w:pPr>
      <w:r w:rsidRPr="009B7433">
        <w:rPr>
          <w:rFonts w:ascii="Book Antiqua" w:hAnsi="Book Antiqua" w:cs="Arial"/>
        </w:rPr>
        <w:t>For the Respondent:</w:t>
      </w:r>
      <w:r w:rsidRPr="009B7433">
        <w:rPr>
          <w:rFonts w:ascii="Book Antiqua" w:hAnsi="Book Antiqua" w:cs="Arial"/>
        </w:rPr>
        <w:tab/>
      </w:r>
      <w:r w:rsidR="00E55940">
        <w:rPr>
          <w:rFonts w:ascii="Book Antiqua" w:hAnsi="Book Antiqua" w:cs="Arial"/>
        </w:rPr>
        <w:t>Mr I Richards, Senior Home Office Presenting Officer.</w:t>
      </w:r>
    </w:p>
    <w:p w:rsidR="00DD5071" w:rsidRPr="009B7433" w:rsidRDefault="00DD5071" w:rsidP="00DD5071">
      <w:pPr>
        <w:rPr>
          <w:rFonts w:ascii="Book Antiqua" w:hAnsi="Book Antiqua" w:cs="Arial"/>
          <w:u w:val="single"/>
        </w:rPr>
      </w:pPr>
    </w:p>
    <w:p w:rsidR="00DE7DB7" w:rsidRPr="009B7433" w:rsidRDefault="00DE7DB7" w:rsidP="00402B9E">
      <w:pPr>
        <w:tabs>
          <w:tab w:val="left" w:pos="2520"/>
        </w:tabs>
        <w:jc w:val="center"/>
        <w:rPr>
          <w:rFonts w:ascii="Book Antiqua" w:hAnsi="Book Antiqua" w:cs="Arial"/>
        </w:rPr>
      </w:pPr>
    </w:p>
    <w:p w:rsidR="00402B9E" w:rsidRDefault="00E07587" w:rsidP="004D6B45">
      <w:pPr>
        <w:tabs>
          <w:tab w:val="left" w:pos="2520"/>
        </w:tabs>
        <w:jc w:val="center"/>
        <w:rPr>
          <w:rFonts w:ascii="Book Antiqua" w:hAnsi="Book Antiqua" w:cs="Arial"/>
          <w:b/>
          <w:u w:val="single"/>
        </w:rPr>
      </w:pPr>
      <w:r>
        <w:rPr>
          <w:rFonts w:ascii="Book Antiqua" w:hAnsi="Book Antiqua" w:cs="Arial"/>
          <w:b/>
          <w:u w:val="single"/>
        </w:rPr>
        <w:t>DE</w:t>
      </w:r>
      <w:r w:rsidR="001A31FA">
        <w:rPr>
          <w:rFonts w:ascii="Book Antiqua" w:hAnsi="Book Antiqua" w:cs="Arial"/>
          <w:b/>
          <w:u w:val="single"/>
        </w:rPr>
        <w:t>TERMINATION AND REASONS</w:t>
      </w:r>
    </w:p>
    <w:p w:rsidR="005F35D7" w:rsidRDefault="00196E2A" w:rsidP="00866F81">
      <w:pPr>
        <w:numPr>
          <w:ilvl w:val="0"/>
          <w:numId w:val="1"/>
        </w:numPr>
        <w:tabs>
          <w:tab w:val="clear" w:pos="567"/>
        </w:tabs>
        <w:spacing w:before="240"/>
        <w:jc w:val="both"/>
        <w:rPr>
          <w:rFonts w:ascii="Book Antiqua" w:hAnsi="Book Antiqua" w:cs="Arial"/>
        </w:rPr>
      </w:pPr>
      <w:r>
        <w:rPr>
          <w:rFonts w:ascii="Book Antiqua" w:hAnsi="Book Antiqua" w:cs="Arial"/>
        </w:rPr>
        <w:t xml:space="preserve">The </w:t>
      </w:r>
      <w:r w:rsidR="00512CB1">
        <w:rPr>
          <w:rFonts w:ascii="Book Antiqua" w:hAnsi="Book Antiqua" w:cs="Arial"/>
        </w:rPr>
        <w:t xml:space="preserve">appellants are mother and son.  The first appellant is a national of </w:t>
      </w:r>
      <w:smartTag w:uri="urn:schemas-microsoft-com:office:smarttags" w:element="country-region">
        <w:r w:rsidR="00512CB1">
          <w:rPr>
            <w:rFonts w:ascii="Book Antiqua" w:hAnsi="Book Antiqua" w:cs="Arial"/>
          </w:rPr>
          <w:t>Gambia</w:t>
        </w:r>
      </w:smartTag>
      <w:r w:rsidR="00512CB1">
        <w:rPr>
          <w:rFonts w:ascii="Book Antiqua" w:hAnsi="Book Antiqua" w:cs="Arial"/>
        </w:rPr>
        <w:t xml:space="preserve">; the second appellant is a national of </w:t>
      </w:r>
      <w:r w:rsidR="0003291B">
        <w:rPr>
          <w:rFonts w:ascii="Book Antiqua" w:hAnsi="Book Antiqua" w:cs="Arial"/>
        </w:rPr>
        <w:t xml:space="preserve">the </w:t>
      </w:r>
      <w:smartTag w:uri="urn:schemas-microsoft-com:office:smarttags" w:element="country-region">
        <w:smartTag w:uri="urn:schemas-microsoft-com:office:smarttags" w:element="place">
          <w:r w:rsidR="00512CB1">
            <w:rPr>
              <w:rFonts w:ascii="Book Antiqua" w:hAnsi="Book Antiqua" w:cs="Arial"/>
            </w:rPr>
            <w:t>United States of America</w:t>
          </w:r>
        </w:smartTag>
      </w:smartTag>
      <w:r w:rsidR="00512CB1">
        <w:rPr>
          <w:rFonts w:ascii="Book Antiqua" w:hAnsi="Book Antiqua" w:cs="Arial"/>
        </w:rPr>
        <w:t xml:space="preserve">, with a right to Gambian nationality.  They appeal, with permission, against the decision of the First-tier Tribunal (Judge Gurung-Thapa) dismissing their appeals on human rights grounds </w:t>
      </w:r>
      <w:r w:rsidR="00512CB1">
        <w:rPr>
          <w:rFonts w:ascii="Book Antiqua" w:hAnsi="Book Antiqua" w:cs="Arial"/>
        </w:rPr>
        <w:lastRenderedPageBreak/>
        <w:t xml:space="preserve">against the decisions of the respondent on 22 August 2016 refusing them leave to remain in the United Kingdom. </w:t>
      </w:r>
    </w:p>
    <w:p w:rsidR="005E4B34" w:rsidRDefault="00512CB1" w:rsidP="00866F81">
      <w:pPr>
        <w:numPr>
          <w:ilvl w:val="0"/>
          <w:numId w:val="1"/>
        </w:numPr>
        <w:tabs>
          <w:tab w:val="clear" w:pos="567"/>
        </w:tabs>
        <w:spacing w:before="240"/>
        <w:jc w:val="both"/>
        <w:rPr>
          <w:rFonts w:ascii="Book Antiqua" w:hAnsi="Book Antiqua" w:cs="Arial"/>
        </w:rPr>
      </w:pPr>
      <w:r>
        <w:rPr>
          <w:rFonts w:ascii="Book Antiqua" w:hAnsi="Book Antiqua" w:cs="Arial"/>
        </w:rPr>
        <w:t xml:space="preserve">The first appellant entered the </w:t>
      </w:r>
      <w:smartTag w:uri="urn:schemas-microsoft-com:office:smarttags" w:element="country-region">
        <w:smartTag w:uri="urn:schemas-microsoft-com:office:smarttags" w:element="place">
          <w:r>
            <w:rPr>
              <w:rFonts w:ascii="Book Antiqua" w:hAnsi="Book Antiqua" w:cs="Arial"/>
            </w:rPr>
            <w:t>United Kingdom</w:t>
          </w:r>
        </w:smartTag>
      </w:smartTag>
      <w:r>
        <w:rPr>
          <w:rFonts w:ascii="Book Antiqua" w:hAnsi="Book Antiqua" w:cs="Arial"/>
        </w:rPr>
        <w:t xml:space="preserve"> as a student in December 2006.  Her most recent grant of leave expired in the summer of 2008, </w:t>
      </w:r>
      <w:r w:rsidR="009D5F31">
        <w:rPr>
          <w:rFonts w:ascii="Book Antiqua" w:hAnsi="Book Antiqua" w:cs="Arial"/>
        </w:rPr>
        <w:t xml:space="preserve">since when she has remained without leave.  The application leading to the refusal under appeal was made on 11 May 2016.  The first appellant has opted to offer very little evidence about her life in the </w:t>
      </w:r>
      <w:smartTag w:uri="urn:schemas-microsoft-com:office:smarttags" w:element="country-region">
        <w:smartTag w:uri="urn:schemas-microsoft-com:office:smarttags" w:element="place">
          <w:r w:rsidR="009D5F31">
            <w:rPr>
              <w:rFonts w:ascii="Book Antiqua" w:hAnsi="Book Antiqua" w:cs="Arial"/>
            </w:rPr>
            <w:t>United Kingdom</w:t>
          </w:r>
        </w:smartTag>
      </w:smartTag>
      <w:r w:rsidR="009D5F31">
        <w:rPr>
          <w:rFonts w:ascii="Book Antiqua" w:hAnsi="Book Antiqua" w:cs="Arial"/>
        </w:rPr>
        <w:t>: these appeals were determined in the First-tier Tribunal without a hearing, at her request.  She told us that she is working 30 hours a week and that she has known since 2009 that she is not allowed to work.</w:t>
      </w:r>
      <w:r>
        <w:rPr>
          <w:rFonts w:ascii="Book Antiqua" w:hAnsi="Book Antiqua" w:cs="Arial"/>
        </w:rPr>
        <w:t xml:space="preserve">  </w:t>
      </w:r>
    </w:p>
    <w:p w:rsidR="005E4B34" w:rsidRDefault="009D5F31" w:rsidP="00866F81">
      <w:pPr>
        <w:numPr>
          <w:ilvl w:val="0"/>
          <w:numId w:val="1"/>
        </w:numPr>
        <w:tabs>
          <w:tab w:val="clear" w:pos="567"/>
        </w:tabs>
        <w:spacing w:before="240"/>
        <w:jc w:val="both"/>
        <w:rPr>
          <w:rFonts w:ascii="Book Antiqua" w:hAnsi="Book Antiqua" w:cs="Arial"/>
        </w:rPr>
      </w:pPr>
      <w:r>
        <w:rPr>
          <w:rFonts w:ascii="Book Antiqua" w:hAnsi="Book Antiqua" w:cs="Arial"/>
        </w:rPr>
        <w:t xml:space="preserve">The second appellant was born in the </w:t>
      </w:r>
      <w:smartTag w:uri="urn:schemas-microsoft-com:office:smarttags" w:element="country-region">
        <w:smartTag w:uri="urn:schemas-microsoft-com:office:smarttags" w:element="place">
          <w:r>
            <w:rPr>
              <w:rFonts w:ascii="Book Antiqua" w:hAnsi="Book Antiqua" w:cs="Arial"/>
            </w:rPr>
            <w:t>United States of America</w:t>
          </w:r>
        </w:smartTag>
      </w:smartTag>
      <w:r>
        <w:rPr>
          <w:rFonts w:ascii="Book Antiqua" w:hAnsi="Book Antiqua" w:cs="Arial"/>
        </w:rPr>
        <w:t xml:space="preserve">; his father has not been in touch with the family for many years.  After his birth, the appellants travelled together to </w:t>
      </w:r>
      <w:smartTag w:uri="urn:schemas-microsoft-com:office:smarttags" w:element="country-region">
        <w:smartTag w:uri="urn:schemas-microsoft-com:office:smarttags" w:element="place">
          <w:r>
            <w:rPr>
              <w:rFonts w:ascii="Book Antiqua" w:hAnsi="Book Antiqua" w:cs="Arial"/>
            </w:rPr>
            <w:t>Gambia</w:t>
          </w:r>
        </w:smartTag>
      </w:smartTag>
      <w:r>
        <w:rPr>
          <w:rFonts w:ascii="Book Antiqua" w:hAnsi="Book Antiqua" w:cs="Arial"/>
        </w:rPr>
        <w:t xml:space="preserve">.  The first appellant left the second appellant in </w:t>
      </w:r>
      <w:smartTag w:uri="urn:schemas-microsoft-com:office:smarttags" w:element="country-region">
        <w:r>
          <w:rPr>
            <w:rFonts w:ascii="Book Antiqua" w:hAnsi="Book Antiqua" w:cs="Arial"/>
          </w:rPr>
          <w:t>Gambia</w:t>
        </w:r>
      </w:smartTag>
      <w:r>
        <w:rPr>
          <w:rFonts w:ascii="Book Antiqua" w:hAnsi="Book Antiqua" w:cs="Arial"/>
        </w:rPr>
        <w:t xml:space="preserve"> when she came to the </w:t>
      </w:r>
      <w:smartTag w:uri="urn:schemas-microsoft-com:office:smarttags" w:element="country-region">
        <w:smartTag w:uri="urn:schemas-microsoft-com:office:smarttags" w:element="place">
          <w:r>
            <w:rPr>
              <w:rFonts w:ascii="Book Antiqua" w:hAnsi="Book Antiqua" w:cs="Arial"/>
            </w:rPr>
            <w:t>United Kingdom</w:t>
          </w:r>
        </w:smartTag>
      </w:smartTag>
      <w:r>
        <w:rPr>
          <w:rFonts w:ascii="Book Antiqua" w:hAnsi="Book Antiqua" w:cs="Arial"/>
        </w:rPr>
        <w:t xml:space="preserve">.  He came to the </w:t>
      </w:r>
      <w:smartTag w:uri="urn:schemas-microsoft-com:office:smarttags" w:element="country-region">
        <w:smartTag w:uri="urn:schemas-microsoft-com:office:smarttags" w:element="place">
          <w:r>
            <w:rPr>
              <w:rFonts w:ascii="Book Antiqua" w:hAnsi="Book Antiqua" w:cs="Arial"/>
            </w:rPr>
            <w:t>United Kingdom</w:t>
          </w:r>
        </w:smartTag>
      </w:smartTag>
      <w:r>
        <w:rPr>
          <w:rFonts w:ascii="Book Antiqua" w:hAnsi="Book Antiqua" w:cs="Arial"/>
        </w:rPr>
        <w:t xml:space="preserve">, as a visitor on 5 July 2008 and has had no leave to remain following the expiry of his visitor’s leave.  He is at school in </w:t>
      </w:r>
      <w:smartTag w:uri="urn:schemas-microsoft-com:office:smarttags" w:element="City">
        <w:smartTag w:uri="urn:schemas-microsoft-com:office:smarttags" w:element="place">
          <w:r>
            <w:rPr>
              <w:rFonts w:ascii="Book Antiqua" w:hAnsi="Book Antiqua" w:cs="Arial"/>
            </w:rPr>
            <w:t>Bristol</w:t>
          </w:r>
        </w:smartTag>
      </w:smartTag>
      <w:r>
        <w:rPr>
          <w:rFonts w:ascii="Book Antiqua" w:hAnsi="Book Antiqua" w:cs="Arial"/>
        </w:rPr>
        <w:t xml:space="preserve"> and apparently doing well.  </w:t>
      </w:r>
    </w:p>
    <w:p w:rsidR="009D5F31" w:rsidRDefault="009D5F31" w:rsidP="00866F81">
      <w:pPr>
        <w:numPr>
          <w:ilvl w:val="0"/>
          <w:numId w:val="1"/>
        </w:numPr>
        <w:tabs>
          <w:tab w:val="clear" w:pos="567"/>
        </w:tabs>
        <w:spacing w:before="240"/>
        <w:jc w:val="both"/>
        <w:rPr>
          <w:rFonts w:ascii="Book Antiqua" w:hAnsi="Book Antiqua" w:cs="Arial"/>
        </w:rPr>
      </w:pPr>
      <w:r>
        <w:rPr>
          <w:rFonts w:ascii="Book Antiqua" w:hAnsi="Book Antiqua" w:cs="Arial"/>
        </w:rPr>
        <w:t xml:space="preserve">Although the first appellant has formally been unrepresented throughout, it is clear from the documentation accompanying her appeal that she has had legal advice.  The appeal to the First-tier Tribunal was based firmly on article 8 of the European Convention on Human Rights, paragraph 276 ADE and paragraph EX.1 of Appendix FM in the </w:t>
      </w:r>
      <w:r w:rsidRPr="009D5F31">
        <w:rPr>
          <w:rFonts w:ascii="Book Antiqua" w:hAnsi="Book Antiqua" w:cs="Arial"/>
          <w:u w:val="single"/>
        </w:rPr>
        <w:t>Statement of Changes in Immigration Rules</w:t>
      </w:r>
      <w:r>
        <w:rPr>
          <w:rFonts w:ascii="Book Antiqua" w:hAnsi="Book Antiqua" w:cs="Arial"/>
        </w:rPr>
        <w:t>, HC 395 (as amended).  We shall in due course also refer to s 117</w:t>
      </w:r>
      <w:proofErr w:type="gramStart"/>
      <w:r>
        <w:rPr>
          <w:rFonts w:ascii="Book Antiqua" w:hAnsi="Book Antiqua" w:cs="Arial"/>
        </w:rPr>
        <w:t>B(</w:t>
      </w:r>
      <w:proofErr w:type="gramEnd"/>
      <w:r>
        <w:rPr>
          <w:rFonts w:ascii="Book Antiqua" w:hAnsi="Book Antiqua" w:cs="Arial"/>
        </w:rPr>
        <w:t xml:space="preserve">6) of the Nationality, Immigration and Asylum Act 2002 (as amended).  The case of the appellants is put firmly on the basis that the second appellant’s presence in the </w:t>
      </w:r>
      <w:smartTag w:uri="urn:schemas-microsoft-com:office:smarttags" w:element="PlaceName">
        <w:r>
          <w:rPr>
            <w:rFonts w:ascii="Book Antiqua" w:hAnsi="Book Antiqua" w:cs="Arial"/>
          </w:rPr>
          <w:t>Untied</w:t>
        </w:r>
      </w:smartTag>
      <w:r>
        <w:rPr>
          <w:rFonts w:ascii="Book Antiqua" w:hAnsi="Book Antiqua" w:cs="Arial"/>
        </w:rPr>
        <w:t xml:space="preserve"> </w:t>
      </w:r>
      <w:smartTag w:uri="urn:schemas-microsoft-com:office:smarttags" w:element="PlaceType">
        <w:r>
          <w:rPr>
            <w:rFonts w:ascii="Book Antiqua" w:hAnsi="Book Antiqua" w:cs="Arial"/>
          </w:rPr>
          <w:t>Kingdom</w:t>
        </w:r>
      </w:smartTag>
      <w:r>
        <w:rPr>
          <w:rFonts w:ascii="Book Antiqua" w:hAnsi="Book Antiqua" w:cs="Arial"/>
        </w:rPr>
        <w:t xml:space="preserve"> for </w:t>
      </w:r>
      <w:r w:rsidR="00EA17FF">
        <w:rPr>
          <w:rFonts w:ascii="Book Antiqua" w:hAnsi="Book Antiqua" w:cs="Arial"/>
        </w:rPr>
        <w:t xml:space="preserve">a period of </w:t>
      </w:r>
      <w:r>
        <w:rPr>
          <w:rFonts w:ascii="Book Antiqua" w:hAnsi="Book Antiqua" w:cs="Arial"/>
        </w:rPr>
        <w:t xml:space="preserve">more than seven years </w:t>
      </w:r>
      <w:r w:rsidR="00EA17FF">
        <w:rPr>
          <w:rFonts w:ascii="Book Antiqua" w:hAnsi="Book Antiqua" w:cs="Arial"/>
        </w:rPr>
        <w:t xml:space="preserve">gives the appellants a right to remain in the </w:t>
      </w:r>
      <w:smartTag w:uri="urn:schemas-microsoft-com:office:smarttags" w:element="country-region">
        <w:smartTag w:uri="urn:schemas-microsoft-com:office:smarttags" w:element="place">
          <w:r w:rsidR="00EA17FF">
            <w:rPr>
              <w:rFonts w:ascii="Book Antiqua" w:hAnsi="Book Antiqua" w:cs="Arial"/>
            </w:rPr>
            <w:t>United Kingdom</w:t>
          </w:r>
        </w:smartTag>
      </w:smartTag>
      <w:r w:rsidR="00EA17FF">
        <w:rPr>
          <w:rFonts w:ascii="Book Antiqua" w:hAnsi="Book Antiqua" w:cs="Arial"/>
        </w:rPr>
        <w:t>.  It is not suggested that the first appellant’s circumstances, looked at independently, gave her any prospect of success in her application or in an appeal against the refusal of it: it is solely the second appellant’s circumstances that are relied upon.</w:t>
      </w:r>
    </w:p>
    <w:p w:rsidR="00EA17FF" w:rsidRDefault="00F30525" w:rsidP="00866F81">
      <w:pPr>
        <w:numPr>
          <w:ilvl w:val="0"/>
          <w:numId w:val="1"/>
        </w:numPr>
        <w:tabs>
          <w:tab w:val="clear" w:pos="567"/>
        </w:tabs>
        <w:spacing w:before="240"/>
        <w:jc w:val="both"/>
        <w:rPr>
          <w:rFonts w:ascii="Book Antiqua" w:hAnsi="Book Antiqua" w:cs="Arial"/>
        </w:rPr>
      </w:pPr>
      <w:r>
        <w:rPr>
          <w:rFonts w:ascii="Book Antiqua" w:hAnsi="Book Antiqua" w:cs="Arial"/>
        </w:rPr>
        <w:t xml:space="preserve">So far as concerns the various provisions in the Rules, in the circumstances applying to the present case, the second appellant is entitled to succeed under paragraph 276ADE if it would not be reasonable to expect </w:t>
      </w:r>
      <w:r w:rsidR="00B838E8">
        <w:rPr>
          <w:rFonts w:ascii="Book Antiqua" w:hAnsi="Book Antiqua" w:cs="Arial"/>
        </w:rPr>
        <w:t>him to leave the United Kingdom;</w:t>
      </w:r>
      <w:r>
        <w:rPr>
          <w:rFonts w:ascii="Book Antiqua" w:hAnsi="Book Antiqua" w:cs="Arial"/>
        </w:rPr>
        <w:t xml:space="preserve"> and under the provisions of Appendix FM the first appellant may be entitled to succeed if that is demonstrated in relation to the second appellant.  Section 117</w:t>
      </w:r>
      <w:proofErr w:type="gramStart"/>
      <w:r>
        <w:rPr>
          <w:rFonts w:ascii="Book Antiqua" w:hAnsi="Book Antiqua" w:cs="Arial"/>
        </w:rPr>
        <w:t>B(</w:t>
      </w:r>
      <w:proofErr w:type="gramEnd"/>
      <w:r>
        <w:rPr>
          <w:rFonts w:ascii="Book Antiqua" w:hAnsi="Book Antiqua" w:cs="Arial"/>
        </w:rPr>
        <w:t>6) is as follows:</w:t>
      </w:r>
    </w:p>
    <w:p w:rsidR="00F30525" w:rsidRDefault="00F101B4" w:rsidP="00F101B4">
      <w:pPr>
        <w:spacing w:before="120"/>
        <w:ind w:left="1701" w:hanging="567"/>
        <w:jc w:val="both"/>
        <w:rPr>
          <w:rFonts w:ascii="Book Antiqua" w:hAnsi="Book Antiqua" w:cs="Arial"/>
          <w:sz w:val="22"/>
          <w:szCs w:val="22"/>
        </w:rPr>
      </w:pPr>
      <w:r>
        <w:rPr>
          <w:rFonts w:ascii="Book Antiqua" w:hAnsi="Book Antiqua" w:cs="Arial"/>
          <w:sz w:val="22"/>
          <w:szCs w:val="22"/>
        </w:rPr>
        <w:t>“(6)</w:t>
      </w:r>
      <w:r>
        <w:rPr>
          <w:rFonts w:ascii="Book Antiqua" w:hAnsi="Book Antiqua" w:cs="Arial"/>
          <w:sz w:val="22"/>
          <w:szCs w:val="22"/>
        </w:rPr>
        <w:tab/>
      </w:r>
      <w:r w:rsidR="00681D8E">
        <w:rPr>
          <w:rFonts w:ascii="Book Antiqua" w:hAnsi="Book Antiqua" w:cs="Arial"/>
          <w:sz w:val="22"/>
          <w:szCs w:val="22"/>
        </w:rPr>
        <w:t xml:space="preserve">in the case of a person who is not liable to deportation, the public interest does not require the person’s removal where – </w:t>
      </w:r>
    </w:p>
    <w:p w:rsidR="00681D8E" w:rsidRDefault="00681D8E" w:rsidP="00F101B4">
      <w:pPr>
        <w:numPr>
          <w:ilvl w:val="1"/>
          <w:numId w:val="1"/>
        </w:numPr>
        <w:tabs>
          <w:tab w:val="clear" w:pos="1134"/>
        </w:tabs>
        <w:spacing w:before="120"/>
        <w:ind w:left="2268"/>
        <w:jc w:val="both"/>
        <w:rPr>
          <w:rFonts w:ascii="Book Antiqua" w:hAnsi="Book Antiqua" w:cs="Arial"/>
          <w:sz w:val="22"/>
          <w:szCs w:val="22"/>
        </w:rPr>
      </w:pPr>
      <w:r>
        <w:rPr>
          <w:rFonts w:ascii="Book Antiqua" w:hAnsi="Book Antiqua" w:cs="Arial"/>
          <w:sz w:val="22"/>
          <w:szCs w:val="22"/>
        </w:rPr>
        <w:t xml:space="preserve">the person has a genuine and subsisting parental relationship with a     </w:t>
      </w:r>
      <w:r w:rsidR="00336657">
        <w:rPr>
          <w:rFonts w:ascii="Book Antiqua" w:hAnsi="Book Antiqua" w:cs="Arial"/>
          <w:sz w:val="22"/>
          <w:szCs w:val="22"/>
        </w:rPr>
        <w:t>q</w:t>
      </w:r>
      <w:r>
        <w:rPr>
          <w:rFonts w:ascii="Book Antiqua" w:hAnsi="Book Antiqua" w:cs="Arial"/>
          <w:sz w:val="22"/>
          <w:szCs w:val="22"/>
        </w:rPr>
        <w:t>ualified child, and</w:t>
      </w:r>
    </w:p>
    <w:p w:rsidR="00681D8E" w:rsidRPr="00F30525" w:rsidRDefault="00681D8E" w:rsidP="00F101B4">
      <w:pPr>
        <w:numPr>
          <w:ilvl w:val="1"/>
          <w:numId w:val="1"/>
        </w:numPr>
        <w:tabs>
          <w:tab w:val="clear" w:pos="1134"/>
        </w:tabs>
        <w:spacing w:before="120"/>
        <w:ind w:left="2268"/>
        <w:jc w:val="both"/>
        <w:rPr>
          <w:rFonts w:ascii="Book Antiqua" w:hAnsi="Book Antiqua" w:cs="Arial"/>
          <w:sz w:val="22"/>
          <w:szCs w:val="22"/>
        </w:rPr>
      </w:pPr>
      <w:r>
        <w:rPr>
          <w:rFonts w:ascii="Book Antiqua" w:hAnsi="Book Antiqua" w:cs="Arial"/>
          <w:sz w:val="22"/>
          <w:szCs w:val="22"/>
        </w:rPr>
        <w:t>it would not be reasonable to expect the child to leave the United Kingdom”.</w:t>
      </w:r>
    </w:p>
    <w:p w:rsidR="009D5F31" w:rsidRDefault="00681D8E" w:rsidP="0091640D">
      <w:pPr>
        <w:spacing w:before="240"/>
        <w:ind w:left="540"/>
        <w:jc w:val="both"/>
        <w:rPr>
          <w:rFonts w:ascii="Book Antiqua" w:hAnsi="Book Antiqua" w:cs="Arial"/>
        </w:rPr>
      </w:pPr>
      <w:r>
        <w:rPr>
          <w:rFonts w:ascii="Book Antiqua" w:hAnsi="Book Antiqua" w:cs="Arial"/>
        </w:rPr>
        <w:t>The “public interest” for these purposes is the public interest for the purp</w:t>
      </w:r>
      <w:r w:rsidR="00520A18">
        <w:rPr>
          <w:rFonts w:ascii="Book Antiqua" w:hAnsi="Book Antiqua" w:cs="Arial"/>
        </w:rPr>
        <w:t>oses of assessing the proportionality of an interference with a right protected by article 8 of the European Convention on Human Rights</w:t>
      </w:r>
      <w:r w:rsidR="00DF19F1">
        <w:rPr>
          <w:rFonts w:ascii="Book Antiqua" w:hAnsi="Book Antiqua" w:cs="Arial"/>
        </w:rPr>
        <w:t xml:space="preserve">; and, for the purposes of the present </w:t>
      </w:r>
      <w:r w:rsidR="00DF19F1">
        <w:rPr>
          <w:rFonts w:ascii="Book Antiqua" w:hAnsi="Book Antiqua" w:cs="Arial"/>
        </w:rPr>
        <w:lastRenderedPageBreak/>
        <w:t xml:space="preserve">provision, the second appellant is a “qualifying child”, having lived in the United Kingdom for a continuous period of seven years or more. We should say that there is no dispute that the first appellant has a genuine and subsisting parental relationship with the second appellant.  </w:t>
      </w:r>
    </w:p>
    <w:p w:rsidR="00681D8E" w:rsidRDefault="00DF19F1" w:rsidP="00866F81">
      <w:pPr>
        <w:numPr>
          <w:ilvl w:val="0"/>
          <w:numId w:val="1"/>
        </w:numPr>
        <w:tabs>
          <w:tab w:val="clear" w:pos="567"/>
        </w:tabs>
        <w:spacing w:before="240"/>
        <w:jc w:val="both"/>
        <w:rPr>
          <w:rFonts w:ascii="Book Antiqua" w:hAnsi="Book Antiqua" w:cs="Arial"/>
        </w:rPr>
      </w:pPr>
      <w:r>
        <w:rPr>
          <w:rFonts w:ascii="Book Antiqua" w:hAnsi="Book Antiqua" w:cs="Arial"/>
        </w:rPr>
        <w:t>It thus follows</w:t>
      </w:r>
      <w:r w:rsidR="00305FB2">
        <w:rPr>
          <w:rFonts w:ascii="Book Antiqua" w:hAnsi="Book Antiqua" w:cs="Arial"/>
        </w:rPr>
        <w:t xml:space="preserve"> that, in relation to all these provisions, the question is whether it is reasonable to expect the second appellant to leave the </w:t>
      </w:r>
      <w:smartTag w:uri="urn:schemas-microsoft-com:office:smarttags" w:element="country-region">
        <w:smartTag w:uri="urn:schemas-microsoft-com:office:smarttags" w:element="place">
          <w:r w:rsidR="00305FB2">
            <w:rPr>
              <w:rFonts w:ascii="Book Antiqua" w:hAnsi="Book Antiqua" w:cs="Arial"/>
            </w:rPr>
            <w:t>United Kingdom</w:t>
          </w:r>
        </w:smartTag>
      </w:smartTag>
      <w:r w:rsidR="00305FB2">
        <w:rPr>
          <w:rFonts w:ascii="Book Antiqua" w:hAnsi="Book Antiqua" w:cs="Arial"/>
        </w:rPr>
        <w:t xml:space="preserve">.  In assessing that question, it is clear, whether by reference to s 55 of the Borders, Citizenship &amp; Immigration Act 2009 or otherwise, the best interests of the second appellant are a primary consideration.  </w:t>
      </w:r>
    </w:p>
    <w:p w:rsidR="00681D8E" w:rsidRDefault="00305FB2" w:rsidP="00866F81">
      <w:pPr>
        <w:numPr>
          <w:ilvl w:val="0"/>
          <w:numId w:val="1"/>
        </w:numPr>
        <w:tabs>
          <w:tab w:val="clear" w:pos="567"/>
        </w:tabs>
        <w:spacing w:before="240"/>
        <w:jc w:val="both"/>
        <w:rPr>
          <w:rFonts w:ascii="Book Antiqua" w:hAnsi="Book Antiqua" w:cs="Arial"/>
        </w:rPr>
      </w:pPr>
      <w:r>
        <w:rPr>
          <w:rFonts w:ascii="Book Antiqua" w:hAnsi="Book Antiqua" w:cs="Arial"/>
        </w:rPr>
        <w:t xml:space="preserve">The judge was required to determine any relevant matters on the basis of the evidence before her.  She considered and specifically noted the documents from the second appellant’s school, and the first appellant’s assertion that making him leave the </w:t>
      </w:r>
      <w:smartTag w:uri="urn:schemas-microsoft-com:office:smarttags" w:element="place">
        <w:smartTag w:uri="urn:schemas-microsoft-com:office:smarttags" w:element="country-region">
          <w:r>
            <w:rPr>
              <w:rFonts w:ascii="Book Antiqua" w:hAnsi="Book Antiqua" w:cs="Arial"/>
            </w:rPr>
            <w:t>United Kingdom</w:t>
          </w:r>
        </w:smartTag>
      </w:smartTag>
      <w:r>
        <w:rPr>
          <w:rFonts w:ascii="Book Antiqua" w:hAnsi="Book Antiqua" w:cs="Arial"/>
        </w:rPr>
        <w:t xml:space="preserve"> would “affect his social, emotional and physical well being”.  There appears to be no other evidence supporting that assertion.  The judge noted that the second appellant is familiar with the four main languages spoken in </w:t>
      </w:r>
      <w:smartTag w:uri="urn:schemas-microsoft-com:office:smarttags" w:element="country-region">
        <w:r>
          <w:rPr>
            <w:rFonts w:ascii="Book Antiqua" w:hAnsi="Book Antiqua" w:cs="Arial"/>
          </w:rPr>
          <w:t>Gambia</w:t>
        </w:r>
      </w:smartTag>
      <w:r>
        <w:rPr>
          <w:rFonts w:ascii="Book Antiqua" w:hAnsi="Book Antiqua" w:cs="Arial"/>
        </w:rPr>
        <w:t xml:space="preserve">, and has uncles, aunts and cousins, as well as grandparents (the first appellant’s parents) in </w:t>
      </w:r>
      <w:smartTag w:uri="urn:schemas-microsoft-com:office:smarttags" w:element="country-region">
        <w:smartTag w:uri="urn:schemas-microsoft-com:office:smarttags" w:element="place">
          <w:r>
            <w:rPr>
              <w:rFonts w:ascii="Book Antiqua" w:hAnsi="Book Antiqua" w:cs="Arial"/>
            </w:rPr>
            <w:t>Gambia</w:t>
          </w:r>
        </w:smartTag>
      </w:smartTag>
      <w:r>
        <w:rPr>
          <w:rFonts w:ascii="Book Antiqua" w:hAnsi="Book Antiqua" w:cs="Arial"/>
        </w:rPr>
        <w:t xml:space="preserve">.   The judge noted that there was no other relative with </w:t>
      </w:r>
      <w:r w:rsidR="00ED4AD8">
        <w:rPr>
          <w:rFonts w:ascii="Book Antiqua" w:hAnsi="Book Antiqua" w:cs="Arial"/>
        </w:rPr>
        <w:t xml:space="preserve">whom the second appellant could remain in the </w:t>
      </w:r>
      <w:smartTag w:uri="urn:schemas-microsoft-com:office:smarttags" w:element="country-region">
        <w:smartTag w:uri="urn:schemas-microsoft-com:office:smarttags" w:element="place">
          <w:r w:rsidR="00ED4AD8">
            <w:rPr>
              <w:rFonts w:ascii="Book Antiqua" w:hAnsi="Book Antiqua" w:cs="Arial"/>
            </w:rPr>
            <w:t>United Kingdom</w:t>
          </w:r>
        </w:smartTag>
      </w:smartTag>
      <w:r w:rsidR="00ED4AD8">
        <w:rPr>
          <w:rFonts w:ascii="Book Antiqua" w:hAnsi="Book Antiqua" w:cs="Arial"/>
        </w:rPr>
        <w:t xml:space="preserve">, if the first appellant left.  Her conclusions were as follows: </w:t>
      </w:r>
    </w:p>
    <w:p w:rsidR="00ED4AD8" w:rsidRDefault="00ED4AD8" w:rsidP="00F101B4">
      <w:pPr>
        <w:spacing w:before="120"/>
        <w:ind w:left="1701" w:right="567" w:hanging="567"/>
        <w:jc w:val="both"/>
        <w:rPr>
          <w:rFonts w:ascii="Book Antiqua" w:hAnsi="Book Antiqua" w:cs="Arial"/>
          <w:sz w:val="22"/>
          <w:szCs w:val="22"/>
        </w:rPr>
      </w:pPr>
      <w:r>
        <w:rPr>
          <w:rFonts w:ascii="Book Antiqua" w:hAnsi="Book Antiqua" w:cs="Arial"/>
          <w:sz w:val="22"/>
          <w:szCs w:val="22"/>
        </w:rPr>
        <w:t xml:space="preserve">“24.  It is reasonable to accept </w:t>
      </w:r>
      <w:r w:rsidR="00AC1FC0">
        <w:rPr>
          <w:rFonts w:ascii="Book Antiqua" w:hAnsi="Book Antiqua" w:cs="Arial"/>
          <w:sz w:val="22"/>
          <w:szCs w:val="22"/>
        </w:rPr>
        <w:t xml:space="preserve">that [the second appellant] will have put down roots and integrated into life in the UK as he has been here over 7 years and has recently started secondary school.  However, given the facts as set out </w:t>
      </w:r>
      <w:r w:rsidR="002112E9">
        <w:rPr>
          <w:rFonts w:ascii="Book Antiqua" w:hAnsi="Book Antiqua" w:cs="Arial"/>
          <w:sz w:val="22"/>
          <w:szCs w:val="22"/>
        </w:rPr>
        <w:t xml:space="preserve">[above] </w:t>
      </w:r>
      <w:r w:rsidR="00AC1FC0">
        <w:rPr>
          <w:rFonts w:ascii="Book Antiqua" w:hAnsi="Book Antiqua" w:cs="Arial"/>
          <w:sz w:val="22"/>
          <w:szCs w:val="22"/>
        </w:rPr>
        <w:t xml:space="preserve">it would appear to be the case that the appellants have existing family and social ties to </w:t>
      </w:r>
      <w:smartTag w:uri="urn:schemas-microsoft-com:office:smarttags" w:element="country-region">
        <w:smartTag w:uri="urn:schemas-microsoft-com:office:smarttags" w:element="place">
          <w:r w:rsidR="00AC1FC0">
            <w:rPr>
              <w:rFonts w:ascii="Book Antiqua" w:hAnsi="Book Antiqua" w:cs="Arial"/>
              <w:sz w:val="22"/>
              <w:szCs w:val="22"/>
            </w:rPr>
            <w:t>Gambia</w:t>
          </w:r>
        </w:smartTag>
      </w:smartTag>
      <w:r w:rsidR="00AC1FC0">
        <w:rPr>
          <w:rFonts w:ascii="Book Antiqua" w:hAnsi="Book Antiqua" w:cs="Arial"/>
          <w:sz w:val="22"/>
          <w:szCs w:val="22"/>
        </w:rPr>
        <w:t xml:space="preserve">.  They are also familiar with the languages of that country and English is spoken there.  There is no evidence before me to suggest that [the second appellant] is suffering from any health conditions requiring treatment in the </w:t>
      </w:r>
      <w:smartTag w:uri="urn:schemas-microsoft-com:office:smarttags" w:element="country-region">
        <w:smartTag w:uri="urn:schemas-microsoft-com:office:smarttags" w:element="place">
          <w:r w:rsidR="00AC1FC0">
            <w:rPr>
              <w:rFonts w:ascii="Book Antiqua" w:hAnsi="Book Antiqua" w:cs="Arial"/>
              <w:sz w:val="22"/>
              <w:szCs w:val="22"/>
            </w:rPr>
            <w:t>UK</w:t>
          </w:r>
        </w:smartTag>
      </w:smartTag>
      <w:r w:rsidR="00AC1FC0">
        <w:rPr>
          <w:rFonts w:ascii="Book Antiqua" w:hAnsi="Book Antiqua" w:cs="Arial"/>
          <w:sz w:val="22"/>
          <w:szCs w:val="22"/>
        </w:rPr>
        <w:t xml:space="preserve">.  Given his age and with the support of his mother and other family members it is reasonable to include that he will be able to re-adapt to life in </w:t>
      </w:r>
      <w:smartTag w:uri="urn:schemas-microsoft-com:office:smarttags" w:element="place">
        <w:smartTag w:uri="urn:schemas-microsoft-com:office:smarttags" w:element="country-region">
          <w:r w:rsidR="00AC1FC0">
            <w:rPr>
              <w:rFonts w:ascii="Book Antiqua" w:hAnsi="Book Antiqua" w:cs="Arial"/>
              <w:sz w:val="22"/>
              <w:szCs w:val="22"/>
            </w:rPr>
            <w:t>Gambia</w:t>
          </w:r>
        </w:smartTag>
      </w:smartTag>
      <w:r w:rsidR="00AC1FC0">
        <w:rPr>
          <w:rFonts w:ascii="Book Antiqua" w:hAnsi="Book Antiqua" w:cs="Arial"/>
          <w:sz w:val="22"/>
          <w:szCs w:val="22"/>
        </w:rPr>
        <w:t>.”</w:t>
      </w:r>
    </w:p>
    <w:p w:rsidR="00AC1FC0" w:rsidRPr="00ED4AD8" w:rsidRDefault="00AC1FC0" w:rsidP="00F101B4">
      <w:pPr>
        <w:spacing w:before="120"/>
        <w:ind w:left="1701" w:right="567" w:hanging="567"/>
        <w:jc w:val="both"/>
        <w:rPr>
          <w:rFonts w:ascii="Book Antiqua" w:hAnsi="Book Antiqua" w:cs="Arial"/>
          <w:sz w:val="22"/>
          <w:szCs w:val="22"/>
        </w:rPr>
      </w:pPr>
      <w:r>
        <w:rPr>
          <w:rFonts w:ascii="Book Antiqua" w:hAnsi="Book Antiqua" w:cs="Arial"/>
          <w:sz w:val="22"/>
          <w:szCs w:val="22"/>
        </w:rPr>
        <w:t xml:space="preserve">  25.  After taking into consideration the evidence in the round, I find that it would not be unreasonable to expect [the second appellant] to leave the </w:t>
      </w:r>
      <w:smartTag w:uri="urn:schemas-microsoft-com:office:smarttags" w:element="country-region">
        <w:smartTag w:uri="urn:schemas-microsoft-com:office:smarttags" w:element="place">
          <w:r>
            <w:rPr>
              <w:rFonts w:ascii="Book Antiqua" w:hAnsi="Book Antiqua" w:cs="Arial"/>
              <w:sz w:val="22"/>
              <w:szCs w:val="22"/>
            </w:rPr>
            <w:t>UK</w:t>
          </w:r>
        </w:smartTag>
      </w:smartTag>
      <w:r>
        <w:rPr>
          <w:rFonts w:ascii="Book Antiqua" w:hAnsi="Book Antiqua" w:cs="Arial"/>
          <w:sz w:val="22"/>
          <w:szCs w:val="22"/>
        </w:rPr>
        <w:t xml:space="preserve"> with his mother.”</w:t>
      </w:r>
    </w:p>
    <w:p w:rsidR="00681D8E" w:rsidRDefault="00AC1FC0" w:rsidP="00866F81">
      <w:pPr>
        <w:numPr>
          <w:ilvl w:val="0"/>
          <w:numId w:val="1"/>
        </w:numPr>
        <w:tabs>
          <w:tab w:val="clear" w:pos="567"/>
        </w:tabs>
        <w:spacing w:before="240"/>
        <w:jc w:val="both"/>
        <w:rPr>
          <w:rFonts w:ascii="Book Antiqua" w:hAnsi="Book Antiqua" w:cs="Arial"/>
        </w:rPr>
      </w:pPr>
      <w:r>
        <w:rPr>
          <w:rFonts w:ascii="Book Antiqua" w:hAnsi="Book Antiqua" w:cs="Arial"/>
        </w:rPr>
        <w:t xml:space="preserve">The judge therefore concluded that </w:t>
      </w:r>
      <w:r w:rsidR="00A93135">
        <w:rPr>
          <w:rFonts w:ascii="Book Antiqua" w:hAnsi="Book Antiqua" w:cs="Arial"/>
        </w:rPr>
        <w:t xml:space="preserve">it had not been shown that either of the appellants </w:t>
      </w:r>
      <w:r w:rsidR="0073255A">
        <w:rPr>
          <w:rFonts w:ascii="Book Antiqua" w:hAnsi="Book Antiqua" w:cs="Arial"/>
        </w:rPr>
        <w:t>had any right to remain under the Immigration Rules.  She did not cite s 117</w:t>
      </w:r>
      <w:proofErr w:type="gramStart"/>
      <w:r w:rsidR="0073255A">
        <w:rPr>
          <w:rFonts w:ascii="Book Antiqua" w:hAnsi="Book Antiqua" w:cs="Arial"/>
        </w:rPr>
        <w:t>D(</w:t>
      </w:r>
      <w:proofErr w:type="gramEnd"/>
      <w:r w:rsidR="0073255A">
        <w:rPr>
          <w:rFonts w:ascii="Book Antiqua" w:hAnsi="Book Antiqua" w:cs="Arial"/>
        </w:rPr>
        <w:t xml:space="preserve">6), but that would have raised no distinguishable question.  The judge also decided that the evidence did not disclose any circumstances making it necessary to consider whether there was some reason why the appellant should be entitled to stay in the </w:t>
      </w:r>
      <w:smartTag w:uri="urn:schemas-microsoft-com:office:smarttags" w:element="place">
        <w:smartTag w:uri="urn:schemas-microsoft-com:office:smarttags" w:element="country-region">
          <w:r w:rsidR="0073255A">
            <w:rPr>
              <w:rFonts w:ascii="Book Antiqua" w:hAnsi="Book Antiqua" w:cs="Arial"/>
            </w:rPr>
            <w:t>United Kingdom</w:t>
          </w:r>
        </w:smartTag>
      </w:smartTag>
      <w:r w:rsidR="00582C2C">
        <w:rPr>
          <w:rFonts w:ascii="Book Antiqua" w:hAnsi="Book Antiqua" w:cs="Arial"/>
        </w:rPr>
        <w:t xml:space="preserve"> despite not meeting the requirements of the Immigration Rules. </w:t>
      </w:r>
    </w:p>
    <w:p w:rsidR="00582C2C" w:rsidRDefault="00582C2C" w:rsidP="00866F81">
      <w:pPr>
        <w:numPr>
          <w:ilvl w:val="0"/>
          <w:numId w:val="1"/>
        </w:numPr>
        <w:tabs>
          <w:tab w:val="clear" w:pos="567"/>
        </w:tabs>
        <w:spacing w:before="240"/>
        <w:jc w:val="both"/>
        <w:rPr>
          <w:rFonts w:ascii="Book Antiqua" w:hAnsi="Book Antiqua" w:cs="Arial"/>
        </w:rPr>
      </w:pPr>
      <w:r>
        <w:rPr>
          <w:rFonts w:ascii="Book Antiqua" w:hAnsi="Book Antiqua" w:cs="Arial"/>
        </w:rPr>
        <w:t xml:space="preserve">The grounds of appeal, and the appellant’s case as put to us, </w:t>
      </w:r>
      <w:r w:rsidR="005B1309">
        <w:rPr>
          <w:rFonts w:ascii="Book Antiqua" w:hAnsi="Book Antiqua" w:cs="Arial"/>
        </w:rPr>
        <w:t xml:space="preserve">was on the basis of exhortation: that the </w:t>
      </w:r>
      <w:r w:rsidR="00F8505D">
        <w:rPr>
          <w:rFonts w:ascii="Book Antiqua" w:hAnsi="Book Antiqua" w:cs="Arial"/>
        </w:rPr>
        <w:t xml:space="preserve">second appellant should be allowed to stay in the </w:t>
      </w:r>
      <w:smartTag w:uri="urn:schemas-microsoft-com:office:smarttags" w:element="place">
        <w:smartTag w:uri="urn:schemas-microsoft-com:office:smarttags" w:element="country-region">
          <w:r w:rsidR="00F8505D">
            <w:rPr>
              <w:rFonts w:ascii="Book Antiqua" w:hAnsi="Book Antiqua" w:cs="Arial"/>
            </w:rPr>
            <w:t>United Kingdom</w:t>
          </w:r>
        </w:smartTag>
      </w:smartTag>
      <w:r w:rsidR="00F8505D">
        <w:rPr>
          <w:rFonts w:ascii="Book Antiqua" w:hAnsi="Book Antiqua" w:cs="Arial"/>
        </w:rPr>
        <w:t xml:space="preserve"> for his education.  We are, however, wholly unable to discover any error of law in the judge’s approach to the evidence.  It cannot be said as a general matter that </w:t>
      </w:r>
      <w:r w:rsidR="00F8505D">
        <w:rPr>
          <w:rFonts w:ascii="Book Antiqua" w:hAnsi="Book Antiqua" w:cs="Arial"/>
        </w:rPr>
        <w:lastRenderedPageBreak/>
        <w:t xml:space="preserve">it is not in a child’s best interests to live in various different countries.  There is no evidence that the education system in </w:t>
      </w:r>
      <w:smartTag w:uri="urn:schemas-microsoft-com:office:smarttags" w:element="country-region">
        <w:smartTag w:uri="urn:schemas-microsoft-com:office:smarttags" w:element="place">
          <w:r w:rsidR="00F8505D">
            <w:rPr>
              <w:rFonts w:ascii="Book Antiqua" w:hAnsi="Book Antiqua" w:cs="Arial"/>
            </w:rPr>
            <w:t>Gambia</w:t>
          </w:r>
        </w:smartTag>
      </w:smartTag>
      <w:r w:rsidR="00F8505D">
        <w:rPr>
          <w:rFonts w:ascii="Book Antiqua" w:hAnsi="Book Antiqua" w:cs="Arial"/>
        </w:rPr>
        <w:t xml:space="preserve"> will not serve him well.  He will have the advantage of exposure to two different cultures in the course of his upbringing and development.  </w:t>
      </w:r>
      <w:proofErr w:type="gramStart"/>
      <w:r w:rsidR="00F8505D">
        <w:rPr>
          <w:rFonts w:ascii="Book Antiqua" w:hAnsi="Book Antiqua" w:cs="Arial"/>
        </w:rPr>
        <w:t>Of course</w:t>
      </w:r>
      <w:proofErr w:type="gramEnd"/>
      <w:r w:rsidR="00F8505D">
        <w:rPr>
          <w:rFonts w:ascii="Book Antiqua" w:hAnsi="Book Antiqua" w:cs="Arial"/>
        </w:rPr>
        <w:t xml:space="preserve"> there will be a measure of disruption, but there can be no suggestion that he will not retain some contacts and make others.  Further, as the judge indicated, there is no evidence that the second appellant has any need to be in the </w:t>
      </w:r>
      <w:smartTag w:uri="urn:schemas-microsoft-com:office:smarttags" w:element="country-region">
        <w:smartTag w:uri="urn:schemas-microsoft-com:office:smarttags" w:element="place">
          <w:r w:rsidR="00F8505D">
            <w:rPr>
              <w:rFonts w:ascii="Book Antiqua" w:hAnsi="Book Antiqua" w:cs="Arial"/>
            </w:rPr>
            <w:t>United Kingdom</w:t>
          </w:r>
        </w:smartTag>
      </w:smartTag>
      <w:r w:rsidR="00F8505D">
        <w:rPr>
          <w:rFonts w:ascii="Book Antiqua" w:hAnsi="Book Antiqua" w:cs="Arial"/>
        </w:rPr>
        <w:t xml:space="preserve">.  If we were considering the matter afresh on the evidence available we should, we think, necessarily find that it had not been shown that it would not be reasonable to expect the second appellant to leave the </w:t>
      </w:r>
      <w:smartTag w:uri="urn:schemas-microsoft-com:office:smarttags" w:element="country-region">
        <w:smartTag w:uri="urn:schemas-microsoft-com:office:smarttags" w:element="place">
          <w:r w:rsidR="00F8505D">
            <w:rPr>
              <w:rFonts w:ascii="Book Antiqua" w:hAnsi="Book Antiqua" w:cs="Arial"/>
            </w:rPr>
            <w:t>United Kingdom</w:t>
          </w:r>
        </w:smartTag>
      </w:smartTag>
      <w:r w:rsidR="00F8505D">
        <w:rPr>
          <w:rFonts w:ascii="Book Antiqua" w:hAnsi="Book Antiqua" w:cs="Arial"/>
        </w:rPr>
        <w:t xml:space="preserve">.  Certainly, the judge was wholly entitled to reach the conclusion she did.  </w:t>
      </w:r>
    </w:p>
    <w:p w:rsidR="00F8505D" w:rsidRDefault="00F8505D" w:rsidP="00866F81">
      <w:pPr>
        <w:numPr>
          <w:ilvl w:val="0"/>
          <w:numId w:val="1"/>
        </w:numPr>
        <w:tabs>
          <w:tab w:val="clear" w:pos="567"/>
        </w:tabs>
        <w:spacing w:before="240"/>
        <w:jc w:val="both"/>
        <w:rPr>
          <w:rFonts w:ascii="Book Antiqua" w:hAnsi="Book Antiqua" w:cs="Arial"/>
        </w:rPr>
      </w:pPr>
      <w:r>
        <w:rPr>
          <w:rFonts w:ascii="Book Antiqua" w:hAnsi="Book Antiqua" w:cs="Arial"/>
        </w:rPr>
        <w:t xml:space="preserve">The appeal to this Tribunal is accordingly dismissed. </w:t>
      </w:r>
    </w:p>
    <w:p w:rsidR="00462A0C" w:rsidRDefault="00462A0C" w:rsidP="00462A0C">
      <w:pPr>
        <w:spacing w:before="240"/>
        <w:jc w:val="both"/>
        <w:rPr>
          <w:rFonts w:ascii="Book Antiqua" w:hAnsi="Book Antiqua" w:cs="Arial"/>
        </w:rPr>
      </w:pPr>
    </w:p>
    <w:p w:rsidR="004610E3" w:rsidRPr="009B7433" w:rsidRDefault="004610E3" w:rsidP="000A0743">
      <w:pPr>
        <w:jc w:val="both"/>
        <w:rPr>
          <w:rFonts w:ascii="Book Antiqua" w:hAnsi="Book Antiqua" w:cs="Arial"/>
        </w:rPr>
      </w:pPr>
    </w:p>
    <w:p w:rsidR="00342DE4" w:rsidRDefault="000418A0" w:rsidP="00342DE4">
      <w:pPr>
        <w:ind w:left="4500"/>
        <w:jc w:val="right"/>
        <w:rPr>
          <w:rFonts w:ascii="Book Antiqua" w:hAnsi="Book Antiqua"/>
        </w:rPr>
      </w:pPr>
      <w:r>
        <w:rPr>
          <w:rFonts w:ascii="Book Antiqua" w:hAnsi="Book Antiqua"/>
        </w:rPr>
        <w:t>C</w:t>
      </w:r>
      <w:r w:rsidR="00342DE4">
        <w:rPr>
          <w:rFonts w:ascii="Book Antiqua" w:hAnsi="Book Antiqua"/>
        </w:rPr>
        <w:t>. M. G. OCKELTON</w:t>
      </w:r>
    </w:p>
    <w:p w:rsidR="00342DE4" w:rsidRDefault="00342DE4" w:rsidP="00342DE4">
      <w:pPr>
        <w:ind w:left="4500"/>
        <w:jc w:val="right"/>
        <w:rPr>
          <w:rFonts w:ascii="Book Antiqua" w:hAnsi="Book Antiqua"/>
        </w:rPr>
      </w:pPr>
      <w:r>
        <w:rPr>
          <w:rFonts w:ascii="Book Antiqua" w:hAnsi="Book Antiqua"/>
        </w:rPr>
        <w:t>VICE PRESIDENT OF THE UPPER TRIBUNAL</w:t>
      </w:r>
    </w:p>
    <w:p w:rsidR="00342DE4" w:rsidRPr="0057456D" w:rsidRDefault="00342DE4" w:rsidP="00342DE4">
      <w:pPr>
        <w:ind w:left="4500"/>
        <w:jc w:val="right"/>
        <w:rPr>
          <w:rFonts w:ascii="Book Antiqua" w:hAnsi="Book Antiqua"/>
        </w:rPr>
      </w:pPr>
      <w:r w:rsidRPr="0057456D">
        <w:rPr>
          <w:rFonts w:ascii="Book Antiqua" w:hAnsi="Book Antiqua"/>
        </w:rPr>
        <w:t>IMMIGRATION AND ASYLUM CHAMBER</w:t>
      </w:r>
    </w:p>
    <w:p w:rsidR="00342DE4" w:rsidRDefault="00342DE4" w:rsidP="000418A0">
      <w:pPr>
        <w:tabs>
          <w:tab w:val="left" w:pos="2520"/>
        </w:tabs>
        <w:jc w:val="right"/>
        <w:rPr>
          <w:rFonts w:ascii="Book Antiqua" w:hAnsi="Book Antiqua" w:cs="Arial"/>
        </w:rPr>
      </w:pPr>
      <w:r>
        <w:rPr>
          <w:rFonts w:ascii="Book Antiqua" w:hAnsi="Book Antiqua"/>
        </w:rPr>
        <w:t xml:space="preserve">Date: </w:t>
      </w:r>
      <w:r w:rsidR="007D33D2">
        <w:rPr>
          <w:rFonts w:ascii="Book Antiqua" w:hAnsi="Book Antiqua"/>
        </w:rPr>
        <w:t>8 May</w:t>
      </w:r>
      <w:r w:rsidR="00395578">
        <w:rPr>
          <w:rFonts w:ascii="Book Antiqua" w:hAnsi="Book Antiqua"/>
        </w:rPr>
        <w:t xml:space="preserve"> </w:t>
      </w:r>
      <w:r w:rsidR="00C91E5C">
        <w:rPr>
          <w:rFonts w:ascii="Book Antiqua" w:hAnsi="Book Antiqua"/>
        </w:rPr>
        <w:t>2018.</w:t>
      </w:r>
    </w:p>
    <w:p w:rsidR="00D949B7" w:rsidRDefault="00D949B7" w:rsidP="009C04E6">
      <w:pPr>
        <w:tabs>
          <w:tab w:val="left" w:pos="2520"/>
        </w:tabs>
        <w:jc w:val="right"/>
        <w:rPr>
          <w:rFonts w:ascii="Book Antiqua" w:hAnsi="Book Antiqua" w:cs="Arial"/>
        </w:rPr>
      </w:pPr>
    </w:p>
    <w:sectPr w:rsidR="00D949B7" w:rsidSect="00D15FAD">
      <w:headerReference w:type="default" r:id="rId8"/>
      <w:footerReference w:type="default" r:id="rId9"/>
      <w:headerReference w:type="first" r:id="rId10"/>
      <w:footerReference w:type="first" r:id="rId11"/>
      <w:pgSz w:w="11906" w:h="16838"/>
      <w:pgMar w:top="1797"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367C3" w:rsidRDefault="00B367C3">
      <w:r>
        <w:separator/>
      </w:r>
    </w:p>
  </w:endnote>
  <w:endnote w:type="continuationSeparator" w:id="0">
    <w:p w:rsidR="00B367C3" w:rsidRDefault="00B367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838E8" w:rsidRPr="009B7433" w:rsidRDefault="00B838E8" w:rsidP="00593795">
    <w:pPr>
      <w:pStyle w:val="Footer"/>
      <w:jc w:val="center"/>
      <w:rPr>
        <w:rFonts w:ascii="Book Antiqua" w:hAnsi="Book Antiqua" w:cs="Arial"/>
        <w:sz w:val="16"/>
        <w:szCs w:val="16"/>
      </w:rPr>
    </w:pPr>
    <w:r w:rsidRPr="009B7433">
      <w:rPr>
        <w:rStyle w:val="PageNumber"/>
        <w:rFonts w:ascii="Book Antiqua" w:hAnsi="Book Antiqua" w:cs="Arial"/>
        <w:sz w:val="16"/>
        <w:szCs w:val="16"/>
      </w:rPr>
      <w:fldChar w:fldCharType="begin"/>
    </w:r>
    <w:r w:rsidRPr="009B7433">
      <w:rPr>
        <w:rStyle w:val="PageNumber"/>
        <w:rFonts w:ascii="Book Antiqua" w:hAnsi="Book Antiqua" w:cs="Arial"/>
        <w:sz w:val="16"/>
        <w:szCs w:val="16"/>
      </w:rPr>
      <w:instrText xml:space="preserve"> PAGE </w:instrText>
    </w:r>
    <w:r w:rsidRPr="009B7433">
      <w:rPr>
        <w:rStyle w:val="PageNumber"/>
        <w:rFonts w:ascii="Book Antiqua" w:hAnsi="Book Antiqua" w:cs="Arial"/>
        <w:sz w:val="16"/>
        <w:szCs w:val="16"/>
      </w:rPr>
      <w:fldChar w:fldCharType="separate"/>
    </w:r>
    <w:r w:rsidR="00C156EE">
      <w:rPr>
        <w:rStyle w:val="PageNumber"/>
        <w:rFonts w:ascii="Book Antiqua" w:hAnsi="Book Antiqua" w:cs="Arial"/>
        <w:noProof/>
        <w:sz w:val="16"/>
        <w:szCs w:val="16"/>
      </w:rPr>
      <w:t>4</w:t>
    </w:r>
    <w:r w:rsidRPr="009B7433">
      <w:rPr>
        <w:rStyle w:val="PageNumber"/>
        <w:rFonts w:ascii="Book Antiqua" w:hAnsi="Book Antiqua"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838E8" w:rsidRPr="009B7433" w:rsidRDefault="00B838E8" w:rsidP="004B70D7">
    <w:pPr>
      <w:jc w:val="center"/>
      <w:rPr>
        <w:rFonts w:ascii="Book Antiqua" w:hAnsi="Book Antiqua" w:cs="Arial"/>
        <w:b/>
      </w:rPr>
    </w:pPr>
    <w:r w:rsidRPr="009B7433">
      <w:rPr>
        <w:rFonts w:ascii="Book Antiqua" w:hAnsi="Book Antiqua" w:cs="Arial"/>
        <w:b/>
        <w:spacing w:val="-6"/>
      </w:rPr>
      <w:t>©</w:t>
    </w:r>
    <w:r>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367C3" w:rsidRDefault="00B367C3">
      <w:r>
        <w:separator/>
      </w:r>
    </w:p>
  </w:footnote>
  <w:footnote w:type="continuationSeparator" w:id="0">
    <w:p w:rsidR="00B367C3" w:rsidRDefault="00B367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838E8" w:rsidRPr="008B4493" w:rsidRDefault="00B838E8" w:rsidP="008B4493">
    <w:pPr>
      <w:tabs>
        <w:tab w:val="right" w:pos="9720"/>
      </w:tabs>
      <w:ind w:right="-82"/>
      <w:jc w:val="right"/>
      <w:rPr>
        <w:sz w:val="18"/>
        <w:szCs w:val="18"/>
        <w:lang w:val="es-ES"/>
      </w:rPr>
    </w:pPr>
    <w:r w:rsidRPr="008B4493">
      <w:rPr>
        <w:sz w:val="18"/>
        <w:szCs w:val="18"/>
        <w:lang w:val="es-ES"/>
      </w:rPr>
      <w:t>Appeal Numbers: HU/21204/2016 &amp; HU/21209/2016</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838E8" w:rsidRPr="009B7433" w:rsidRDefault="00B838E8">
    <w:pPr>
      <w:pStyle w:val="Header"/>
      <w:rPr>
        <w:rFonts w:ascii="Book Antiqua" w:hAnsi="Book Antiqua"/>
      </w:rPr>
    </w:pPr>
    <w:r w:rsidRPr="009B7433">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714584B"/>
    <w:multiLevelType w:val="hybridMultilevel"/>
    <w:tmpl w:val="0824BA84"/>
    <w:lvl w:ilvl="0" w:tplc="08090017">
      <w:start w:val="1"/>
      <w:numFmt w:val="lowerLetter"/>
      <w:lvlText w:val="%1)"/>
      <w:lvlJc w:val="left"/>
      <w:pPr>
        <w:tabs>
          <w:tab w:val="num" w:pos="2040"/>
        </w:tabs>
        <w:ind w:left="2040" w:hanging="360"/>
      </w:pPr>
    </w:lvl>
    <w:lvl w:ilvl="1" w:tplc="08090019" w:tentative="1">
      <w:start w:val="1"/>
      <w:numFmt w:val="lowerLetter"/>
      <w:lvlText w:val="%2."/>
      <w:lvlJc w:val="left"/>
      <w:pPr>
        <w:tabs>
          <w:tab w:val="num" w:pos="2760"/>
        </w:tabs>
        <w:ind w:left="2760" w:hanging="360"/>
      </w:pPr>
    </w:lvl>
    <w:lvl w:ilvl="2" w:tplc="0809001B" w:tentative="1">
      <w:start w:val="1"/>
      <w:numFmt w:val="lowerRoman"/>
      <w:lvlText w:val="%3."/>
      <w:lvlJc w:val="right"/>
      <w:pPr>
        <w:tabs>
          <w:tab w:val="num" w:pos="3480"/>
        </w:tabs>
        <w:ind w:left="3480" w:hanging="180"/>
      </w:pPr>
    </w:lvl>
    <w:lvl w:ilvl="3" w:tplc="0809000F" w:tentative="1">
      <w:start w:val="1"/>
      <w:numFmt w:val="decimal"/>
      <w:lvlText w:val="%4."/>
      <w:lvlJc w:val="left"/>
      <w:pPr>
        <w:tabs>
          <w:tab w:val="num" w:pos="4200"/>
        </w:tabs>
        <w:ind w:left="4200" w:hanging="360"/>
      </w:pPr>
    </w:lvl>
    <w:lvl w:ilvl="4" w:tplc="08090019" w:tentative="1">
      <w:start w:val="1"/>
      <w:numFmt w:val="lowerLetter"/>
      <w:lvlText w:val="%5."/>
      <w:lvlJc w:val="left"/>
      <w:pPr>
        <w:tabs>
          <w:tab w:val="num" w:pos="4920"/>
        </w:tabs>
        <w:ind w:left="4920" w:hanging="360"/>
      </w:pPr>
    </w:lvl>
    <w:lvl w:ilvl="5" w:tplc="0809001B" w:tentative="1">
      <w:start w:val="1"/>
      <w:numFmt w:val="lowerRoman"/>
      <w:lvlText w:val="%6."/>
      <w:lvlJc w:val="right"/>
      <w:pPr>
        <w:tabs>
          <w:tab w:val="num" w:pos="5640"/>
        </w:tabs>
        <w:ind w:left="5640" w:hanging="180"/>
      </w:pPr>
    </w:lvl>
    <w:lvl w:ilvl="6" w:tplc="0809000F" w:tentative="1">
      <w:start w:val="1"/>
      <w:numFmt w:val="decimal"/>
      <w:lvlText w:val="%7."/>
      <w:lvlJc w:val="left"/>
      <w:pPr>
        <w:tabs>
          <w:tab w:val="num" w:pos="6360"/>
        </w:tabs>
        <w:ind w:left="6360" w:hanging="360"/>
      </w:pPr>
    </w:lvl>
    <w:lvl w:ilvl="7" w:tplc="08090019" w:tentative="1">
      <w:start w:val="1"/>
      <w:numFmt w:val="lowerLetter"/>
      <w:lvlText w:val="%8."/>
      <w:lvlJc w:val="left"/>
      <w:pPr>
        <w:tabs>
          <w:tab w:val="num" w:pos="7080"/>
        </w:tabs>
        <w:ind w:left="7080" w:hanging="360"/>
      </w:pPr>
    </w:lvl>
    <w:lvl w:ilvl="8" w:tplc="0809001B" w:tentative="1">
      <w:start w:val="1"/>
      <w:numFmt w:val="lowerRoman"/>
      <w:lvlText w:val="%9."/>
      <w:lvlJc w:val="right"/>
      <w:pPr>
        <w:tabs>
          <w:tab w:val="num" w:pos="7800"/>
        </w:tabs>
        <w:ind w:left="7800" w:hanging="180"/>
      </w:pPr>
    </w:lvl>
  </w:abstractNum>
  <w:abstractNum w:abstractNumId="1" w15:restartNumberingAfterBreak="0">
    <w:nsid w:val="6FAA2A5D"/>
    <w:multiLevelType w:val="multilevel"/>
    <w:tmpl w:val="16786E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15:restartNumberingAfterBreak="0">
    <w:nsid w:val="7ACB1666"/>
    <w:multiLevelType w:val="multilevel"/>
    <w:tmpl w:val="DBEEB330"/>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Roman"/>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displayBackgroundShap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512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3627"/>
    <w:rsid w:val="00000621"/>
    <w:rsid w:val="000036C2"/>
    <w:rsid w:val="00015EFD"/>
    <w:rsid w:val="00016C1A"/>
    <w:rsid w:val="00016EE6"/>
    <w:rsid w:val="00023293"/>
    <w:rsid w:val="00031A5D"/>
    <w:rsid w:val="0003291B"/>
    <w:rsid w:val="00033588"/>
    <w:rsid w:val="00033D3D"/>
    <w:rsid w:val="00034A7A"/>
    <w:rsid w:val="0003538A"/>
    <w:rsid w:val="00036ABB"/>
    <w:rsid w:val="000418A0"/>
    <w:rsid w:val="0004776F"/>
    <w:rsid w:val="00052895"/>
    <w:rsid w:val="00053FFE"/>
    <w:rsid w:val="00062F02"/>
    <w:rsid w:val="00065311"/>
    <w:rsid w:val="00071130"/>
    <w:rsid w:val="00071A7E"/>
    <w:rsid w:val="000746C0"/>
    <w:rsid w:val="00074D1D"/>
    <w:rsid w:val="000779BF"/>
    <w:rsid w:val="00080D1F"/>
    <w:rsid w:val="00081B95"/>
    <w:rsid w:val="00082AC3"/>
    <w:rsid w:val="00082BE8"/>
    <w:rsid w:val="00082F5E"/>
    <w:rsid w:val="00092580"/>
    <w:rsid w:val="00093D4D"/>
    <w:rsid w:val="000A0743"/>
    <w:rsid w:val="000A29E4"/>
    <w:rsid w:val="000B5188"/>
    <w:rsid w:val="000C1382"/>
    <w:rsid w:val="000C4E05"/>
    <w:rsid w:val="000D0D18"/>
    <w:rsid w:val="000D50B2"/>
    <w:rsid w:val="000D5D94"/>
    <w:rsid w:val="000E32F6"/>
    <w:rsid w:val="000F1A0E"/>
    <w:rsid w:val="000F1AED"/>
    <w:rsid w:val="000F53D6"/>
    <w:rsid w:val="001165A7"/>
    <w:rsid w:val="00121C4A"/>
    <w:rsid w:val="00135134"/>
    <w:rsid w:val="001363D7"/>
    <w:rsid w:val="0014109D"/>
    <w:rsid w:val="001524FF"/>
    <w:rsid w:val="0015282D"/>
    <w:rsid w:val="0016508E"/>
    <w:rsid w:val="00166A58"/>
    <w:rsid w:val="00167D3A"/>
    <w:rsid w:val="00173225"/>
    <w:rsid w:val="00173F50"/>
    <w:rsid w:val="0017516C"/>
    <w:rsid w:val="00184E73"/>
    <w:rsid w:val="00185986"/>
    <w:rsid w:val="0019000F"/>
    <w:rsid w:val="00194DD8"/>
    <w:rsid w:val="00195E27"/>
    <w:rsid w:val="00196E2A"/>
    <w:rsid w:val="001A3082"/>
    <w:rsid w:val="001A31FA"/>
    <w:rsid w:val="001A4B89"/>
    <w:rsid w:val="001A769E"/>
    <w:rsid w:val="001A7758"/>
    <w:rsid w:val="001A7C2A"/>
    <w:rsid w:val="001B15CB"/>
    <w:rsid w:val="001B186A"/>
    <w:rsid w:val="001B2F75"/>
    <w:rsid w:val="001C40B5"/>
    <w:rsid w:val="001C6F5F"/>
    <w:rsid w:val="001D3AC7"/>
    <w:rsid w:val="001D6167"/>
    <w:rsid w:val="001F2716"/>
    <w:rsid w:val="001F3AC0"/>
    <w:rsid w:val="00202513"/>
    <w:rsid w:val="0020466C"/>
    <w:rsid w:val="00207617"/>
    <w:rsid w:val="002112E9"/>
    <w:rsid w:val="00215EF7"/>
    <w:rsid w:val="00220D95"/>
    <w:rsid w:val="00223914"/>
    <w:rsid w:val="0023134B"/>
    <w:rsid w:val="00232D0A"/>
    <w:rsid w:val="00232D72"/>
    <w:rsid w:val="002539F6"/>
    <w:rsid w:val="00254D0C"/>
    <w:rsid w:val="002564FD"/>
    <w:rsid w:val="00256770"/>
    <w:rsid w:val="00270304"/>
    <w:rsid w:val="00275621"/>
    <w:rsid w:val="00283659"/>
    <w:rsid w:val="00283C06"/>
    <w:rsid w:val="002864AF"/>
    <w:rsid w:val="002950F0"/>
    <w:rsid w:val="00297B80"/>
    <w:rsid w:val="002A5EFE"/>
    <w:rsid w:val="002B1A86"/>
    <w:rsid w:val="002B1BB0"/>
    <w:rsid w:val="002C1BBC"/>
    <w:rsid w:val="002C6906"/>
    <w:rsid w:val="002C6BD4"/>
    <w:rsid w:val="002C737D"/>
    <w:rsid w:val="002D68BF"/>
    <w:rsid w:val="002D7E82"/>
    <w:rsid w:val="002E3D25"/>
    <w:rsid w:val="002E4541"/>
    <w:rsid w:val="002E580A"/>
    <w:rsid w:val="002F1C54"/>
    <w:rsid w:val="002F6B98"/>
    <w:rsid w:val="002F700E"/>
    <w:rsid w:val="0030416A"/>
    <w:rsid w:val="00305FB2"/>
    <w:rsid w:val="00306FD1"/>
    <w:rsid w:val="00312B42"/>
    <w:rsid w:val="00321C52"/>
    <w:rsid w:val="0032378D"/>
    <w:rsid w:val="00324036"/>
    <w:rsid w:val="00326198"/>
    <w:rsid w:val="00336657"/>
    <w:rsid w:val="00336CBF"/>
    <w:rsid w:val="00341E39"/>
    <w:rsid w:val="00342DE4"/>
    <w:rsid w:val="00343C71"/>
    <w:rsid w:val="00343FE3"/>
    <w:rsid w:val="00344910"/>
    <w:rsid w:val="00346E18"/>
    <w:rsid w:val="003546C8"/>
    <w:rsid w:val="00357079"/>
    <w:rsid w:val="00371DAD"/>
    <w:rsid w:val="0037317D"/>
    <w:rsid w:val="0037777D"/>
    <w:rsid w:val="003825D4"/>
    <w:rsid w:val="00384CF5"/>
    <w:rsid w:val="003922E0"/>
    <w:rsid w:val="00395578"/>
    <w:rsid w:val="003A28F0"/>
    <w:rsid w:val="003A3AC7"/>
    <w:rsid w:val="003A7CF2"/>
    <w:rsid w:val="003C1638"/>
    <w:rsid w:val="003C2CE8"/>
    <w:rsid w:val="003C54EE"/>
    <w:rsid w:val="003C5CE5"/>
    <w:rsid w:val="003D04E2"/>
    <w:rsid w:val="003D205C"/>
    <w:rsid w:val="003D25F1"/>
    <w:rsid w:val="003D6FAD"/>
    <w:rsid w:val="003E267B"/>
    <w:rsid w:val="003E4E66"/>
    <w:rsid w:val="003E7CD1"/>
    <w:rsid w:val="003F0705"/>
    <w:rsid w:val="003F3593"/>
    <w:rsid w:val="003F58BE"/>
    <w:rsid w:val="003F727E"/>
    <w:rsid w:val="00402B9E"/>
    <w:rsid w:val="00402CFA"/>
    <w:rsid w:val="00403974"/>
    <w:rsid w:val="00410372"/>
    <w:rsid w:val="00411F97"/>
    <w:rsid w:val="00416C42"/>
    <w:rsid w:val="00416FC5"/>
    <w:rsid w:val="00423F42"/>
    <w:rsid w:val="004249CB"/>
    <w:rsid w:val="00426F0F"/>
    <w:rsid w:val="00430E13"/>
    <w:rsid w:val="004378D3"/>
    <w:rsid w:val="0044127D"/>
    <w:rsid w:val="00441AD1"/>
    <w:rsid w:val="004448DB"/>
    <w:rsid w:val="00446C9A"/>
    <w:rsid w:val="00452F2B"/>
    <w:rsid w:val="004530F7"/>
    <w:rsid w:val="0045690E"/>
    <w:rsid w:val="004610E3"/>
    <w:rsid w:val="00462A0C"/>
    <w:rsid w:val="00470A95"/>
    <w:rsid w:val="00476B9F"/>
    <w:rsid w:val="00477193"/>
    <w:rsid w:val="004839E5"/>
    <w:rsid w:val="00496803"/>
    <w:rsid w:val="004A1848"/>
    <w:rsid w:val="004A2D15"/>
    <w:rsid w:val="004A4853"/>
    <w:rsid w:val="004A534C"/>
    <w:rsid w:val="004A6559"/>
    <w:rsid w:val="004A6F4A"/>
    <w:rsid w:val="004B3D26"/>
    <w:rsid w:val="004B70D7"/>
    <w:rsid w:val="004C30E7"/>
    <w:rsid w:val="004D3CFE"/>
    <w:rsid w:val="004D4518"/>
    <w:rsid w:val="004D67B2"/>
    <w:rsid w:val="004D6B45"/>
    <w:rsid w:val="004D7ABD"/>
    <w:rsid w:val="004E4717"/>
    <w:rsid w:val="004F2676"/>
    <w:rsid w:val="004F5D02"/>
    <w:rsid w:val="00501671"/>
    <w:rsid w:val="005034AD"/>
    <w:rsid w:val="00504D18"/>
    <w:rsid w:val="005063A0"/>
    <w:rsid w:val="00507C11"/>
    <w:rsid w:val="00507FEC"/>
    <w:rsid w:val="00510B59"/>
    <w:rsid w:val="00510F0E"/>
    <w:rsid w:val="00512CA3"/>
    <w:rsid w:val="00512CB1"/>
    <w:rsid w:val="00513248"/>
    <w:rsid w:val="00520A18"/>
    <w:rsid w:val="005249A4"/>
    <w:rsid w:val="005255B3"/>
    <w:rsid w:val="0053698E"/>
    <w:rsid w:val="005370EF"/>
    <w:rsid w:val="00541E53"/>
    <w:rsid w:val="00545372"/>
    <w:rsid w:val="005479E1"/>
    <w:rsid w:val="00551C3D"/>
    <w:rsid w:val="00553028"/>
    <w:rsid w:val="00553E0A"/>
    <w:rsid w:val="005570FD"/>
    <w:rsid w:val="005575EA"/>
    <w:rsid w:val="0056016C"/>
    <w:rsid w:val="00560ACC"/>
    <w:rsid w:val="005651EF"/>
    <w:rsid w:val="00571161"/>
    <w:rsid w:val="0057249E"/>
    <w:rsid w:val="00576D96"/>
    <w:rsid w:val="0057790C"/>
    <w:rsid w:val="00581971"/>
    <w:rsid w:val="00582C2C"/>
    <w:rsid w:val="005835AA"/>
    <w:rsid w:val="00583850"/>
    <w:rsid w:val="005902A3"/>
    <w:rsid w:val="00590556"/>
    <w:rsid w:val="00593795"/>
    <w:rsid w:val="005A75FF"/>
    <w:rsid w:val="005B1309"/>
    <w:rsid w:val="005B17F7"/>
    <w:rsid w:val="005B7AEE"/>
    <w:rsid w:val="005C1DB1"/>
    <w:rsid w:val="005D10AB"/>
    <w:rsid w:val="005E2779"/>
    <w:rsid w:val="005E4B34"/>
    <w:rsid w:val="005F112C"/>
    <w:rsid w:val="005F35D7"/>
    <w:rsid w:val="005F5A60"/>
    <w:rsid w:val="005F70C4"/>
    <w:rsid w:val="00601D8F"/>
    <w:rsid w:val="00605582"/>
    <w:rsid w:val="00611F34"/>
    <w:rsid w:val="00617200"/>
    <w:rsid w:val="006211E1"/>
    <w:rsid w:val="006214A6"/>
    <w:rsid w:val="00621FE8"/>
    <w:rsid w:val="006230E9"/>
    <w:rsid w:val="006273AA"/>
    <w:rsid w:val="006308D6"/>
    <w:rsid w:val="00633037"/>
    <w:rsid w:val="00636C8D"/>
    <w:rsid w:val="006376BD"/>
    <w:rsid w:val="006434B6"/>
    <w:rsid w:val="00653A52"/>
    <w:rsid w:val="00653CC1"/>
    <w:rsid w:val="00653E97"/>
    <w:rsid w:val="006667DB"/>
    <w:rsid w:val="00681569"/>
    <w:rsid w:val="00681D8E"/>
    <w:rsid w:val="00683021"/>
    <w:rsid w:val="00683355"/>
    <w:rsid w:val="00684A74"/>
    <w:rsid w:val="0068620A"/>
    <w:rsid w:val="00690B8A"/>
    <w:rsid w:val="0069506E"/>
    <w:rsid w:val="00697AE0"/>
    <w:rsid w:val="006A48B8"/>
    <w:rsid w:val="006B1196"/>
    <w:rsid w:val="006B495C"/>
    <w:rsid w:val="006C7D77"/>
    <w:rsid w:val="006D0E2A"/>
    <w:rsid w:val="006D3B20"/>
    <w:rsid w:val="006D60CA"/>
    <w:rsid w:val="006E26A9"/>
    <w:rsid w:val="006E7AF0"/>
    <w:rsid w:val="006F2CF1"/>
    <w:rsid w:val="007038ED"/>
    <w:rsid w:val="00703BC3"/>
    <w:rsid w:val="00704A21"/>
    <w:rsid w:val="00704B61"/>
    <w:rsid w:val="00710B07"/>
    <w:rsid w:val="007138F7"/>
    <w:rsid w:val="00715A64"/>
    <w:rsid w:val="0073255A"/>
    <w:rsid w:val="00734C83"/>
    <w:rsid w:val="00740C1F"/>
    <w:rsid w:val="00747FE4"/>
    <w:rsid w:val="00751837"/>
    <w:rsid w:val="007552A9"/>
    <w:rsid w:val="00755973"/>
    <w:rsid w:val="0075658A"/>
    <w:rsid w:val="00761858"/>
    <w:rsid w:val="00761E2B"/>
    <w:rsid w:val="00767D59"/>
    <w:rsid w:val="00776E97"/>
    <w:rsid w:val="00780F86"/>
    <w:rsid w:val="007845C5"/>
    <w:rsid w:val="00784872"/>
    <w:rsid w:val="00790926"/>
    <w:rsid w:val="007912AD"/>
    <w:rsid w:val="007933E8"/>
    <w:rsid w:val="00794F3C"/>
    <w:rsid w:val="007A28EF"/>
    <w:rsid w:val="007B0824"/>
    <w:rsid w:val="007B5D3C"/>
    <w:rsid w:val="007C1102"/>
    <w:rsid w:val="007C3627"/>
    <w:rsid w:val="007C4370"/>
    <w:rsid w:val="007D33D2"/>
    <w:rsid w:val="007E3137"/>
    <w:rsid w:val="007F2EE2"/>
    <w:rsid w:val="007F55C4"/>
    <w:rsid w:val="007F5F5D"/>
    <w:rsid w:val="00802AA3"/>
    <w:rsid w:val="008136D9"/>
    <w:rsid w:val="00815011"/>
    <w:rsid w:val="00821B72"/>
    <w:rsid w:val="0082229E"/>
    <w:rsid w:val="00823EF2"/>
    <w:rsid w:val="00824FAB"/>
    <w:rsid w:val="008303B8"/>
    <w:rsid w:val="00833DCE"/>
    <w:rsid w:val="00833E86"/>
    <w:rsid w:val="00834422"/>
    <w:rsid w:val="0084058D"/>
    <w:rsid w:val="00844CBD"/>
    <w:rsid w:val="00852932"/>
    <w:rsid w:val="0086238D"/>
    <w:rsid w:val="00866A9F"/>
    <w:rsid w:val="00866F81"/>
    <w:rsid w:val="00871D34"/>
    <w:rsid w:val="0088377F"/>
    <w:rsid w:val="0088419B"/>
    <w:rsid w:val="00895491"/>
    <w:rsid w:val="008A25EC"/>
    <w:rsid w:val="008A410A"/>
    <w:rsid w:val="008A49B3"/>
    <w:rsid w:val="008A5274"/>
    <w:rsid w:val="008A6059"/>
    <w:rsid w:val="008B0636"/>
    <w:rsid w:val="008B270C"/>
    <w:rsid w:val="008B3DBC"/>
    <w:rsid w:val="008B4493"/>
    <w:rsid w:val="008B5078"/>
    <w:rsid w:val="008B557B"/>
    <w:rsid w:val="008B6521"/>
    <w:rsid w:val="008C18C2"/>
    <w:rsid w:val="008C1EBE"/>
    <w:rsid w:val="008C3D3D"/>
    <w:rsid w:val="008D0BBA"/>
    <w:rsid w:val="008D1922"/>
    <w:rsid w:val="008D36D1"/>
    <w:rsid w:val="008D4131"/>
    <w:rsid w:val="008D463D"/>
    <w:rsid w:val="008D7C7D"/>
    <w:rsid w:val="008E30C7"/>
    <w:rsid w:val="008E5E15"/>
    <w:rsid w:val="008F1932"/>
    <w:rsid w:val="008F682E"/>
    <w:rsid w:val="0090151B"/>
    <w:rsid w:val="009042A9"/>
    <w:rsid w:val="0091125E"/>
    <w:rsid w:val="0091640D"/>
    <w:rsid w:val="0092091D"/>
    <w:rsid w:val="00921062"/>
    <w:rsid w:val="00932E8B"/>
    <w:rsid w:val="009333BD"/>
    <w:rsid w:val="00952B71"/>
    <w:rsid w:val="009704A6"/>
    <w:rsid w:val="009722BC"/>
    <w:rsid w:val="009727A3"/>
    <w:rsid w:val="00974915"/>
    <w:rsid w:val="00976A1F"/>
    <w:rsid w:val="009835A2"/>
    <w:rsid w:val="00987774"/>
    <w:rsid w:val="009917EB"/>
    <w:rsid w:val="009A11E8"/>
    <w:rsid w:val="009A360B"/>
    <w:rsid w:val="009A742E"/>
    <w:rsid w:val="009B7433"/>
    <w:rsid w:val="009C04E6"/>
    <w:rsid w:val="009C57C8"/>
    <w:rsid w:val="009D348A"/>
    <w:rsid w:val="009D5C24"/>
    <w:rsid w:val="009D5F31"/>
    <w:rsid w:val="009E4E66"/>
    <w:rsid w:val="009F5220"/>
    <w:rsid w:val="009F7751"/>
    <w:rsid w:val="00A01773"/>
    <w:rsid w:val="00A07919"/>
    <w:rsid w:val="00A126A0"/>
    <w:rsid w:val="00A15234"/>
    <w:rsid w:val="00A172F5"/>
    <w:rsid w:val="00A201AB"/>
    <w:rsid w:val="00A227DF"/>
    <w:rsid w:val="00A31C8B"/>
    <w:rsid w:val="00A337B1"/>
    <w:rsid w:val="00A379BD"/>
    <w:rsid w:val="00A42DEC"/>
    <w:rsid w:val="00A439CF"/>
    <w:rsid w:val="00A509FA"/>
    <w:rsid w:val="00A56C96"/>
    <w:rsid w:val="00A64A36"/>
    <w:rsid w:val="00A71F5E"/>
    <w:rsid w:val="00A845DC"/>
    <w:rsid w:val="00A93135"/>
    <w:rsid w:val="00A959E2"/>
    <w:rsid w:val="00AA64FD"/>
    <w:rsid w:val="00AA73D9"/>
    <w:rsid w:val="00AB1FF5"/>
    <w:rsid w:val="00AB4E11"/>
    <w:rsid w:val="00AC1FC0"/>
    <w:rsid w:val="00AC3054"/>
    <w:rsid w:val="00AC539A"/>
    <w:rsid w:val="00AD35B8"/>
    <w:rsid w:val="00AD524D"/>
    <w:rsid w:val="00AD6A79"/>
    <w:rsid w:val="00AD7C53"/>
    <w:rsid w:val="00AE0E65"/>
    <w:rsid w:val="00AE5155"/>
    <w:rsid w:val="00AF493F"/>
    <w:rsid w:val="00AF7F2E"/>
    <w:rsid w:val="00B0493E"/>
    <w:rsid w:val="00B11228"/>
    <w:rsid w:val="00B11552"/>
    <w:rsid w:val="00B11F71"/>
    <w:rsid w:val="00B14787"/>
    <w:rsid w:val="00B24059"/>
    <w:rsid w:val="00B268D1"/>
    <w:rsid w:val="00B26AA2"/>
    <w:rsid w:val="00B26E62"/>
    <w:rsid w:val="00B31A59"/>
    <w:rsid w:val="00B3524D"/>
    <w:rsid w:val="00B367C3"/>
    <w:rsid w:val="00B40F69"/>
    <w:rsid w:val="00B4505E"/>
    <w:rsid w:val="00B46616"/>
    <w:rsid w:val="00B47502"/>
    <w:rsid w:val="00B528BB"/>
    <w:rsid w:val="00B62451"/>
    <w:rsid w:val="00B66227"/>
    <w:rsid w:val="00B7040A"/>
    <w:rsid w:val="00B7092C"/>
    <w:rsid w:val="00B829CE"/>
    <w:rsid w:val="00B83391"/>
    <w:rsid w:val="00B838E8"/>
    <w:rsid w:val="00B87F87"/>
    <w:rsid w:val="00B906EC"/>
    <w:rsid w:val="00B9412D"/>
    <w:rsid w:val="00B95222"/>
    <w:rsid w:val="00B95326"/>
    <w:rsid w:val="00BB0203"/>
    <w:rsid w:val="00BC29F4"/>
    <w:rsid w:val="00BC4BF3"/>
    <w:rsid w:val="00BD23E5"/>
    <w:rsid w:val="00BD241D"/>
    <w:rsid w:val="00BD3A5C"/>
    <w:rsid w:val="00BD4196"/>
    <w:rsid w:val="00BF22CA"/>
    <w:rsid w:val="00BF23BB"/>
    <w:rsid w:val="00C001C9"/>
    <w:rsid w:val="00C02680"/>
    <w:rsid w:val="00C10580"/>
    <w:rsid w:val="00C156EE"/>
    <w:rsid w:val="00C23EA1"/>
    <w:rsid w:val="00C249FF"/>
    <w:rsid w:val="00C26032"/>
    <w:rsid w:val="00C27DC8"/>
    <w:rsid w:val="00C345E1"/>
    <w:rsid w:val="00C43BFD"/>
    <w:rsid w:val="00C43EDC"/>
    <w:rsid w:val="00C4537C"/>
    <w:rsid w:val="00C475A7"/>
    <w:rsid w:val="00C5232A"/>
    <w:rsid w:val="00C548A2"/>
    <w:rsid w:val="00C6048A"/>
    <w:rsid w:val="00C7005B"/>
    <w:rsid w:val="00C73783"/>
    <w:rsid w:val="00C74122"/>
    <w:rsid w:val="00C87277"/>
    <w:rsid w:val="00C90A1A"/>
    <w:rsid w:val="00C91E5C"/>
    <w:rsid w:val="00C9551E"/>
    <w:rsid w:val="00CA27B2"/>
    <w:rsid w:val="00CA6FE7"/>
    <w:rsid w:val="00CB6E35"/>
    <w:rsid w:val="00CC1A9D"/>
    <w:rsid w:val="00CD1FE7"/>
    <w:rsid w:val="00CD299B"/>
    <w:rsid w:val="00CD74BA"/>
    <w:rsid w:val="00CE09B1"/>
    <w:rsid w:val="00CE1A46"/>
    <w:rsid w:val="00CE5C37"/>
    <w:rsid w:val="00CF228C"/>
    <w:rsid w:val="00CF3D3C"/>
    <w:rsid w:val="00CF527D"/>
    <w:rsid w:val="00D031C4"/>
    <w:rsid w:val="00D03818"/>
    <w:rsid w:val="00D05EA6"/>
    <w:rsid w:val="00D1039F"/>
    <w:rsid w:val="00D13993"/>
    <w:rsid w:val="00D15FAD"/>
    <w:rsid w:val="00D16B1B"/>
    <w:rsid w:val="00D2073E"/>
    <w:rsid w:val="00D20757"/>
    <w:rsid w:val="00D22636"/>
    <w:rsid w:val="00D3741B"/>
    <w:rsid w:val="00D40FD9"/>
    <w:rsid w:val="00D45341"/>
    <w:rsid w:val="00D516AF"/>
    <w:rsid w:val="00D519B5"/>
    <w:rsid w:val="00D53769"/>
    <w:rsid w:val="00D61B74"/>
    <w:rsid w:val="00D6602D"/>
    <w:rsid w:val="00D8404C"/>
    <w:rsid w:val="00D85C13"/>
    <w:rsid w:val="00D9111A"/>
    <w:rsid w:val="00D91BE3"/>
    <w:rsid w:val="00D949B7"/>
    <w:rsid w:val="00D94AFC"/>
    <w:rsid w:val="00DA278E"/>
    <w:rsid w:val="00DA2874"/>
    <w:rsid w:val="00DA42C8"/>
    <w:rsid w:val="00DA7888"/>
    <w:rsid w:val="00DA7D1D"/>
    <w:rsid w:val="00DB14AC"/>
    <w:rsid w:val="00DB182F"/>
    <w:rsid w:val="00DB5B6F"/>
    <w:rsid w:val="00DB70AE"/>
    <w:rsid w:val="00DC17E8"/>
    <w:rsid w:val="00DD39DA"/>
    <w:rsid w:val="00DD5071"/>
    <w:rsid w:val="00DD5C39"/>
    <w:rsid w:val="00DE7DB7"/>
    <w:rsid w:val="00DF19F1"/>
    <w:rsid w:val="00DF71CA"/>
    <w:rsid w:val="00E00A0A"/>
    <w:rsid w:val="00E015E3"/>
    <w:rsid w:val="00E066DE"/>
    <w:rsid w:val="00E07587"/>
    <w:rsid w:val="00E07F57"/>
    <w:rsid w:val="00E14E11"/>
    <w:rsid w:val="00E1579A"/>
    <w:rsid w:val="00E17265"/>
    <w:rsid w:val="00E3011B"/>
    <w:rsid w:val="00E30683"/>
    <w:rsid w:val="00E32ADF"/>
    <w:rsid w:val="00E34293"/>
    <w:rsid w:val="00E42107"/>
    <w:rsid w:val="00E453D8"/>
    <w:rsid w:val="00E478AB"/>
    <w:rsid w:val="00E50BCE"/>
    <w:rsid w:val="00E55940"/>
    <w:rsid w:val="00E574BF"/>
    <w:rsid w:val="00E61292"/>
    <w:rsid w:val="00E654A0"/>
    <w:rsid w:val="00E67233"/>
    <w:rsid w:val="00E74323"/>
    <w:rsid w:val="00E75DD5"/>
    <w:rsid w:val="00E77C4D"/>
    <w:rsid w:val="00E77E1A"/>
    <w:rsid w:val="00E81D01"/>
    <w:rsid w:val="00E81ED4"/>
    <w:rsid w:val="00E81ED9"/>
    <w:rsid w:val="00E92237"/>
    <w:rsid w:val="00EA17FF"/>
    <w:rsid w:val="00EA66B5"/>
    <w:rsid w:val="00EB26E7"/>
    <w:rsid w:val="00EB4715"/>
    <w:rsid w:val="00EB485A"/>
    <w:rsid w:val="00EC773B"/>
    <w:rsid w:val="00ED4AD8"/>
    <w:rsid w:val="00EE45D8"/>
    <w:rsid w:val="00EE494F"/>
    <w:rsid w:val="00EF7F96"/>
    <w:rsid w:val="00F0494B"/>
    <w:rsid w:val="00F1000E"/>
    <w:rsid w:val="00F101B4"/>
    <w:rsid w:val="00F109C5"/>
    <w:rsid w:val="00F11D45"/>
    <w:rsid w:val="00F21F5C"/>
    <w:rsid w:val="00F22EDA"/>
    <w:rsid w:val="00F30525"/>
    <w:rsid w:val="00F41D81"/>
    <w:rsid w:val="00F470D6"/>
    <w:rsid w:val="00F5589A"/>
    <w:rsid w:val="00F60528"/>
    <w:rsid w:val="00F6069D"/>
    <w:rsid w:val="00F61AEF"/>
    <w:rsid w:val="00F742D3"/>
    <w:rsid w:val="00F8505D"/>
    <w:rsid w:val="00F941DA"/>
    <w:rsid w:val="00FA01C6"/>
    <w:rsid w:val="00FA29D4"/>
    <w:rsid w:val="00FA4C63"/>
    <w:rsid w:val="00FC1759"/>
    <w:rsid w:val="00FC40FA"/>
    <w:rsid w:val="00FC4C1C"/>
    <w:rsid w:val="00FD03BD"/>
    <w:rsid w:val="00FD2823"/>
    <w:rsid w:val="00FD5C17"/>
    <w:rsid w:val="00FD7DC0"/>
    <w:rsid w:val="00FF1D38"/>
    <w:rsid w:val="00FF2DE6"/>
    <w:rsid w:val="00FF3BE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Type"/>
  <w:smartTagType w:namespaceuri="urn:schemas-microsoft-com:office:smarttags" w:name="PlaceName"/>
  <w:smartTagType w:namespaceuri="urn:schemas-microsoft-com:office:smarttags" w:name="country-region"/>
  <w:smartTagType w:namespaceuri="urn:schemas-microsoft-com:office:smarttags" w:name="place"/>
  <w:smartTagType w:namespaceuri="urn:schemas-microsoft-com:office:smarttags" w:name="City"/>
  <w:shapeDefaults>
    <o:shapedefaults v:ext="edit" spidmax="5121"/>
    <o:shapelayout v:ext="edit">
      <o:idmap v:ext="edit" data="1"/>
    </o:shapelayout>
  </w:shapeDefaults>
  <w:decimalSymbol w:val="."/>
  <w:listSeparator w:val=","/>
  <w14:docId w14:val="0E9BAC14"/>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601D8F"/>
    <w:rPr>
      <w:rFonts w:ascii="Tahoma" w:hAnsi="Tahoma" w:cs="Tahoma"/>
      <w:sz w:val="16"/>
      <w:szCs w:val="16"/>
    </w:rPr>
  </w:style>
  <w:style w:type="character" w:styleId="Hyperlink">
    <w:name w:val="Hyperlink"/>
    <w:basedOn w:val="DefaultParagraphFont"/>
    <w:rsid w:val="00B9532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1222</Words>
  <Characters>6970</Characters>
  <Application>Microsoft Office Word</Application>
  <DocSecurity>0</DocSecurity>
  <Lines>58</Lines>
  <Paragraphs>16</Paragraphs>
  <ScaleCrop>false</ScaleCrop>
  <Company/>
  <LinksUpToDate>false</LinksUpToDate>
  <CharactersWithSpaces>8176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2018-06-06T13:42:00Z</dcterms:created>
  <dcterms:modified xsi:type="dcterms:W3CDTF">2018-06-06T13:42:00Z</dcterms:modified>
</cp:coreProperties>
</file>