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B541E6" w:rsidP="00643BFC">
      <w:pPr>
        <w:jc w:val="center"/>
        <w:rPr>
          <w:rFonts w:ascii="Book Antiqua" w:hAnsi="Book Antiqua" w:cs="Arial"/>
          <w:caps/>
          <w:color w:val="000000"/>
          <w:sz w:val="16"/>
          <w:szCs w:val="16"/>
        </w:rPr>
      </w:pPr>
      <w:r>
        <w:rPr>
          <w:noProof/>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D94AFC" w:rsidRPr="000704BB"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382919">
        <w:rPr>
          <w:rFonts w:ascii="Book Antiqua" w:hAnsi="Book Antiqua" w:cs="Arial"/>
          <w:caps/>
          <w:color w:val="000000"/>
        </w:rPr>
        <w:t>hu/21239/2016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53"/>
        <w:gridCol w:w="695"/>
        <w:gridCol w:w="3960"/>
      </w:tblGrid>
      <w:tr w:rsidR="00D22636" w:rsidRPr="000704BB" w:rsidTr="00B541E6">
        <w:tc>
          <w:tcPr>
            <w:tcW w:w="535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382919">
              <w:rPr>
                <w:rFonts w:ascii="Book Antiqua" w:hAnsi="Book Antiqua" w:cs="Arial"/>
                <w:b/>
              </w:rPr>
              <w:t>Field House</w:t>
            </w:r>
          </w:p>
        </w:tc>
        <w:tc>
          <w:tcPr>
            <w:tcW w:w="4655" w:type="dxa"/>
            <w:gridSpan w:val="2"/>
          </w:tcPr>
          <w:p w:rsidR="00D22636" w:rsidRPr="000704BB" w:rsidRDefault="000B0A3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B541E6">
        <w:tc>
          <w:tcPr>
            <w:tcW w:w="5353"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382919">
              <w:rPr>
                <w:rFonts w:ascii="Book Antiqua" w:hAnsi="Book Antiqua" w:cs="Arial"/>
                <w:b/>
              </w:rPr>
              <w:t>21 June 2018</w:t>
            </w:r>
          </w:p>
        </w:tc>
        <w:tc>
          <w:tcPr>
            <w:tcW w:w="4655" w:type="dxa"/>
            <w:gridSpan w:val="2"/>
          </w:tcPr>
          <w:p w:rsidR="00D22636" w:rsidRPr="000704BB" w:rsidRDefault="00B541E6" w:rsidP="004A1848">
            <w:pPr>
              <w:jc w:val="both"/>
              <w:rPr>
                <w:rFonts w:ascii="Book Antiqua" w:hAnsi="Book Antiqua" w:cs="Arial"/>
                <w:b/>
              </w:rPr>
            </w:pPr>
            <w:r>
              <w:rPr>
                <w:rFonts w:ascii="Book Antiqua" w:hAnsi="Book Antiqua" w:cs="Arial"/>
                <w:b/>
              </w:rPr>
              <w:t xml:space="preserve">On 08 August 2018 </w:t>
            </w:r>
          </w:p>
        </w:tc>
      </w:tr>
      <w:tr w:rsidR="00B541E6" w:rsidRPr="000704BB" w:rsidTr="000B0A3F">
        <w:trPr>
          <w:gridAfter w:val="1"/>
          <w:wAfter w:w="3960" w:type="dxa"/>
        </w:trPr>
        <w:tc>
          <w:tcPr>
            <w:tcW w:w="6048" w:type="dxa"/>
            <w:gridSpan w:val="2"/>
          </w:tcPr>
          <w:p w:rsidR="00B541E6" w:rsidRPr="000704BB" w:rsidRDefault="00B541E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1B186A" w:rsidRPr="000704BB" w:rsidRDefault="008262CB" w:rsidP="00A15234">
      <w:pPr>
        <w:jc w:val="center"/>
        <w:rPr>
          <w:rFonts w:ascii="Book Antiqua" w:hAnsi="Book Antiqua" w:cs="Arial"/>
          <w:b/>
          <w:color w:val="000000"/>
        </w:rPr>
      </w:pPr>
      <w:r>
        <w:rPr>
          <w:rFonts w:ascii="Book Antiqua" w:hAnsi="Book Antiqua" w:cs="Arial"/>
          <w:b/>
          <w:color w:val="000000"/>
        </w:rPr>
        <w:t xml:space="preserve">DEPUTY </w:t>
      </w:r>
      <w:r w:rsidR="00460347">
        <w:rPr>
          <w:rFonts w:ascii="Book Antiqua" w:hAnsi="Book Antiqua" w:cs="Arial"/>
          <w:b/>
          <w:color w:val="000000"/>
        </w:rPr>
        <w:t xml:space="preserve">UPPER TRIBUNAL </w:t>
      </w:r>
      <w:r w:rsidR="00034C61">
        <w:rPr>
          <w:rFonts w:ascii="Book Antiqua" w:hAnsi="Book Antiqua" w:cs="Arial"/>
          <w:b/>
          <w:color w:val="000000"/>
        </w:rPr>
        <w:t>JUDGE</w:t>
      </w:r>
      <w:r w:rsidR="00460347">
        <w:rPr>
          <w:rFonts w:ascii="Book Antiqua" w:hAnsi="Book Antiqua" w:cs="Arial"/>
          <w:b/>
          <w:color w:val="000000"/>
        </w:rPr>
        <w:t xml:space="preserve"> DAVEY</w:t>
      </w:r>
    </w:p>
    <w:p w:rsidR="00D20757" w:rsidRDefault="00D20757" w:rsidP="00A15234">
      <w:pPr>
        <w:jc w:val="center"/>
        <w:rPr>
          <w:rFonts w:ascii="Book Antiqua" w:hAnsi="Book Antiqua" w:cs="Arial"/>
          <w:b/>
        </w:rPr>
      </w:pPr>
    </w:p>
    <w:p w:rsidR="00D8767C" w:rsidRPr="000704BB" w:rsidRDefault="00D8767C"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704B61" w:rsidRPr="000704BB" w:rsidRDefault="00382919" w:rsidP="00A15234">
      <w:pPr>
        <w:jc w:val="center"/>
        <w:rPr>
          <w:rFonts w:ascii="Book Antiqua" w:hAnsi="Book Antiqua" w:cs="Arial"/>
          <w:b/>
        </w:rPr>
      </w:pPr>
      <w:r>
        <w:rPr>
          <w:rFonts w:ascii="Book Antiqua" w:hAnsi="Book Antiqua" w:cs="Arial"/>
          <w:b/>
          <w:caps/>
        </w:rPr>
        <w:t>Secretary of State for the Home Department</w:t>
      </w:r>
    </w:p>
    <w:p w:rsidR="00704B61" w:rsidRPr="000704BB" w:rsidRDefault="00034C61"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382919" w:rsidP="00704B61">
      <w:pPr>
        <w:jc w:val="center"/>
        <w:rPr>
          <w:rFonts w:ascii="Book Antiqua" w:hAnsi="Book Antiqua" w:cs="Arial"/>
          <w:b/>
        </w:rPr>
      </w:pPr>
      <w:r>
        <w:rPr>
          <w:rFonts w:ascii="Book Antiqua" w:hAnsi="Book Antiqua" w:cs="Arial"/>
          <w:b/>
        </w:rPr>
        <w:t>MRS MOSAMMAT NAIMA ATIKA</w:t>
      </w:r>
    </w:p>
    <w:p w:rsidR="00DD5071" w:rsidRPr="00D8767C" w:rsidRDefault="00382919" w:rsidP="00704B61">
      <w:pPr>
        <w:jc w:val="center"/>
        <w:rPr>
          <w:rFonts w:ascii="Book Antiqua" w:hAnsi="Book Antiqua" w:cs="Arial"/>
          <w:b/>
          <w:sz w:val="22"/>
        </w:rPr>
      </w:pPr>
      <w:r w:rsidRPr="00D8767C">
        <w:rPr>
          <w:rFonts w:ascii="Book Antiqua" w:hAnsi="Book Antiqua" w:cs="Arial"/>
          <w:b/>
          <w:caps/>
          <w:sz w:val="22"/>
        </w:rPr>
        <w:t xml:space="preserve">(ANONYMITY DIRECTION </w:t>
      </w:r>
      <w:bookmarkStart w:id="1" w:name="Text21"/>
      <w:r w:rsidR="00A77D41" w:rsidRPr="00D8767C">
        <w:rPr>
          <w:rFonts w:ascii="Book Antiqua" w:hAnsi="Book Antiqua" w:cs="Arial"/>
          <w:b/>
          <w:caps/>
          <w:sz w:val="22"/>
        </w:rPr>
        <w:fldChar w:fldCharType="begin">
          <w:ffData>
            <w:name w:val="Text21"/>
            <w:enabled/>
            <w:calcOnExit w:val="0"/>
            <w:textInput>
              <w:default w:val="NOT MADE"/>
            </w:textInput>
          </w:ffData>
        </w:fldChar>
      </w:r>
      <w:r w:rsidR="00A77D41" w:rsidRPr="00D8767C">
        <w:rPr>
          <w:rFonts w:ascii="Book Antiqua" w:hAnsi="Book Antiqua" w:cs="Arial"/>
          <w:b/>
          <w:caps/>
          <w:sz w:val="22"/>
        </w:rPr>
        <w:instrText xml:space="preserve"> FORMTEXT </w:instrText>
      </w:r>
      <w:r w:rsidR="00A77D41" w:rsidRPr="00D8767C">
        <w:rPr>
          <w:rFonts w:ascii="Book Antiqua" w:hAnsi="Book Antiqua" w:cs="Arial"/>
          <w:b/>
          <w:caps/>
          <w:sz w:val="22"/>
        </w:rPr>
      </w:r>
      <w:r w:rsidR="00A77D41" w:rsidRPr="00D8767C">
        <w:rPr>
          <w:rFonts w:ascii="Book Antiqua" w:hAnsi="Book Antiqua" w:cs="Arial"/>
          <w:b/>
          <w:caps/>
          <w:sz w:val="22"/>
        </w:rPr>
        <w:fldChar w:fldCharType="separate"/>
      </w:r>
      <w:r w:rsidR="00A77D41" w:rsidRPr="00D8767C">
        <w:rPr>
          <w:rFonts w:ascii="Book Antiqua" w:hAnsi="Book Antiqua" w:cs="Arial"/>
          <w:b/>
          <w:caps/>
          <w:noProof/>
          <w:sz w:val="22"/>
        </w:rPr>
        <w:t>NOT MADE</w:t>
      </w:r>
      <w:r w:rsidR="00A77D41" w:rsidRPr="00D8767C">
        <w:rPr>
          <w:rFonts w:ascii="Book Antiqua" w:hAnsi="Book Antiqua" w:cs="Arial"/>
          <w:b/>
          <w:caps/>
          <w:sz w:val="22"/>
        </w:rPr>
        <w:fldChar w:fldCharType="end"/>
      </w:r>
      <w:bookmarkEnd w:id="1"/>
      <w:r w:rsidRPr="00D8767C">
        <w:rPr>
          <w:rFonts w:ascii="Book Antiqua" w:hAnsi="Book Antiqua" w:cs="Arial"/>
          <w:b/>
          <w:caps/>
          <w:sz w:val="22"/>
        </w:rPr>
        <w:t>)</w:t>
      </w:r>
    </w:p>
    <w:p w:rsidR="00DD5071" w:rsidRPr="000704BB" w:rsidRDefault="00034C61"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034C61">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382919">
        <w:rPr>
          <w:rFonts w:ascii="Book Antiqua" w:hAnsi="Book Antiqua" w:cs="Arial"/>
        </w:rPr>
        <w:t xml:space="preserve">Mr I Jarvis, Senior Home Office 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034C61">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382919">
        <w:rPr>
          <w:rFonts w:ascii="Book Antiqua" w:hAnsi="Book Antiqua" w:cs="Arial"/>
        </w:rPr>
        <w:t xml:space="preserve">Mr M </w:t>
      </w:r>
      <w:proofErr w:type="gramStart"/>
      <w:r w:rsidR="00382919">
        <w:rPr>
          <w:rFonts w:ascii="Book Antiqua" w:hAnsi="Book Antiqua" w:cs="Arial"/>
        </w:rPr>
        <w:t>A</w:t>
      </w:r>
      <w:proofErr w:type="gramEnd"/>
      <w:r w:rsidR="00382919">
        <w:rPr>
          <w:rFonts w:ascii="Book Antiqua" w:hAnsi="Book Antiqua" w:cs="Arial"/>
        </w:rPr>
        <w:t xml:space="preserve"> Hossain, Legal Representative of </w:t>
      </w:r>
      <w:smartTag w:uri="urn:schemas-microsoft-com:office:smarttags" w:element="place">
        <w:smartTag w:uri="urn:schemas-microsoft-com:office:smarttags" w:element="City">
          <w:r w:rsidR="00382919">
            <w:rPr>
              <w:rFonts w:ascii="Book Antiqua" w:hAnsi="Book Antiqua" w:cs="Arial"/>
            </w:rPr>
            <w:t>Liberty</w:t>
          </w:r>
        </w:smartTag>
      </w:smartTag>
      <w:r w:rsidR="00382919">
        <w:rPr>
          <w:rFonts w:ascii="Book Antiqua" w:hAnsi="Book Antiqua" w:cs="Arial"/>
        </w:rPr>
        <w:t xml:space="preserve"> Legal Solicitors</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Pr="000704BB" w:rsidRDefault="000B0A3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2800AA">
      <w:pPr>
        <w:tabs>
          <w:tab w:val="left" w:pos="567"/>
        </w:tabs>
        <w:spacing w:line="360" w:lineRule="auto"/>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382919">
        <w:rPr>
          <w:rFonts w:ascii="Book Antiqua" w:hAnsi="Book Antiqua" w:cs="Arial"/>
        </w:rPr>
        <w:t xml:space="preserve">The </w:t>
      </w:r>
      <w:r w:rsidR="008A1D73">
        <w:rPr>
          <w:rFonts w:ascii="Book Antiqua" w:hAnsi="Book Antiqua" w:cs="Arial"/>
        </w:rPr>
        <w:t>Claimant</w:t>
      </w:r>
      <w:r w:rsidR="00382919">
        <w:rPr>
          <w:rFonts w:ascii="Book Antiqua" w:hAnsi="Book Antiqua" w:cs="Arial"/>
        </w:rPr>
        <w:t xml:space="preserve">, a national of </w:t>
      </w:r>
      <w:smartTag w:uri="urn:schemas-microsoft-com:office:smarttags" w:element="place">
        <w:smartTag w:uri="urn:schemas-microsoft-com:office:smarttags" w:element="country-region">
          <w:r w:rsidR="00382919">
            <w:rPr>
              <w:rFonts w:ascii="Book Antiqua" w:hAnsi="Book Antiqua" w:cs="Arial"/>
            </w:rPr>
            <w:t>Bangladesh</w:t>
          </w:r>
        </w:smartTag>
      </w:smartTag>
      <w:r w:rsidR="00382919">
        <w:rPr>
          <w:rFonts w:ascii="Book Antiqua" w:hAnsi="Book Antiqua" w:cs="Arial"/>
        </w:rPr>
        <w:t xml:space="preserve">, date of birth 12 September 1984, appealed against a decision of the Secretary of State to refuse leave to remain on 22 August 2016 in response to an FLR(N) application.  The matter came on appeal before First-tier Tribunal </w:t>
      </w:r>
      <w:r w:rsidR="00034C61">
        <w:rPr>
          <w:rFonts w:ascii="Book Antiqua" w:hAnsi="Book Antiqua" w:cs="Arial"/>
        </w:rPr>
        <w:t>Judge</w:t>
      </w:r>
      <w:r w:rsidR="00382919">
        <w:rPr>
          <w:rFonts w:ascii="Book Antiqua" w:hAnsi="Book Antiqua" w:cs="Arial"/>
        </w:rPr>
        <w:t xml:space="preserve"> M R Oliver (the </w:t>
      </w:r>
      <w:r w:rsidR="00034C61">
        <w:rPr>
          <w:rFonts w:ascii="Book Antiqua" w:hAnsi="Book Antiqua" w:cs="Arial"/>
        </w:rPr>
        <w:t>Judge</w:t>
      </w:r>
      <w:r w:rsidR="00382919">
        <w:rPr>
          <w:rFonts w:ascii="Book Antiqua" w:hAnsi="Book Antiqua" w:cs="Arial"/>
        </w:rPr>
        <w:t xml:space="preserve">) who on 19 December 2017 allowed the appeal on human rights grounds.  </w:t>
      </w:r>
    </w:p>
    <w:p w:rsidR="00382919" w:rsidRDefault="00382919" w:rsidP="002800AA">
      <w:pPr>
        <w:tabs>
          <w:tab w:val="left" w:pos="567"/>
        </w:tabs>
        <w:spacing w:line="360" w:lineRule="auto"/>
        <w:ind w:left="567" w:hanging="567"/>
        <w:jc w:val="both"/>
        <w:rPr>
          <w:rFonts w:ascii="Book Antiqua" w:hAnsi="Book Antiqua" w:cs="Arial"/>
        </w:rPr>
      </w:pPr>
    </w:p>
    <w:p w:rsidR="00382919" w:rsidRDefault="00382919" w:rsidP="002800AA">
      <w:pPr>
        <w:tabs>
          <w:tab w:val="left" w:pos="567"/>
        </w:tabs>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w:t>
      </w:r>
      <w:r w:rsidR="00034C61">
        <w:rPr>
          <w:rFonts w:ascii="Book Antiqua" w:hAnsi="Book Antiqua" w:cs="Arial"/>
        </w:rPr>
        <w:t>Respondent</w:t>
      </w:r>
      <w:r>
        <w:rPr>
          <w:rFonts w:ascii="Book Antiqua" w:hAnsi="Book Antiqua" w:cs="Arial"/>
        </w:rPr>
        <w:t xml:space="preserve">’s decision was partly based on the conclusion that the </w:t>
      </w:r>
      <w:r w:rsidR="00034C61">
        <w:rPr>
          <w:rFonts w:ascii="Book Antiqua" w:hAnsi="Book Antiqua" w:cs="Arial"/>
        </w:rPr>
        <w:t>Claimant</w:t>
      </w:r>
      <w:r>
        <w:rPr>
          <w:rFonts w:ascii="Book Antiqua" w:hAnsi="Book Antiqua" w:cs="Arial"/>
        </w:rPr>
        <w:t xml:space="preserve"> had used a proxy test taker to carry out the speaking test through the ETS and that the outcome was concluded to be unreliable.  As a result of that outcome the </w:t>
      </w:r>
      <w:r w:rsidR="00034C61">
        <w:rPr>
          <w:rFonts w:ascii="Book Antiqua" w:hAnsi="Book Antiqua" w:cs="Arial"/>
        </w:rPr>
        <w:t>Claimant</w:t>
      </w:r>
      <w:r>
        <w:rPr>
          <w:rFonts w:ascii="Book Antiqua" w:hAnsi="Book Antiqua" w:cs="Arial"/>
        </w:rPr>
        <w:t xml:space="preserve"> had been interviewed and the conclusion formed by the Secretary of State’s representatives that she was not credible.  In the event the Reasons for Refusal Letter set out a number of reasons why the conclusion was reached that the </w:t>
      </w:r>
      <w:r w:rsidR="00034C61">
        <w:rPr>
          <w:rFonts w:ascii="Book Antiqua" w:hAnsi="Book Antiqua" w:cs="Arial"/>
        </w:rPr>
        <w:t>Claimant</w:t>
      </w:r>
      <w:r>
        <w:rPr>
          <w:rFonts w:ascii="Book Antiqua" w:hAnsi="Book Antiqua" w:cs="Arial"/>
        </w:rPr>
        <w:t xml:space="preserve"> was not a credible witness.  In brief I summarise them as follows.</w:t>
      </w:r>
    </w:p>
    <w:p w:rsidR="00382919" w:rsidRDefault="00382919" w:rsidP="002800AA">
      <w:pPr>
        <w:tabs>
          <w:tab w:val="left" w:pos="567"/>
        </w:tabs>
        <w:spacing w:line="360" w:lineRule="auto"/>
        <w:ind w:left="567" w:hanging="567"/>
        <w:jc w:val="both"/>
        <w:rPr>
          <w:rFonts w:ascii="Book Antiqua" w:hAnsi="Book Antiqua" w:cs="Arial"/>
        </w:rPr>
      </w:pPr>
    </w:p>
    <w:p w:rsidR="00382919" w:rsidRDefault="00382919" w:rsidP="002800AA">
      <w:pPr>
        <w:tabs>
          <w:tab w:val="left" w:pos="567"/>
        </w:tabs>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First, the </w:t>
      </w:r>
      <w:r w:rsidR="00034C61">
        <w:rPr>
          <w:rFonts w:ascii="Book Antiqua" w:hAnsi="Book Antiqua" w:cs="Arial"/>
        </w:rPr>
        <w:t>Claimant</w:t>
      </w:r>
      <w:r>
        <w:rPr>
          <w:rFonts w:ascii="Book Antiqua" w:hAnsi="Book Antiqua" w:cs="Arial"/>
        </w:rPr>
        <w:t xml:space="preserve"> was not able to recall the test centre in which she had taken the test.  Secondly, she could not recall where the test was taken in </w:t>
      </w:r>
      <w:smartTag w:uri="urn:schemas-microsoft-com:office:smarttags" w:element="City">
        <w:smartTag w:uri="urn:schemas-microsoft-com:office:smarttags" w:element="place">
          <w:r>
            <w:rPr>
              <w:rFonts w:ascii="Book Antiqua" w:hAnsi="Book Antiqua" w:cs="Arial"/>
            </w:rPr>
            <w:t>London</w:t>
          </w:r>
        </w:smartTag>
      </w:smartTag>
      <w:r>
        <w:rPr>
          <w:rFonts w:ascii="Book Antiqua" w:hAnsi="Book Antiqua" w:cs="Arial"/>
        </w:rPr>
        <w:t>.  Thirdly</w:t>
      </w:r>
      <w:r w:rsidR="008A1D73">
        <w:rPr>
          <w:rFonts w:ascii="Book Antiqua" w:hAnsi="Book Antiqua" w:cs="Arial"/>
        </w:rPr>
        <w:t>,</w:t>
      </w:r>
      <w:r>
        <w:rPr>
          <w:rFonts w:ascii="Book Antiqua" w:hAnsi="Book Antiqua" w:cs="Arial"/>
        </w:rPr>
        <w:t xml:space="preserve"> she was unsure of the name of the test centre.  Fourthly, the conclusions reached that </w:t>
      </w:r>
      <w:r w:rsidR="006226E6">
        <w:rPr>
          <w:rFonts w:ascii="Book Antiqua" w:hAnsi="Book Antiqua" w:cs="Arial"/>
        </w:rPr>
        <w:t>there</w:t>
      </w:r>
      <w:r>
        <w:rPr>
          <w:rFonts w:ascii="Book Antiqua" w:hAnsi="Book Antiqua" w:cs="Arial"/>
        </w:rPr>
        <w:t xml:space="preserve"> was</w:t>
      </w:r>
      <w:r w:rsidR="006226E6">
        <w:rPr>
          <w:rFonts w:ascii="Book Antiqua" w:hAnsi="Book Antiqua" w:cs="Arial"/>
        </w:rPr>
        <w:t>,</w:t>
      </w:r>
      <w:r>
        <w:rPr>
          <w:rFonts w:ascii="Book Antiqua" w:hAnsi="Book Antiqua" w:cs="Arial"/>
        </w:rPr>
        <w:t xml:space="preserve"> in the light of those details</w:t>
      </w:r>
      <w:r w:rsidR="008A1D73">
        <w:rPr>
          <w:rFonts w:ascii="Book Antiqua" w:hAnsi="Book Antiqua" w:cs="Arial"/>
        </w:rPr>
        <w:t>,</w:t>
      </w:r>
      <w:r>
        <w:rPr>
          <w:rFonts w:ascii="Book Antiqua" w:hAnsi="Book Antiqua" w:cs="Arial"/>
        </w:rPr>
        <w:t xml:space="preserve"> even though there was some four years since the date of the test, reason to doubt the </w:t>
      </w:r>
      <w:r w:rsidR="00034C61">
        <w:rPr>
          <w:rFonts w:ascii="Book Antiqua" w:hAnsi="Book Antiqua" w:cs="Arial"/>
        </w:rPr>
        <w:t>Appellant</w:t>
      </w:r>
      <w:r>
        <w:rPr>
          <w:rFonts w:ascii="Book Antiqua" w:hAnsi="Book Antiqua" w:cs="Arial"/>
        </w:rPr>
        <w:t xml:space="preserve">’s credibility.  </w:t>
      </w:r>
    </w:p>
    <w:p w:rsidR="00382919" w:rsidRDefault="00382919" w:rsidP="002800AA">
      <w:pPr>
        <w:tabs>
          <w:tab w:val="left" w:pos="567"/>
        </w:tabs>
        <w:spacing w:line="360" w:lineRule="auto"/>
        <w:ind w:left="567" w:hanging="567"/>
        <w:jc w:val="both"/>
        <w:rPr>
          <w:rFonts w:ascii="Book Antiqua" w:hAnsi="Book Antiqua" w:cs="Arial"/>
        </w:rPr>
      </w:pPr>
    </w:p>
    <w:p w:rsidR="00382919" w:rsidRDefault="00382919" w:rsidP="002800AA">
      <w:pPr>
        <w:tabs>
          <w:tab w:val="left" w:pos="567"/>
        </w:tabs>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 xml:space="preserve">At the hearing of the appeal the </w:t>
      </w:r>
      <w:r w:rsidR="00034C61">
        <w:rPr>
          <w:rFonts w:ascii="Book Antiqua" w:hAnsi="Book Antiqua" w:cs="Arial"/>
        </w:rPr>
        <w:t>Claimant</w:t>
      </w:r>
      <w:r>
        <w:rPr>
          <w:rFonts w:ascii="Book Antiqua" w:hAnsi="Book Antiqua" w:cs="Arial"/>
        </w:rPr>
        <w:t xml:space="preserve"> sought to address the issues of recollection and the taking of the TOEIC test</w:t>
      </w:r>
      <w:r w:rsidR="006226E6">
        <w:rPr>
          <w:rFonts w:ascii="Book Antiqua" w:hAnsi="Book Antiqua" w:cs="Arial"/>
        </w:rPr>
        <w:t>.  I</w:t>
      </w:r>
      <w:r>
        <w:rPr>
          <w:rFonts w:ascii="Book Antiqua" w:hAnsi="Book Antiqua" w:cs="Arial"/>
        </w:rPr>
        <w:t>n paragraph 4 of her statement I conclude looking at the Record of Proceedings, she said that she took the test at Elizabeth College, the name of which she had not previously been able to recall, and that she took the test to check the efficiency of her English with a view to using this qualification for future leave applications provided she had presumably achieved that qualification.  The statement</w:t>
      </w:r>
      <w:r w:rsidR="008A1D73">
        <w:rPr>
          <w:rFonts w:ascii="Book Antiqua" w:hAnsi="Book Antiqua" w:cs="Arial"/>
        </w:rPr>
        <w:t>,</w:t>
      </w:r>
      <w:r>
        <w:rPr>
          <w:rFonts w:ascii="Book Antiqua" w:hAnsi="Book Antiqua" w:cs="Arial"/>
        </w:rPr>
        <w:t xml:space="preserve"> nor as far as I can see as the </w:t>
      </w:r>
      <w:r w:rsidR="00034C61">
        <w:rPr>
          <w:rFonts w:ascii="Book Antiqua" w:hAnsi="Book Antiqua" w:cs="Arial"/>
        </w:rPr>
        <w:t>Judge</w:t>
      </w:r>
      <w:r>
        <w:rPr>
          <w:rFonts w:ascii="Book Antiqua" w:hAnsi="Book Antiqua" w:cs="Arial"/>
        </w:rPr>
        <w:t xml:space="preserve"> records the oral evidence, did particularly address the circumstances of the test, the elements of the speaking test tha</w:t>
      </w:r>
      <w:r w:rsidR="008A1D73">
        <w:rPr>
          <w:rFonts w:ascii="Book Antiqua" w:hAnsi="Book Antiqua" w:cs="Arial"/>
        </w:rPr>
        <w:t>t she was required to do or proff</w:t>
      </w:r>
      <w:r>
        <w:rPr>
          <w:rFonts w:ascii="Book Antiqua" w:hAnsi="Book Antiqua" w:cs="Arial"/>
        </w:rPr>
        <w:t>er any explanation for the possible outcome</w:t>
      </w:r>
      <w:r w:rsidR="000F1480">
        <w:rPr>
          <w:rFonts w:ascii="Book Antiqua" w:hAnsi="Book Antiqua" w:cs="Arial"/>
        </w:rPr>
        <w:t xml:space="preserve">.  She </w:t>
      </w:r>
      <w:r>
        <w:rPr>
          <w:rFonts w:ascii="Book Antiqua" w:hAnsi="Book Antiqua" w:cs="Arial"/>
        </w:rPr>
        <w:t>sa</w:t>
      </w:r>
      <w:r w:rsidR="000F1480">
        <w:rPr>
          <w:rFonts w:ascii="Book Antiqua" w:hAnsi="Book Antiqua" w:cs="Arial"/>
        </w:rPr>
        <w:t>id</w:t>
      </w:r>
      <w:r>
        <w:rPr>
          <w:rFonts w:ascii="Book Antiqua" w:hAnsi="Book Antiqua" w:cs="Arial"/>
        </w:rPr>
        <w:t xml:space="preserve">, </w:t>
      </w:r>
      <w:r w:rsidR="006226E6">
        <w:rPr>
          <w:rFonts w:ascii="Book Antiqua" w:hAnsi="Book Antiqua" w:cs="Arial"/>
        </w:rPr>
        <w:t>‘</w:t>
      </w:r>
      <w:r>
        <w:rPr>
          <w:rFonts w:ascii="Book Antiqua" w:hAnsi="Book Antiqua" w:cs="Arial"/>
        </w:rPr>
        <w:t>I took the test and I passed</w:t>
      </w:r>
      <w:r w:rsidR="008A1D73">
        <w:rPr>
          <w:rFonts w:ascii="Book Antiqua" w:hAnsi="Book Antiqua" w:cs="Arial"/>
        </w:rPr>
        <w:t xml:space="preserve">, </w:t>
      </w:r>
      <w:r>
        <w:rPr>
          <w:rFonts w:ascii="Book Antiqua" w:hAnsi="Book Antiqua" w:cs="Arial"/>
        </w:rPr>
        <w:t>I received my certificate and I am entitled to rely upon that.</w:t>
      </w:r>
      <w:r w:rsidR="006226E6">
        <w:rPr>
          <w:rFonts w:ascii="Book Antiqua" w:hAnsi="Book Antiqua" w:cs="Arial"/>
        </w:rPr>
        <w:t>’</w:t>
      </w:r>
    </w:p>
    <w:p w:rsidR="00382919" w:rsidRDefault="00382919" w:rsidP="002800AA">
      <w:pPr>
        <w:tabs>
          <w:tab w:val="left" w:pos="567"/>
        </w:tabs>
        <w:spacing w:line="360" w:lineRule="auto"/>
        <w:ind w:left="567" w:hanging="567"/>
        <w:jc w:val="both"/>
        <w:rPr>
          <w:rFonts w:ascii="Book Antiqua" w:hAnsi="Book Antiqua" w:cs="Arial"/>
        </w:rPr>
      </w:pPr>
    </w:p>
    <w:p w:rsidR="00805DB4" w:rsidRDefault="00382919" w:rsidP="002800AA">
      <w:pPr>
        <w:tabs>
          <w:tab w:val="left" w:pos="567"/>
        </w:tabs>
        <w:spacing w:line="360" w:lineRule="auto"/>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position therefore was that the </w:t>
      </w:r>
      <w:r w:rsidR="00034C61">
        <w:rPr>
          <w:rFonts w:ascii="Book Antiqua" w:hAnsi="Book Antiqua" w:cs="Arial"/>
        </w:rPr>
        <w:t>Judge</w:t>
      </w:r>
      <w:r>
        <w:rPr>
          <w:rFonts w:ascii="Book Antiqua" w:hAnsi="Book Antiqua" w:cs="Arial"/>
        </w:rPr>
        <w:t xml:space="preserve"> had on the face of it also </w:t>
      </w:r>
      <w:r w:rsidR="001F09F9">
        <w:rPr>
          <w:rFonts w:ascii="Book Antiqua" w:hAnsi="Book Antiqua" w:cs="Arial"/>
        </w:rPr>
        <w:t xml:space="preserve">sufficient </w:t>
      </w:r>
      <w:r>
        <w:rPr>
          <w:rFonts w:ascii="Book Antiqua" w:hAnsi="Book Antiqua" w:cs="Arial"/>
        </w:rPr>
        <w:t xml:space="preserve">evidence I think from the </w:t>
      </w:r>
      <w:r w:rsidR="00034C61">
        <w:rPr>
          <w:rFonts w:ascii="Book Antiqua" w:hAnsi="Book Antiqua" w:cs="Arial"/>
        </w:rPr>
        <w:t>Claimant</w:t>
      </w:r>
      <w:r w:rsidR="008A1D73">
        <w:rPr>
          <w:rFonts w:ascii="Book Antiqua" w:hAnsi="Book Antiqua" w:cs="Arial"/>
        </w:rPr>
        <w:t>’s husband</w:t>
      </w:r>
      <w:r w:rsidR="000F1480">
        <w:rPr>
          <w:rFonts w:ascii="Book Antiqua" w:hAnsi="Book Antiqua" w:cs="Arial"/>
        </w:rPr>
        <w:t>.  A</w:t>
      </w:r>
      <w:r w:rsidR="008A1D73">
        <w:rPr>
          <w:rFonts w:ascii="Book Antiqua" w:hAnsi="Book Antiqua" w:cs="Arial"/>
        </w:rPr>
        <w:t xml:space="preserve"> stark</w:t>
      </w:r>
      <w:r>
        <w:rPr>
          <w:rFonts w:ascii="Book Antiqua" w:hAnsi="Book Antiqua" w:cs="Arial"/>
        </w:rPr>
        <w:t xml:space="preserve"> contrast </w:t>
      </w:r>
      <w:r w:rsidR="000F1480">
        <w:rPr>
          <w:rFonts w:ascii="Book Antiqua" w:hAnsi="Book Antiqua" w:cs="Arial"/>
        </w:rPr>
        <w:t>to</w:t>
      </w:r>
      <w:r>
        <w:rPr>
          <w:rFonts w:ascii="Book Antiqua" w:hAnsi="Book Antiqua" w:cs="Arial"/>
        </w:rPr>
        <w:t xml:space="preserve"> the view the Secretary of State formed that the outcome of the test was </w:t>
      </w:r>
      <w:r w:rsidR="001F09F9">
        <w:rPr>
          <w:rFonts w:ascii="Book Antiqua" w:hAnsi="Book Antiqua" w:cs="Arial"/>
        </w:rPr>
        <w:t xml:space="preserve">of </w:t>
      </w:r>
      <w:r>
        <w:rPr>
          <w:rFonts w:ascii="Book Antiqua" w:hAnsi="Book Antiqua" w:cs="Arial"/>
        </w:rPr>
        <w:t>questionable validity</w:t>
      </w:r>
      <w:r w:rsidR="00805DB4">
        <w:rPr>
          <w:rFonts w:ascii="Book Antiqua" w:hAnsi="Book Antiqua" w:cs="Arial"/>
        </w:rPr>
        <w:t xml:space="preserve">.  </w:t>
      </w:r>
      <w:r w:rsidR="001F09F9">
        <w:rPr>
          <w:rFonts w:ascii="Book Antiqua" w:hAnsi="Book Antiqua" w:cs="Arial"/>
        </w:rPr>
        <w:t>T</w:t>
      </w:r>
      <w:r>
        <w:rPr>
          <w:rFonts w:ascii="Book Antiqua" w:hAnsi="Book Antiqua" w:cs="Arial"/>
        </w:rPr>
        <w:t>he Secretary of State</w:t>
      </w:r>
      <w:r w:rsidR="001F09F9">
        <w:rPr>
          <w:rFonts w:ascii="Book Antiqua" w:hAnsi="Book Antiqua" w:cs="Arial"/>
        </w:rPr>
        <w:t xml:space="preserve"> in the circumstances</w:t>
      </w:r>
      <w:r w:rsidR="008A1D73">
        <w:rPr>
          <w:rFonts w:ascii="Book Antiqua" w:hAnsi="Book Antiqua" w:cs="Arial"/>
        </w:rPr>
        <w:t>,</w:t>
      </w:r>
      <w:r>
        <w:rPr>
          <w:rFonts w:ascii="Book Antiqua" w:hAnsi="Book Antiqua" w:cs="Arial"/>
        </w:rPr>
        <w:t xml:space="preserve"> as </w:t>
      </w:r>
      <w:r w:rsidR="00805DB4">
        <w:rPr>
          <w:rFonts w:ascii="Book Antiqua" w:hAnsi="Book Antiqua" w:cs="Arial"/>
        </w:rPr>
        <w:t>s</w:t>
      </w:r>
      <w:r>
        <w:rPr>
          <w:rFonts w:ascii="Book Antiqua" w:hAnsi="Book Antiqua" w:cs="Arial"/>
        </w:rPr>
        <w:t xml:space="preserve">he </w:t>
      </w:r>
      <w:r w:rsidR="00805DB4">
        <w:rPr>
          <w:rFonts w:ascii="Book Antiqua" w:hAnsi="Book Antiqua" w:cs="Arial"/>
        </w:rPr>
        <w:t>wa</w:t>
      </w:r>
      <w:r>
        <w:rPr>
          <w:rFonts w:ascii="Book Antiqua" w:hAnsi="Book Antiqua" w:cs="Arial"/>
        </w:rPr>
        <w:t>s committed to do</w:t>
      </w:r>
      <w:r w:rsidR="008A1D73">
        <w:rPr>
          <w:rFonts w:ascii="Book Antiqua" w:hAnsi="Book Antiqua" w:cs="Arial"/>
        </w:rPr>
        <w:t>,</w:t>
      </w:r>
      <w:r>
        <w:rPr>
          <w:rFonts w:ascii="Book Antiqua" w:hAnsi="Book Antiqua" w:cs="Arial"/>
        </w:rPr>
        <w:t xml:space="preserve"> </w:t>
      </w:r>
      <w:r w:rsidR="00863319">
        <w:rPr>
          <w:rFonts w:ascii="Book Antiqua" w:hAnsi="Book Antiqua" w:cs="Arial"/>
        </w:rPr>
        <w:t xml:space="preserve">carried out an </w:t>
      </w:r>
      <w:r>
        <w:rPr>
          <w:rFonts w:ascii="Book Antiqua" w:hAnsi="Book Antiqua" w:cs="Arial"/>
        </w:rPr>
        <w:t>interview</w:t>
      </w:r>
      <w:r w:rsidR="00805DB4">
        <w:rPr>
          <w:rFonts w:ascii="Book Antiqua" w:hAnsi="Book Antiqua" w:cs="Arial"/>
        </w:rPr>
        <w:t xml:space="preserve">.  The </w:t>
      </w:r>
      <w:r>
        <w:rPr>
          <w:rFonts w:ascii="Book Antiqua" w:hAnsi="Book Antiqua" w:cs="Arial"/>
        </w:rPr>
        <w:t>r</w:t>
      </w:r>
      <w:r w:rsidR="00805DB4">
        <w:rPr>
          <w:rFonts w:ascii="Book Antiqua" w:hAnsi="Book Antiqua" w:cs="Arial"/>
        </w:rPr>
        <w:t>esult of that interview was the conclusion</w:t>
      </w:r>
      <w:r>
        <w:rPr>
          <w:rFonts w:ascii="Book Antiqua" w:hAnsi="Book Antiqua" w:cs="Arial"/>
        </w:rPr>
        <w:t xml:space="preserve"> </w:t>
      </w:r>
      <w:r w:rsidR="00B37D60">
        <w:rPr>
          <w:rFonts w:ascii="Book Antiqua" w:hAnsi="Book Antiqua" w:cs="Arial"/>
        </w:rPr>
        <w:t xml:space="preserve">that </w:t>
      </w:r>
      <w:r>
        <w:rPr>
          <w:rFonts w:ascii="Book Antiqua" w:hAnsi="Book Antiqua" w:cs="Arial"/>
        </w:rPr>
        <w:t xml:space="preserve">the </w:t>
      </w:r>
      <w:r w:rsidR="00034C61">
        <w:rPr>
          <w:rFonts w:ascii="Book Antiqua" w:hAnsi="Book Antiqua" w:cs="Arial"/>
        </w:rPr>
        <w:t>Claimant</w:t>
      </w:r>
      <w:r w:rsidR="00805DB4">
        <w:rPr>
          <w:rFonts w:ascii="Book Antiqua" w:hAnsi="Book Antiqua" w:cs="Arial"/>
        </w:rPr>
        <w:t xml:space="preserve"> was not credible.</w:t>
      </w:r>
    </w:p>
    <w:p w:rsidR="00805DB4" w:rsidRDefault="00805DB4" w:rsidP="002800AA">
      <w:pPr>
        <w:tabs>
          <w:tab w:val="left" w:pos="567"/>
        </w:tabs>
        <w:spacing w:line="360" w:lineRule="auto"/>
        <w:ind w:left="567" w:hanging="567"/>
        <w:jc w:val="both"/>
        <w:rPr>
          <w:rFonts w:ascii="Book Antiqua" w:hAnsi="Book Antiqua" w:cs="Arial"/>
        </w:rPr>
      </w:pPr>
    </w:p>
    <w:p w:rsidR="00382919" w:rsidRPr="008A1D73" w:rsidRDefault="00805DB4" w:rsidP="002800AA">
      <w:pPr>
        <w:tabs>
          <w:tab w:val="left" w:pos="567"/>
        </w:tabs>
        <w:spacing w:line="360" w:lineRule="auto"/>
        <w:ind w:left="567" w:hanging="567"/>
        <w:jc w:val="both"/>
        <w:rPr>
          <w:rFonts w:ascii="Book Antiqua" w:hAnsi="Book Antiqua" w:cs="Arial"/>
        </w:rPr>
      </w:pPr>
      <w:r>
        <w:rPr>
          <w:rFonts w:ascii="Book Antiqua" w:hAnsi="Book Antiqua" w:cs="Arial"/>
        </w:rPr>
        <w:t>6.</w:t>
      </w:r>
      <w:r>
        <w:rPr>
          <w:rFonts w:ascii="Book Antiqua" w:hAnsi="Book Antiqua" w:cs="Arial"/>
        </w:rPr>
        <w:tab/>
      </w:r>
      <w:r w:rsidR="00382919">
        <w:rPr>
          <w:rFonts w:ascii="Book Antiqua" w:hAnsi="Book Antiqua" w:cs="Arial"/>
        </w:rPr>
        <w:t xml:space="preserve">The </w:t>
      </w:r>
      <w:r w:rsidR="00034C61">
        <w:rPr>
          <w:rFonts w:ascii="Book Antiqua" w:hAnsi="Book Antiqua" w:cs="Arial"/>
        </w:rPr>
        <w:t>Judge</w:t>
      </w:r>
      <w:r w:rsidR="00382919">
        <w:rPr>
          <w:rFonts w:ascii="Book Antiqua" w:hAnsi="Book Antiqua" w:cs="Arial"/>
        </w:rPr>
        <w:t xml:space="preserve"> said, with reference to the case of </w:t>
      </w:r>
      <w:r w:rsidR="00382919" w:rsidRPr="008A1D73">
        <w:rPr>
          <w:rFonts w:ascii="Book Antiqua" w:hAnsi="Book Antiqua" w:cs="Arial"/>
        </w:rPr>
        <w:t>Shehzad v SSHD [2016] EWCA Civ 615:</w:t>
      </w:r>
    </w:p>
    <w:p w:rsidR="00382919" w:rsidRDefault="00382919" w:rsidP="00D8767C">
      <w:pPr>
        <w:spacing w:before="120" w:after="120" w:line="360" w:lineRule="auto"/>
        <w:ind w:left="1134" w:right="567"/>
        <w:jc w:val="both"/>
        <w:rPr>
          <w:rFonts w:ascii="Book Antiqua" w:hAnsi="Book Antiqua" w:cs="Arial"/>
        </w:rPr>
      </w:pPr>
      <w:r>
        <w:rPr>
          <w:rFonts w:ascii="Book Antiqua" w:hAnsi="Book Antiqua" w:cs="Arial"/>
        </w:rPr>
        <w:t>“It was held that whereas a</w:t>
      </w:r>
      <w:r w:rsidR="008A1D73">
        <w:rPr>
          <w:rFonts w:ascii="Book Antiqua" w:hAnsi="Book Antiqua" w:cs="Arial"/>
        </w:rPr>
        <w:t>n</w:t>
      </w:r>
      <w:r>
        <w:rPr>
          <w:rFonts w:ascii="Book Antiqua" w:hAnsi="Book Antiqua" w:cs="Arial"/>
        </w:rPr>
        <w:t xml:space="preserve"> ‘invalid’ test result might satisfy this burden a questionable result did not”, that is the burden of proof of showing that a proxy test taker was in all likelihood to have been used.  </w:t>
      </w:r>
      <w:r>
        <w:rPr>
          <w:rFonts w:ascii="Book Antiqua" w:hAnsi="Book Antiqua" w:cs="Arial"/>
          <w:u w:val="single"/>
        </w:rPr>
        <w:t>Instead</w:t>
      </w:r>
      <w:r>
        <w:rPr>
          <w:rFonts w:ascii="Book Antiqua" w:hAnsi="Book Antiqua" w:cs="Arial"/>
        </w:rPr>
        <w:t xml:space="preserve"> the </w:t>
      </w:r>
      <w:r w:rsidR="00034C61">
        <w:rPr>
          <w:rFonts w:ascii="Book Antiqua" w:hAnsi="Book Antiqua" w:cs="Arial"/>
        </w:rPr>
        <w:t>Respondent</w:t>
      </w:r>
      <w:r>
        <w:rPr>
          <w:rFonts w:ascii="Book Antiqua" w:hAnsi="Book Antiqua" w:cs="Arial"/>
        </w:rPr>
        <w:t xml:space="preserve"> has relied on the </w:t>
      </w:r>
      <w:r w:rsidR="00034C61">
        <w:rPr>
          <w:rFonts w:ascii="Book Antiqua" w:hAnsi="Book Antiqua" w:cs="Arial"/>
        </w:rPr>
        <w:t>Appellant</w:t>
      </w:r>
      <w:r w:rsidR="004A2BE6">
        <w:rPr>
          <w:rFonts w:ascii="Book Antiqua" w:hAnsi="Book Antiqua" w:cs="Arial"/>
        </w:rPr>
        <w:t xml:space="preserve">’s answers in interview four years later.  She recalled that the test was in </w:t>
      </w:r>
      <w:smartTag w:uri="urn:schemas-microsoft-com:office:smarttags" w:element="City">
        <w:r w:rsidR="004A2BE6">
          <w:rPr>
            <w:rFonts w:ascii="Book Antiqua" w:hAnsi="Book Antiqua" w:cs="Arial"/>
          </w:rPr>
          <w:t>London</w:t>
        </w:r>
      </w:smartTag>
      <w:r w:rsidR="004A2BE6">
        <w:rPr>
          <w:rFonts w:ascii="Book Antiqua" w:hAnsi="Book Antiqua" w:cs="Arial"/>
        </w:rPr>
        <w:t xml:space="preserve"> and the name of the test centre was something like </w:t>
      </w:r>
      <w:smartTag w:uri="urn:schemas-microsoft-com:office:smarttags" w:element="place">
        <w:smartTag w:uri="urn:schemas-microsoft-com:office:smarttags" w:element="PlaceName">
          <w:r w:rsidR="004A2BE6">
            <w:rPr>
              <w:rFonts w:ascii="Book Antiqua" w:hAnsi="Book Antiqua" w:cs="Arial"/>
            </w:rPr>
            <w:t>Queen</w:t>
          </w:r>
        </w:smartTag>
        <w:r w:rsidR="004A2BE6">
          <w:rPr>
            <w:rFonts w:ascii="Book Antiqua" w:hAnsi="Book Antiqua" w:cs="Arial"/>
          </w:rPr>
          <w:t xml:space="preserve"> </w:t>
        </w:r>
        <w:smartTag w:uri="urn:schemas-microsoft-com:office:smarttags" w:element="PlaceName">
          <w:r w:rsidR="004A2BE6">
            <w:rPr>
              <w:rFonts w:ascii="Book Antiqua" w:hAnsi="Book Antiqua" w:cs="Arial"/>
            </w:rPr>
            <w:t>Mary</w:t>
          </w:r>
        </w:smartTag>
        <w:r w:rsidR="004A2BE6">
          <w:rPr>
            <w:rFonts w:ascii="Book Antiqua" w:hAnsi="Book Antiqua" w:cs="Arial"/>
          </w:rPr>
          <w:t xml:space="preserve"> </w:t>
        </w:r>
        <w:smartTag w:uri="urn:schemas-microsoft-com:office:smarttags" w:element="PlaceName">
          <w:r w:rsidR="004A2BE6">
            <w:rPr>
              <w:rFonts w:ascii="Book Antiqua" w:hAnsi="Book Antiqua" w:cs="Arial"/>
            </w:rPr>
            <w:t>College</w:t>
          </w:r>
        </w:smartTag>
      </w:smartTag>
      <w:r w:rsidR="004A2BE6">
        <w:rPr>
          <w:rFonts w:ascii="Book Antiqua" w:hAnsi="Book Antiqua" w:cs="Arial"/>
        </w:rPr>
        <w:t xml:space="preserve">.  In fact, it was </w:t>
      </w:r>
      <w:smartTag w:uri="urn:schemas-microsoft-com:office:smarttags" w:element="place">
        <w:smartTag w:uri="urn:schemas-microsoft-com:office:smarttags" w:element="PlaceName">
          <w:r w:rsidR="004A2BE6">
            <w:rPr>
              <w:rFonts w:ascii="Book Antiqua" w:hAnsi="Book Antiqua" w:cs="Arial"/>
            </w:rPr>
            <w:t>Elizabeth</w:t>
          </w:r>
        </w:smartTag>
        <w:r w:rsidR="004A2BE6">
          <w:rPr>
            <w:rFonts w:ascii="Book Antiqua" w:hAnsi="Book Antiqua" w:cs="Arial"/>
          </w:rPr>
          <w:t xml:space="preserve"> </w:t>
        </w:r>
        <w:smartTag w:uri="urn:schemas-microsoft-com:office:smarttags" w:element="PlaceName">
          <w:r w:rsidR="004A2BE6">
            <w:rPr>
              <w:rFonts w:ascii="Book Antiqua" w:hAnsi="Book Antiqua" w:cs="Arial"/>
            </w:rPr>
            <w:t>College</w:t>
          </w:r>
        </w:smartTag>
      </w:smartTag>
      <w:r w:rsidR="004A2BE6">
        <w:rPr>
          <w:rFonts w:ascii="Book Antiqua" w:hAnsi="Book Antiqua" w:cs="Arial"/>
        </w:rPr>
        <w:t xml:space="preserve">.  In my judgment it was grossly unfair of the </w:t>
      </w:r>
      <w:r w:rsidR="00034C61">
        <w:rPr>
          <w:rFonts w:ascii="Book Antiqua" w:hAnsi="Book Antiqua" w:cs="Arial"/>
        </w:rPr>
        <w:t>Respondent</w:t>
      </w:r>
      <w:r w:rsidR="004A2BE6">
        <w:rPr>
          <w:rFonts w:ascii="Book Antiqua" w:hAnsi="Book Antiqua" w:cs="Arial"/>
        </w:rPr>
        <w:t xml:space="preserve"> to draw this unsustainable conclusion without considerably more evidence.  In the same interview it was noted she answered questions in a fluent manner.”</w:t>
      </w:r>
      <w:r w:rsidR="00805DB4">
        <w:rPr>
          <w:rFonts w:ascii="Book Antiqua" w:hAnsi="Book Antiqua" w:cs="Arial"/>
        </w:rPr>
        <w:t xml:space="preserve">  (My emphasis)</w:t>
      </w:r>
    </w:p>
    <w:p w:rsidR="009704DE" w:rsidRDefault="00805DB4" w:rsidP="002800AA">
      <w:pPr>
        <w:spacing w:line="360" w:lineRule="auto"/>
        <w:ind w:left="567" w:hanging="567"/>
        <w:jc w:val="both"/>
        <w:rPr>
          <w:rFonts w:ascii="Book Antiqua" w:hAnsi="Book Antiqua" w:cs="Arial"/>
        </w:rPr>
      </w:pPr>
      <w:r>
        <w:rPr>
          <w:rFonts w:ascii="Book Antiqua" w:hAnsi="Book Antiqua" w:cs="Arial"/>
        </w:rPr>
        <w:t>7</w:t>
      </w:r>
      <w:r w:rsidR="004A2BE6">
        <w:rPr>
          <w:rFonts w:ascii="Book Antiqua" w:hAnsi="Book Antiqua" w:cs="Arial"/>
        </w:rPr>
        <w:t>.</w:t>
      </w:r>
      <w:r w:rsidR="00EF1971">
        <w:rPr>
          <w:rFonts w:ascii="Book Antiqua" w:hAnsi="Book Antiqua" w:cs="Arial"/>
        </w:rPr>
        <w:tab/>
      </w:r>
      <w:r w:rsidR="004A2BE6">
        <w:rPr>
          <w:rFonts w:ascii="Book Antiqua" w:hAnsi="Book Antiqua" w:cs="Arial"/>
        </w:rPr>
        <w:t>It seem</w:t>
      </w:r>
      <w:r w:rsidR="00645C12">
        <w:rPr>
          <w:rFonts w:ascii="Book Antiqua" w:hAnsi="Book Antiqua" w:cs="Arial"/>
        </w:rPr>
        <w:t>ed</w:t>
      </w:r>
      <w:r w:rsidR="004A2BE6">
        <w:rPr>
          <w:rFonts w:ascii="Book Antiqua" w:hAnsi="Book Antiqua" w:cs="Arial"/>
        </w:rPr>
        <w:t xml:space="preserve"> to me that the </w:t>
      </w:r>
      <w:r w:rsidR="00034C61">
        <w:rPr>
          <w:rFonts w:ascii="Book Antiqua" w:hAnsi="Book Antiqua" w:cs="Arial"/>
        </w:rPr>
        <w:t>Judge</w:t>
      </w:r>
      <w:r w:rsidR="004A2BE6">
        <w:rPr>
          <w:rFonts w:ascii="Book Antiqua" w:hAnsi="Book Antiqua" w:cs="Arial"/>
        </w:rPr>
        <w:t xml:space="preserve"> has done the very thing that needed to be avo</w:t>
      </w:r>
      <w:r w:rsidR="00B37D60">
        <w:rPr>
          <w:rFonts w:ascii="Book Antiqua" w:hAnsi="Book Antiqua" w:cs="Arial"/>
        </w:rPr>
        <w:t xml:space="preserve">ided.  </w:t>
      </w:r>
      <w:r w:rsidR="001F026E">
        <w:rPr>
          <w:rFonts w:ascii="Book Antiqua" w:hAnsi="Book Antiqua" w:cs="Arial"/>
        </w:rPr>
        <w:t xml:space="preserve">He made </w:t>
      </w:r>
      <w:r w:rsidR="004A2BE6">
        <w:rPr>
          <w:rFonts w:ascii="Book Antiqua" w:hAnsi="Book Antiqua" w:cs="Arial"/>
        </w:rPr>
        <w:t>an assessment of the credibility of the</w:t>
      </w:r>
      <w:r w:rsidR="00863319">
        <w:rPr>
          <w:rFonts w:ascii="Book Antiqua" w:hAnsi="Book Antiqua" w:cs="Arial"/>
        </w:rPr>
        <w:t xml:space="preserve"> ETS</w:t>
      </w:r>
      <w:r w:rsidR="004A2BE6">
        <w:rPr>
          <w:rFonts w:ascii="Book Antiqua" w:hAnsi="Book Antiqua" w:cs="Arial"/>
        </w:rPr>
        <w:t xml:space="preserve"> evidence and </w:t>
      </w:r>
      <w:r w:rsidR="001F026E">
        <w:rPr>
          <w:rFonts w:ascii="Book Antiqua" w:hAnsi="Book Antiqua" w:cs="Arial"/>
        </w:rPr>
        <w:t xml:space="preserve">using </w:t>
      </w:r>
      <w:r w:rsidR="004A2BE6">
        <w:rPr>
          <w:rFonts w:ascii="Book Antiqua" w:hAnsi="Book Antiqua" w:cs="Arial"/>
        </w:rPr>
        <w:t xml:space="preserve">the explanation given at the hearing by the </w:t>
      </w:r>
      <w:r w:rsidR="00034C61">
        <w:rPr>
          <w:rFonts w:ascii="Book Antiqua" w:hAnsi="Book Antiqua" w:cs="Arial"/>
        </w:rPr>
        <w:t>Claimant</w:t>
      </w:r>
      <w:r w:rsidR="004A2BE6">
        <w:rPr>
          <w:rFonts w:ascii="Book Antiqua" w:hAnsi="Book Antiqua" w:cs="Arial"/>
        </w:rPr>
        <w:t xml:space="preserve"> and her husband</w:t>
      </w:r>
      <w:r w:rsidR="001F026E">
        <w:rPr>
          <w:rFonts w:ascii="Book Antiqua" w:hAnsi="Book Antiqua" w:cs="Arial"/>
        </w:rPr>
        <w:t>, rather than the generic</w:t>
      </w:r>
      <w:r w:rsidR="004A2BE6">
        <w:rPr>
          <w:rFonts w:ascii="Book Antiqua" w:hAnsi="Book Antiqua" w:cs="Arial"/>
        </w:rPr>
        <w:t xml:space="preserve"> evidence relied upon </w:t>
      </w:r>
      <w:r w:rsidR="00645C12">
        <w:rPr>
          <w:rFonts w:ascii="Book Antiqua" w:hAnsi="Book Antiqua" w:cs="Arial"/>
        </w:rPr>
        <w:t>to assess if the Respondent has discharged the</w:t>
      </w:r>
      <w:r w:rsidR="009704DE">
        <w:rPr>
          <w:rFonts w:ascii="Book Antiqua" w:hAnsi="Book Antiqua" w:cs="Arial"/>
        </w:rPr>
        <w:t xml:space="preserve"> burden of showing </w:t>
      </w:r>
      <w:r w:rsidR="001F026E">
        <w:rPr>
          <w:rFonts w:ascii="Book Antiqua" w:hAnsi="Book Antiqua" w:cs="Arial"/>
        </w:rPr>
        <w:t xml:space="preserve">the likelihood of </w:t>
      </w:r>
      <w:r w:rsidR="009704DE">
        <w:rPr>
          <w:rFonts w:ascii="Book Antiqua" w:hAnsi="Book Antiqua" w:cs="Arial"/>
        </w:rPr>
        <w:t xml:space="preserve">a false result.  </w:t>
      </w:r>
      <w:proofErr w:type="gramStart"/>
      <w:r w:rsidR="009704DE">
        <w:rPr>
          <w:rFonts w:ascii="Book Antiqua" w:hAnsi="Book Antiqua" w:cs="Arial"/>
        </w:rPr>
        <w:t>So</w:t>
      </w:r>
      <w:proofErr w:type="gramEnd"/>
      <w:r w:rsidR="009704DE">
        <w:rPr>
          <w:rFonts w:ascii="Book Antiqua" w:hAnsi="Book Antiqua" w:cs="Arial"/>
        </w:rPr>
        <w:t xml:space="preserve"> </w:t>
      </w:r>
      <w:r w:rsidR="0021561B">
        <w:rPr>
          <w:rFonts w:ascii="Book Antiqua" w:hAnsi="Book Antiqua" w:cs="Arial"/>
        </w:rPr>
        <w:t>t</w:t>
      </w:r>
      <w:r w:rsidR="009704DE">
        <w:rPr>
          <w:rFonts w:ascii="Book Antiqua" w:hAnsi="Book Antiqua" w:cs="Arial"/>
        </w:rPr>
        <w:t xml:space="preserve">he </w:t>
      </w:r>
      <w:r w:rsidR="0021561B">
        <w:rPr>
          <w:rFonts w:ascii="Book Antiqua" w:hAnsi="Book Antiqua" w:cs="Arial"/>
        </w:rPr>
        <w:t xml:space="preserve">Judge </w:t>
      </w:r>
      <w:r w:rsidR="004A2BE6">
        <w:rPr>
          <w:rFonts w:ascii="Book Antiqua" w:hAnsi="Book Antiqua" w:cs="Arial"/>
        </w:rPr>
        <w:t>has inverted the exercise and simply raised the requirements or misunderstood what the Secreta</w:t>
      </w:r>
      <w:r w:rsidR="0021561B">
        <w:rPr>
          <w:rFonts w:ascii="Book Antiqua" w:hAnsi="Book Antiqua" w:cs="Arial"/>
        </w:rPr>
        <w:t>ry of State has actually done to show the real risk that a proxy test taker</w:t>
      </w:r>
      <w:r w:rsidR="007F1133">
        <w:rPr>
          <w:rFonts w:ascii="Book Antiqua" w:hAnsi="Book Antiqua" w:cs="Arial"/>
        </w:rPr>
        <w:t xml:space="preserve"> was used.</w:t>
      </w:r>
    </w:p>
    <w:p w:rsidR="009704DE" w:rsidRDefault="009704DE" w:rsidP="002800AA">
      <w:pPr>
        <w:spacing w:line="360" w:lineRule="auto"/>
        <w:ind w:left="567" w:hanging="567"/>
        <w:jc w:val="both"/>
        <w:rPr>
          <w:rFonts w:ascii="Book Antiqua" w:hAnsi="Book Antiqua" w:cs="Arial"/>
        </w:rPr>
      </w:pPr>
    </w:p>
    <w:p w:rsidR="00A97275" w:rsidRDefault="00C214E2" w:rsidP="002800AA">
      <w:pPr>
        <w:spacing w:line="360" w:lineRule="auto"/>
        <w:ind w:left="567" w:hanging="567"/>
        <w:jc w:val="both"/>
        <w:rPr>
          <w:rFonts w:ascii="Book Antiqua" w:hAnsi="Book Antiqua" w:cs="Arial"/>
        </w:rPr>
      </w:pPr>
      <w:r>
        <w:rPr>
          <w:rFonts w:ascii="Book Antiqua" w:hAnsi="Book Antiqua" w:cs="Arial"/>
        </w:rPr>
        <w:t>8</w:t>
      </w:r>
      <w:r w:rsidR="009704DE">
        <w:rPr>
          <w:rFonts w:ascii="Book Antiqua" w:hAnsi="Book Antiqua" w:cs="Arial"/>
        </w:rPr>
        <w:t>.</w:t>
      </w:r>
      <w:r w:rsidR="009704DE">
        <w:rPr>
          <w:rFonts w:ascii="Book Antiqua" w:hAnsi="Book Antiqua" w:cs="Arial"/>
        </w:rPr>
        <w:tab/>
      </w:r>
      <w:r w:rsidR="004A2BE6">
        <w:rPr>
          <w:rFonts w:ascii="Book Antiqua" w:hAnsi="Book Antiqua" w:cs="Arial"/>
        </w:rPr>
        <w:t xml:space="preserve">In the circumstances I find the </w:t>
      </w:r>
      <w:r w:rsidR="009704DE">
        <w:rPr>
          <w:rFonts w:ascii="Book Antiqua" w:hAnsi="Book Antiqua" w:cs="Arial"/>
        </w:rPr>
        <w:t xml:space="preserve">Judge’s </w:t>
      </w:r>
      <w:r w:rsidR="004A2BE6">
        <w:rPr>
          <w:rFonts w:ascii="Book Antiqua" w:hAnsi="Book Antiqua" w:cs="Arial"/>
        </w:rPr>
        <w:t xml:space="preserve">reasoning </w:t>
      </w:r>
      <w:r>
        <w:rPr>
          <w:rFonts w:ascii="Book Antiqua" w:hAnsi="Book Antiqua" w:cs="Arial"/>
        </w:rPr>
        <w:t>wa</w:t>
      </w:r>
      <w:r w:rsidR="004A2BE6">
        <w:rPr>
          <w:rFonts w:ascii="Book Antiqua" w:hAnsi="Book Antiqua" w:cs="Arial"/>
        </w:rPr>
        <w:t xml:space="preserve">s not adequate or proper to correctly analyse the issue that is being raised and dealt with, SM and Qadir v Secretary of State for the Home Department (ETS – Evidence – Burden of Proof) [2016] UKUT 229 (IAC), </w:t>
      </w:r>
      <w:r w:rsidR="00A61191" w:rsidRPr="00A61191">
        <w:rPr>
          <w:rFonts w:ascii="Book Antiqua" w:hAnsi="Book Antiqua" w:cs="Arial"/>
        </w:rPr>
        <w:t>Majumder [2016] EWCA Civ 1167</w:t>
      </w:r>
      <w:r w:rsidR="00A61191">
        <w:rPr>
          <w:rFonts w:ascii="Book Antiqua" w:hAnsi="Book Antiqua" w:cs="Arial"/>
        </w:rPr>
        <w:t xml:space="preserve"> </w:t>
      </w:r>
      <w:r w:rsidR="004A2BE6">
        <w:rPr>
          <w:rFonts w:ascii="Book Antiqua" w:hAnsi="Book Antiqua" w:cs="Arial"/>
        </w:rPr>
        <w:t xml:space="preserve">and Qadir and in </w:t>
      </w:r>
      <w:r w:rsidR="00A97275" w:rsidRPr="00A97275">
        <w:rPr>
          <w:rFonts w:ascii="Book Antiqua" w:hAnsi="Book Antiqua" w:cs="Arial"/>
        </w:rPr>
        <w:t>MA [2016] UKUT 00450 (IAC)</w:t>
      </w:r>
      <w:r w:rsidR="00A97275">
        <w:rPr>
          <w:rFonts w:ascii="Book Antiqua" w:hAnsi="Book Antiqua" w:cs="Arial"/>
        </w:rPr>
        <w:t>.</w:t>
      </w:r>
    </w:p>
    <w:p w:rsidR="00A97275" w:rsidRDefault="00A97275" w:rsidP="002800AA">
      <w:pPr>
        <w:spacing w:line="360" w:lineRule="auto"/>
        <w:ind w:left="567" w:hanging="567"/>
        <w:jc w:val="both"/>
        <w:rPr>
          <w:rFonts w:ascii="Book Antiqua" w:hAnsi="Book Antiqua" w:cs="Arial"/>
        </w:rPr>
      </w:pPr>
    </w:p>
    <w:p w:rsidR="004A2BE6" w:rsidRDefault="008308A2" w:rsidP="002800AA">
      <w:pPr>
        <w:spacing w:line="360" w:lineRule="auto"/>
        <w:ind w:left="567" w:hanging="567"/>
        <w:jc w:val="both"/>
        <w:rPr>
          <w:rFonts w:ascii="Book Antiqua" w:hAnsi="Book Antiqua" w:cs="Arial"/>
        </w:rPr>
      </w:pPr>
      <w:r>
        <w:rPr>
          <w:rFonts w:ascii="Book Antiqua" w:hAnsi="Book Antiqua" w:cs="Arial"/>
        </w:rPr>
        <w:t>9</w:t>
      </w:r>
      <w:r w:rsidR="00A97275">
        <w:rPr>
          <w:rFonts w:ascii="Book Antiqua" w:hAnsi="Book Antiqua" w:cs="Arial"/>
        </w:rPr>
        <w:t>.</w:t>
      </w:r>
      <w:r w:rsidR="00A97275">
        <w:rPr>
          <w:rFonts w:ascii="Book Antiqua" w:hAnsi="Book Antiqua" w:cs="Arial"/>
        </w:rPr>
        <w:tab/>
      </w:r>
      <w:r w:rsidR="004A2BE6">
        <w:rPr>
          <w:rFonts w:ascii="Book Antiqua" w:hAnsi="Book Antiqua" w:cs="Arial"/>
        </w:rPr>
        <w:t xml:space="preserve">I conclude that the Original Tribunal made an error of law in that assessment in either failing to provide adequate reasons or failing to provide a proper reason and the issue of </w:t>
      </w:r>
      <w:r>
        <w:rPr>
          <w:rFonts w:ascii="Book Antiqua" w:hAnsi="Book Antiqua" w:cs="Arial"/>
        </w:rPr>
        <w:t>‘</w:t>
      </w:r>
      <w:r w:rsidR="004A2BE6">
        <w:rPr>
          <w:rFonts w:ascii="Book Antiqua" w:hAnsi="Book Antiqua" w:cs="Arial"/>
        </w:rPr>
        <w:t>gross unfairness</w:t>
      </w:r>
      <w:r>
        <w:rPr>
          <w:rFonts w:ascii="Book Antiqua" w:hAnsi="Book Antiqua" w:cs="Arial"/>
        </w:rPr>
        <w:t>’</w:t>
      </w:r>
      <w:r w:rsidR="004A2BE6">
        <w:rPr>
          <w:rFonts w:ascii="Book Antiqua" w:hAnsi="Book Antiqua" w:cs="Arial"/>
        </w:rPr>
        <w:t xml:space="preserve"> is perhaps to misunderstand the limited nature in which these proxy test-taking cases have to be assessed.  </w:t>
      </w:r>
    </w:p>
    <w:p w:rsidR="004A2BE6" w:rsidRDefault="004A2BE6" w:rsidP="002800AA">
      <w:pPr>
        <w:spacing w:line="360" w:lineRule="auto"/>
        <w:ind w:left="567" w:hanging="567"/>
        <w:jc w:val="both"/>
        <w:rPr>
          <w:rFonts w:ascii="Book Antiqua" w:hAnsi="Book Antiqua" w:cs="Arial"/>
        </w:rPr>
      </w:pPr>
    </w:p>
    <w:p w:rsidR="00EB69CA" w:rsidRDefault="00B37DF7" w:rsidP="002800AA">
      <w:pPr>
        <w:spacing w:line="360" w:lineRule="auto"/>
        <w:ind w:left="567" w:hanging="567"/>
        <w:jc w:val="both"/>
        <w:rPr>
          <w:rFonts w:ascii="Book Antiqua" w:hAnsi="Book Antiqua" w:cs="Arial"/>
        </w:rPr>
      </w:pPr>
      <w:r>
        <w:rPr>
          <w:rFonts w:ascii="Book Antiqua" w:hAnsi="Book Antiqua" w:cs="Arial"/>
        </w:rPr>
        <w:t>10</w:t>
      </w:r>
      <w:r w:rsidR="004A2BE6">
        <w:rPr>
          <w:rFonts w:ascii="Book Antiqua" w:hAnsi="Book Antiqua" w:cs="Arial"/>
        </w:rPr>
        <w:t>.</w:t>
      </w:r>
      <w:r w:rsidR="004A2BE6">
        <w:rPr>
          <w:rFonts w:ascii="Book Antiqua" w:hAnsi="Book Antiqua" w:cs="Arial"/>
        </w:rPr>
        <w:tab/>
        <w:t xml:space="preserve">The issue on which the permission was given was by reference to Article 8 ECHR.  The </w:t>
      </w:r>
      <w:r w:rsidR="00034C61">
        <w:rPr>
          <w:rFonts w:ascii="Book Antiqua" w:hAnsi="Book Antiqua" w:cs="Arial"/>
        </w:rPr>
        <w:t>Judge</w:t>
      </w:r>
      <w:r w:rsidR="004A2BE6">
        <w:rPr>
          <w:rFonts w:ascii="Book Antiqua" w:hAnsi="Book Antiqua" w:cs="Arial"/>
        </w:rPr>
        <w:t xml:space="preserve"> correctly </w:t>
      </w:r>
      <w:r w:rsidR="00A97275">
        <w:rPr>
          <w:rFonts w:ascii="Book Antiqua" w:hAnsi="Book Antiqua" w:cs="Arial"/>
        </w:rPr>
        <w:t xml:space="preserve">referred </w:t>
      </w:r>
      <w:r w:rsidR="004A2BE6">
        <w:rPr>
          <w:rFonts w:ascii="Book Antiqua" w:hAnsi="Book Antiqua" w:cs="Arial"/>
        </w:rPr>
        <w:t xml:space="preserve">to the case of Agyarko [2017] UKSC 11 and Razgar [2004] </w:t>
      </w:r>
      <w:r w:rsidR="00034C61">
        <w:rPr>
          <w:rFonts w:ascii="Book Antiqua" w:hAnsi="Book Antiqua" w:cs="Arial"/>
        </w:rPr>
        <w:t>Imm AR147 and somewhat curiously re</w:t>
      </w:r>
      <w:r w:rsidR="008308A2">
        <w:rPr>
          <w:rFonts w:ascii="Book Antiqua" w:hAnsi="Book Antiqua" w:cs="Arial"/>
        </w:rPr>
        <w:t>fer</w:t>
      </w:r>
      <w:r w:rsidR="00034C61">
        <w:rPr>
          <w:rFonts w:ascii="Book Antiqua" w:hAnsi="Book Antiqua" w:cs="Arial"/>
        </w:rPr>
        <w:t>s to the cases of Sanade [2012] UKUT 00048 and Zambrano which really has almost no relevance to the issue of the proportionality of the removal of the Claimant.  The relevance of the case law is touching a different point</w:t>
      </w:r>
      <w:r w:rsidR="00A97275">
        <w:rPr>
          <w:rFonts w:ascii="Book Antiqua" w:hAnsi="Book Antiqua" w:cs="Arial"/>
        </w:rPr>
        <w:t>.  I</w:t>
      </w:r>
      <w:r w:rsidR="00034C61">
        <w:rPr>
          <w:rFonts w:ascii="Book Antiqua" w:hAnsi="Book Antiqua" w:cs="Arial"/>
        </w:rPr>
        <w:t xml:space="preserve">t simply </w:t>
      </w:r>
      <w:r w:rsidR="00863319">
        <w:rPr>
          <w:rFonts w:ascii="Book Antiqua" w:hAnsi="Book Antiqua" w:cs="Arial"/>
        </w:rPr>
        <w:t>was</w:t>
      </w:r>
      <w:r w:rsidR="00034C61">
        <w:rPr>
          <w:rFonts w:ascii="Book Antiqua" w:hAnsi="Book Antiqua" w:cs="Arial"/>
        </w:rPr>
        <w:t xml:space="preserve"> inexplicable how in one short paragraph the Judge could conclude</w:t>
      </w:r>
      <w:r w:rsidR="00A97275">
        <w:rPr>
          <w:rFonts w:ascii="Book Antiqua" w:hAnsi="Book Antiqua" w:cs="Arial"/>
        </w:rPr>
        <w:t xml:space="preserve">, </w:t>
      </w:r>
      <w:r w:rsidR="00034C61">
        <w:rPr>
          <w:rFonts w:ascii="Book Antiqua" w:hAnsi="Book Antiqua" w:cs="Arial"/>
        </w:rPr>
        <w:t xml:space="preserve">because </w:t>
      </w:r>
      <w:r w:rsidR="00A97275">
        <w:rPr>
          <w:rFonts w:ascii="Book Antiqua" w:hAnsi="Book Antiqua" w:cs="Arial"/>
        </w:rPr>
        <w:t xml:space="preserve">of </w:t>
      </w:r>
      <w:r w:rsidR="00034C61">
        <w:rPr>
          <w:rFonts w:ascii="Book Antiqua" w:hAnsi="Book Antiqua" w:cs="Arial"/>
        </w:rPr>
        <w:t>his finding</w:t>
      </w:r>
      <w:r w:rsidR="00A97275">
        <w:rPr>
          <w:rFonts w:ascii="Book Antiqua" w:hAnsi="Book Antiqua" w:cs="Arial"/>
        </w:rPr>
        <w:t>,</w:t>
      </w:r>
      <w:r w:rsidR="00034C61">
        <w:rPr>
          <w:rFonts w:ascii="Book Antiqua" w:hAnsi="Book Antiqua" w:cs="Arial"/>
        </w:rPr>
        <w:t xml:space="preserve"> that the Claimant had undertaken the test</w:t>
      </w:r>
      <w:r w:rsidR="007F1133">
        <w:rPr>
          <w:rFonts w:ascii="Book Antiqua" w:hAnsi="Book Antiqua" w:cs="Arial"/>
        </w:rPr>
        <w:t xml:space="preserve">, </w:t>
      </w:r>
      <w:r w:rsidR="00034C61">
        <w:rPr>
          <w:rFonts w:ascii="Book Antiqua" w:hAnsi="Book Antiqua" w:cs="Arial"/>
        </w:rPr>
        <w:t>the issue of proportionality could be simply swept away and fail to give any ade</w:t>
      </w:r>
      <w:r w:rsidR="00EB69CA">
        <w:rPr>
          <w:rFonts w:ascii="Book Antiqua" w:hAnsi="Book Antiqua" w:cs="Arial"/>
        </w:rPr>
        <w:t>quate explanation and reasons.</w:t>
      </w:r>
    </w:p>
    <w:p w:rsidR="00EB69CA" w:rsidRDefault="00EB69CA" w:rsidP="002800AA">
      <w:pPr>
        <w:spacing w:line="360" w:lineRule="auto"/>
        <w:ind w:left="567" w:hanging="567"/>
        <w:jc w:val="both"/>
        <w:rPr>
          <w:rFonts w:ascii="Book Antiqua" w:hAnsi="Book Antiqua" w:cs="Arial"/>
        </w:rPr>
      </w:pPr>
    </w:p>
    <w:p w:rsidR="004A2BE6" w:rsidRDefault="00B37DF7" w:rsidP="002800AA">
      <w:pPr>
        <w:spacing w:line="360" w:lineRule="auto"/>
        <w:ind w:left="567" w:hanging="567"/>
        <w:jc w:val="both"/>
        <w:rPr>
          <w:rFonts w:ascii="Book Antiqua" w:hAnsi="Book Antiqua" w:cs="Arial"/>
        </w:rPr>
      </w:pPr>
      <w:r>
        <w:rPr>
          <w:rFonts w:ascii="Book Antiqua" w:hAnsi="Book Antiqua" w:cs="Arial"/>
        </w:rPr>
        <w:t>11</w:t>
      </w:r>
      <w:r w:rsidR="00EB69CA">
        <w:rPr>
          <w:rFonts w:ascii="Book Antiqua" w:hAnsi="Book Antiqua" w:cs="Arial"/>
        </w:rPr>
        <w:t>.</w:t>
      </w:r>
      <w:r w:rsidR="00EB69CA">
        <w:rPr>
          <w:rFonts w:ascii="Book Antiqua" w:hAnsi="Book Antiqua" w:cs="Arial"/>
        </w:rPr>
        <w:tab/>
      </w:r>
      <w:r w:rsidR="00034C61">
        <w:rPr>
          <w:rFonts w:ascii="Book Antiqua" w:hAnsi="Book Antiqua" w:cs="Arial"/>
        </w:rPr>
        <w:t xml:space="preserve">It is trite law the need to provide reasons applies to both parties to an appeal so they should know why they have won and lost.  In the circumstances I conclude that the Judge’s errors of law in dealing with the Article 8 claim is </w:t>
      </w:r>
      <w:r w:rsidR="007F1133">
        <w:rPr>
          <w:rFonts w:ascii="Book Antiqua" w:hAnsi="Book Antiqua" w:cs="Arial"/>
        </w:rPr>
        <w:t>significant</w:t>
      </w:r>
      <w:r w:rsidR="00034C61">
        <w:rPr>
          <w:rFonts w:ascii="Book Antiqua" w:hAnsi="Book Antiqua" w:cs="Arial"/>
        </w:rPr>
        <w:t xml:space="preserve">.  The importance of the allegation of having used a proxy test taker in terms of long-term possibilities of return to the </w:t>
      </w:r>
      <w:smartTag w:uri="urn:schemas-microsoft-com:office:smarttags" w:element="country-region">
        <w:smartTag w:uri="urn:schemas-microsoft-com:office:smarttags" w:element="place">
          <w:r w:rsidR="00034C61">
            <w:rPr>
              <w:rFonts w:ascii="Book Antiqua" w:hAnsi="Book Antiqua" w:cs="Arial"/>
            </w:rPr>
            <w:t>UK</w:t>
          </w:r>
        </w:smartTag>
      </w:smartTag>
      <w:r w:rsidR="00034C61">
        <w:rPr>
          <w:rFonts w:ascii="Book Antiqua" w:hAnsi="Book Antiqua" w:cs="Arial"/>
        </w:rPr>
        <w:t xml:space="preserve"> cannot be understated.  </w:t>
      </w:r>
      <w:r w:rsidR="00EB69CA">
        <w:rPr>
          <w:rFonts w:ascii="Book Antiqua" w:hAnsi="Book Antiqua" w:cs="Arial"/>
        </w:rPr>
        <w:t>I find the Original Tribunal decision cannot stand.  T</w:t>
      </w:r>
      <w:r w:rsidR="00034C61">
        <w:rPr>
          <w:rFonts w:ascii="Book Antiqua" w:hAnsi="Book Antiqua" w:cs="Arial"/>
        </w:rPr>
        <w:t xml:space="preserve">he only course is for this matter to be returned to the First-tier Tribunal and </w:t>
      </w:r>
      <w:r>
        <w:rPr>
          <w:rFonts w:ascii="Book Antiqua" w:hAnsi="Book Antiqua" w:cs="Arial"/>
        </w:rPr>
        <w:t>remade</w:t>
      </w:r>
      <w:r w:rsidR="00034C61">
        <w:rPr>
          <w:rFonts w:ascii="Book Antiqua" w:hAnsi="Book Antiqua" w:cs="Arial"/>
        </w:rPr>
        <w:t>.</w:t>
      </w:r>
    </w:p>
    <w:p w:rsidR="008A1D73" w:rsidRDefault="008A1D73" w:rsidP="002800AA">
      <w:pPr>
        <w:spacing w:line="360" w:lineRule="auto"/>
        <w:ind w:left="567" w:hanging="567"/>
        <w:jc w:val="both"/>
        <w:rPr>
          <w:rFonts w:ascii="Book Antiqua" w:hAnsi="Book Antiqua" w:cs="Arial"/>
        </w:rPr>
      </w:pPr>
    </w:p>
    <w:p w:rsidR="008A1D73" w:rsidRPr="008A1D73" w:rsidRDefault="008A1D73" w:rsidP="002800AA">
      <w:pPr>
        <w:spacing w:line="360" w:lineRule="auto"/>
        <w:ind w:left="567" w:hanging="567"/>
        <w:jc w:val="both"/>
        <w:rPr>
          <w:rFonts w:ascii="Book Antiqua" w:hAnsi="Book Antiqua" w:cs="Arial"/>
          <w:b/>
          <w:u w:val="single"/>
        </w:rPr>
      </w:pPr>
      <w:r>
        <w:rPr>
          <w:rFonts w:ascii="Book Antiqua" w:hAnsi="Book Antiqua" w:cs="Arial"/>
          <w:b/>
          <w:u w:val="single"/>
        </w:rPr>
        <w:t>DIRECTIONS</w:t>
      </w:r>
    </w:p>
    <w:p w:rsidR="00034C61" w:rsidRDefault="00034C61" w:rsidP="002800AA">
      <w:pPr>
        <w:spacing w:line="360" w:lineRule="auto"/>
        <w:ind w:left="567" w:hanging="567"/>
        <w:jc w:val="both"/>
        <w:rPr>
          <w:rFonts w:ascii="Book Antiqua" w:hAnsi="Book Antiqua" w:cs="Arial"/>
        </w:rPr>
      </w:pPr>
    </w:p>
    <w:p w:rsidR="00034C61" w:rsidRDefault="008A1D73" w:rsidP="002800AA">
      <w:pPr>
        <w:spacing w:line="360" w:lineRule="auto"/>
        <w:ind w:left="567" w:hanging="567"/>
        <w:jc w:val="both"/>
        <w:rPr>
          <w:rFonts w:ascii="Book Antiqua" w:hAnsi="Book Antiqua" w:cs="Arial"/>
        </w:rPr>
      </w:pPr>
      <w:r>
        <w:rPr>
          <w:rFonts w:ascii="Book Antiqua" w:hAnsi="Book Antiqua" w:cs="Arial"/>
        </w:rPr>
        <w:t>(1)</w:t>
      </w:r>
      <w:r w:rsidR="00034C61">
        <w:rPr>
          <w:rFonts w:ascii="Book Antiqua" w:hAnsi="Book Antiqua" w:cs="Arial"/>
        </w:rPr>
        <w:tab/>
        <w:t>The case</w:t>
      </w:r>
      <w:r>
        <w:rPr>
          <w:rFonts w:ascii="Book Antiqua" w:hAnsi="Book Antiqua" w:cs="Arial"/>
        </w:rPr>
        <w:t xml:space="preserve"> is </w:t>
      </w:r>
      <w:r w:rsidR="00034C61">
        <w:rPr>
          <w:rFonts w:ascii="Book Antiqua" w:hAnsi="Book Antiqua" w:cs="Arial"/>
        </w:rPr>
        <w:t>to be dealt with at Taylor House</w:t>
      </w:r>
      <w:r w:rsidR="00EB69CA">
        <w:rPr>
          <w:rFonts w:ascii="Book Antiqua" w:hAnsi="Book Antiqua" w:cs="Arial"/>
        </w:rPr>
        <w:t>, not Judge of the First-tier Tribunal M Oliver.</w:t>
      </w:r>
    </w:p>
    <w:p w:rsidR="00034C61" w:rsidRDefault="00034C61" w:rsidP="002800AA">
      <w:pPr>
        <w:spacing w:line="360" w:lineRule="auto"/>
        <w:ind w:left="567" w:hanging="567"/>
        <w:jc w:val="both"/>
        <w:rPr>
          <w:rFonts w:ascii="Book Antiqua" w:hAnsi="Book Antiqua" w:cs="Arial"/>
        </w:rPr>
      </w:pPr>
    </w:p>
    <w:p w:rsidR="00034C61" w:rsidRDefault="008A1D73" w:rsidP="002800AA">
      <w:pPr>
        <w:spacing w:line="360" w:lineRule="auto"/>
        <w:ind w:left="567" w:hanging="567"/>
        <w:jc w:val="both"/>
        <w:rPr>
          <w:rFonts w:ascii="Book Antiqua" w:hAnsi="Book Antiqua" w:cs="Arial"/>
        </w:rPr>
      </w:pPr>
      <w:r>
        <w:rPr>
          <w:rFonts w:ascii="Book Antiqua" w:hAnsi="Book Antiqua" w:cs="Arial"/>
        </w:rPr>
        <w:t>(2)</w:t>
      </w:r>
      <w:r w:rsidR="00034C61">
        <w:rPr>
          <w:rFonts w:ascii="Book Antiqua" w:hAnsi="Book Antiqua" w:cs="Arial"/>
        </w:rPr>
        <w:tab/>
        <w:t xml:space="preserve">Time </w:t>
      </w:r>
      <w:r w:rsidR="00904149">
        <w:rPr>
          <w:rFonts w:ascii="Book Antiqua" w:hAnsi="Book Antiqua" w:cs="Arial"/>
        </w:rPr>
        <w:t>estimate</w:t>
      </w:r>
      <w:r w:rsidR="00034C61">
        <w:rPr>
          <w:rFonts w:ascii="Book Antiqua" w:hAnsi="Book Antiqua" w:cs="Arial"/>
        </w:rPr>
        <w:t xml:space="preserve"> – two hours.</w:t>
      </w:r>
    </w:p>
    <w:p w:rsidR="00034C61" w:rsidRDefault="00034C61" w:rsidP="002800AA">
      <w:pPr>
        <w:spacing w:line="360" w:lineRule="auto"/>
        <w:ind w:left="567" w:hanging="567"/>
        <w:jc w:val="both"/>
        <w:rPr>
          <w:rFonts w:ascii="Book Antiqua" w:hAnsi="Book Antiqua" w:cs="Arial"/>
        </w:rPr>
      </w:pPr>
    </w:p>
    <w:p w:rsidR="00034C61" w:rsidRDefault="008A1D73" w:rsidP="002800AA">
      <w:pPr>
        <w:spacing w:line="360" w:lineRule="auto"/>
        <w:ind w:left="567" w:hanging="567"/>
        <w:jc w:val="both"/>
        <w:rPr>
          <w:rFonts w:ascii="Book Antiqua" w:hAnsi="Book Antiqua" w:cs="Arial"/>
        </w:rPr>
      </w:pPr>
      <w:r>
        <w:rPr>
          <w:rFonts w:ascii="Book Antiqua" w:hAnsi="Book Antiqua" w:cs="Arial"/>
        </w:rPr>
        <w:t>(3)</w:t>
      </w:r>
      <w:r w:rsidR="00034C61">
        <w:rPr>
          <w:rFonts w:ascii="Book Antiqua" w:hAnsi="Book Antiqua" w:cs="Arial"/>
        </w:rPr>
        <w:tab/>
        <w:t>Two witnesses.</w:t>
      </w:r>
    </w:p>
    <w:p w:rsidR="00034C61" w:rsidRDefault="00034C61" w:rsidP="002800AA">
      <w:pPr>
        <w:spacing w:line="360" w:lineRule="auto"/>
        <w:ind w:left="567" w:hanging="567"/>
        <w:jc w:val="both"/>
        <w:rPr>
          <w:rFonts w:ascii="Book Antiqua" w:hAnsi="Book Antiqua" w:cs="Arial"/>
        </w:rPr>
      </w:pPr>
      <w:r>
        <w:rPr>
          <w:rFonts w:ascii="Book Antiqua" w:hAnsi="Book Antiqua" w:cs="Arial"/>
        </w:rPr>
        <w:tab/>
      </w:r>
    </w:p>
    <w:p w:rsidR="00034C61" w:rsidRDefault="008A1D73" w:rsidP="002800AA">
      <w:pPr>
        <w:spacing w:line="360" w:lineRule="auto"/>
        <w:ind w:left="567" w:hanging="567"/>
        <w:jc w:val="both"/>
        <w:rPr>
          <w:rFonts w:ascii="Book Antiqua" w:hAnsi="Book Antiqua" w:cs="Arial"/>
        </w:rPr>
      </w:pPr>
      <w:r>
        <w:rPr>
          <w:rFonts w:ascii="Book Antiqua" w:hAnsi="Book Antiqua" w:cs="Arial"/>
        </w:rPr>
        <w:t>(4)</w:t>
      </w:r>
      <w:r>
        <w:rPr>
          <w:rFonts w:ascii="Book Antiqua" w:hAnsi="Book Antiqua" w:cs="Arial"/>
        </w:rPr>
        <w:tab/>
        <w:t>A</w:t>
      </w:r>
      <w:r w:rsidR="00034C61">
        <w:rPr>
          <w:rFonts w:ascii="Book Antiqua" w:hAnsi="Book Antiqua" w:cs="Arial"/>
        </w:rPr>
        <w:t xml:space="preserve">ny further evidence relied upon to be served 10 clear working days before a further hearing unless otherwise directed by First-tier Tribunal at a PTR or CMRH.  </w:t>
      </w:r>
    </w:p>
    <w:p w:rsidR="00034C61" w:rsidRPr="004A2BE6" w:rsidRDefault="00034C61" w:rsidP="004A2BE6">
      <w:pPr>
        <w:spacing w:line="240" w:lineRule="atLeast"/>
        <w:ind w:left="567" w:hanging="567"/>
        <w:jc w:val="both"/>
        <w:rPr>
          <w:rFonts w:ascii="Book Antiqua" w:hAnsi="Book Antiqua" w:cs="Arial"/>
          <w:b/>
          <w:u w:val="single"/>
        </w:rPr>
      </w:pPr>
    </w:p>
    <w:p w:rsidR="000B0A3F" w:rsidRPr="000B0A3F" w:rsidRDefault="000B0A3F" w:rsidP="000B0A3F">
      <w:pPr>
        <w:spacing w:line="360" w:lineRule="auto"/>
        <w:jc w:val="both"/>
        <w:rPr>
          <w:rFonts w:ascii="Book Antiqua" w:hAnsi="Book Antiqua" w:cs="Arial"/>
          <w:b/>
          <w:u w:val="single"/>
        </w:rPr>
      </w:pPr>
      <w:r w:rsidRPr="000B0A3F">
        <w:rPr>
          <w:rFonts w:ascii="Book Antiqua" w:hAnsi="Book Antiqua" w:cs="Arial"/>
          <w:b/>
          <w:u w:val="single"/>
        </w:rPr>
        <w:lastRenderedPageBreak/>
        <w:t>NOTICE OF DECISION</w:t>
      </w:r>
    </w:p>
    <w:p w:rsidR="000B0A3F" w:rsidRPr="000B0A3F" w:rsidRDefault="000B0A3F" w:rsidP="000B0A3F">
      <w:pPr>
        <w:spacing w:line="360" w:lineRule="auto"/>
        <w:jc w:val="both"/>
        <w:rPr>
          <w:rFonts w:ascii="Book Antiqua" w:hAnsi="Book Antiqua" w:cs="Arial"/>
        </w:rPr>
      </w:pPr>
    </w:p>
    <w:p w:rsidR="000B0A3F" w:rsidRPr="00904149" w:rsidRDefault="000B0A3F" w:rsidP="00904149">
      <w:pPr>
        <w:pStyle w:val="t"/>
      </w:pPr>
      <w:r w:rsidRPr="000B0A3F">
        <w:t xml:space="preserve">The appeal is </w:t>
      </w:r>
      <w:r w:rsidR="00904149" w:rsidRPr="00904149">
        <w:t>allowed</w:t>
      </w:r>
      <w:r w:rsidR="00904149">
        <w:t xml:space="preserve"> to the extent that it is to be remade in the First-tier Tribunal (IAC)</w:t>
      </w:r>
      <w:r w:rsidR="00904149" w:rsidRPr="00904149">
        <w:t>.</w:t>
      </w:r>
    </w:p>
    <w:p w:rsidR="000B0A3F" w:rsidRPr="000B0A3F" w:rsidRDefault="000B0A3F" w:rsidP="000B0A3F">
      <w:pPr>
        <w:spacing w:line="360" w:lineRule="auto"/>
        <w:jc w:val="both"/>
        <w:rPr>
          <w:rFonts w:ascii="Book Antiqua" w:hAnsi="Book Antiqua" w:cs="Arial"/>
        </w:rPr>
      </w:pPr>
    </w:p>
    <w:p w:rsidR="00A77D41" w:rsidRDefault="000B0A3F" w:rsidP="00863319">
      <w:pPr>
        <w:pStyle w:val="t"/>
      </w:pPr>
      <w:r w:rsidRPr="000B0A3F">
        <w:t>No anonymity direction is made.</w:t>
      </w:r>
    </w:p>
    <w:p w:rsidR="00A77D41" w:rsidRDefault="00A77D41" w:rsidP="00A77D41">
      <w:pPr>
        <w:spacing w:line="360" w:lineRule="auto"/>
        <w:ind w:left="540" w:hanging="540"/>
        <w:jc w:val="both"/>
        <w:rPr>
          <w:rFonts w:ascii="Book Antiqua" w:hAnsi="Book Antiqua" w:cs="Arial"/>
        </w:rPr>
      </w:pPr>
    </w:p>
    <w:p w:rsidR="00D8767C" w:rsidRDefault="00D8767C" w:rsidP="00A77D41">
      <w:pPr>
        <w:spacing w:line="360" w:lineRule="auto"/>
        <w:ind w:left="540" w:hanging="540"/>
        <w:jc w:val="both"/>
        <w:rPr>
          <w:rFonts w:ascii="Book Antiqua" w:hAnsi="Book Antiqua" w:cs="Arial"/>
        </w:rPr>
      </w:pPr>
    </w:p>
    <w:p w:rsidR="00BC4F94" w:rsidRPr="000B0A3F" w:rsidRDefault="00780F86" w:rsidP="00BC4F94">
      <w:pPr>
        <w:ind w:left="540" w:hanging="540"/>
        <w:jc w:val="both"/>
        <w:rPr>
          <w:rFonts w:ascii="Book Antiqua" w:hAnsi="Book Antiqua" w:cs="Arial"/>
        </w:rPr>
      </w:pPr>
      <w:r w:rsidRPr="000B0A3F">
        <w:rPr>
          <w:rFonts w:ascii="Book Antiqua" w:hAnsi="Book Antiqua" w:cs="Arial"/>
        </w:rPr>
        <w:t>Signed</w:t>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Pr="000B0A3F">
        <w:rPr>
          <w:rFonts w:ascii="Book Antiqua" w:hAnsi="Book Antiqua" w:cs="Arial"/>
        </w:rPr>
        <w:tab/>
      </w:r>
      <w:r w:rsidR="00BC4F94" w:rsidRPr="000B0A3F">
        <w:rPr>
          <w:rFonts w:ascii="Book Antiqua" w:hAnsi="Book Antiqua" w:cs="Arial"/>
        </w:rPr>
        <w:t>Date</w:t>
      </w:r>
      <w:r w:rsidR="00863319">
        <w:rPr>
          <w:rFonts w:ascii="Book Antiqua" w:hAnsi="Book Antiqua" w:cs="Arial"/>
        </w:rPr>
        <w:t xml:space="preserve"> 24 July 2018</w:t>
      </w:r>
    </w:p>
    <w:p w:rsidR="006D6955" w:rsidRPr="000B0A3F" w:rsidRDefault="006D6955" w:rsidP="00780F86">
      <w:pPr>
        <w:ind w:left="540" w:hanging="540"/>
        <w:jc w:val="both"/>
        <w:rPr>
          <w:rFonts w:ascii="Book Antiqua" w:hAnsi="Book Antiqua" w:cs="Arial"/>
        </w:rPr>
      </w:pPr>
    </w:p>
    <w:p w:rsidR="006D6955" w:rsidRPr="000B0A3F" w:rsidRDefault="006D6955" w:rsidP="00780F86">
      <w:pPr>
        <w:ind w:left="540" w:hanging="540"/>
        <w:jc w:val="both"/>
        <w:rPr>
          <w:rFonts w:ascii="Book Antiqua" w:hAnsi="Book Antiqua" w:cs="Arial"/>
        </w:rPr>
      </w:pPr>
    </w:p>
    <w:p w:rsidR="00B95326" w:rsidRPr="000704BB" w:rsidRDefault="006D6955" w:rsidP="00F23F7C">
      <w:pPr>
        <w:tabs>
          <w:tab w:val="left" w:pos="2520"/>
        </w:tabs>
        <w:ind w:left="540" w:hanging="540"/>
        <w:jc w:val="both"/>
        <w:rPr>
          <w:rFonts w:ascii="Book Antiqua" w:hAnsi="Book Antiqua" w:cs="Arial"/>
        </w:rPr>
      </w:pPr>
      <w:r w:rsidRPr="000B0A3F">
        <w:rPr>
          <w:rFonts w:ascii="Book Antiqua" w:hAnsi="Book Antiqua" w:cs="Arial"/>
          <w:color w:val="000000"/>
        </w:rPr>
        <w:t xml:space="preserve">Deputy </w:t>
      </w:r>
      <w:r w:rsidR="00460347" w:rsidRPr="000B0A3F">
        <w:rPr>
          <w:rFonts w:ascii="Book Antiqua" w:hAnsi="Book Antiqua" w:cs="Arial"/>
          <w:color w:val="000000"/>
        </w:rPr>
        <w:t xml:space="preserve">Upper Tribunal </w:t>
      </w:r>
      <w:r w:rsidR="00034C61">
        <w:rPr>
          <w:rFonts w:ascii="Book Antiqua" w:hAnsi="Book Antiqua" w:cs="Arial"/>
          <w:color w:val="000000"/>
        </w:rPr>
        <w:t>Judge</w:t>
      </w:r>
      <w:r w:rsidR="00460347" w:rsidRPr="000B0A3F">
        <w:rPr>
          <w:rFonts w:ascii="Book Antiqua" w:hAnsi="Book Antiqua" w:cs="Arial"/>
          <w:color w:val="000000"/>
        </w:rPr>
        <w:t xml:space="preserve"> Davey</w:t>
      </w:r>
    </w:p>
    <w:p w:rsidR="00B541E6" w:rsidRDefault="00B541E6" w:rsidP="00B541E6">
      <w:pPr>
        <w:tabs>
          <w:tab w:val="left" w:pos="2520"/>
        </w:tabs>
        <w:jc w:val="both"/>
        <w:rPr>
          <w:rFonts w:ascii="Book Antiqua" w:hAnsi="Book Antiqua" w:cs="Arial"/>
        </w:rPr>
      </w:pPr>
    </w:p>
    <w:p w:rsidR="00B541E6" w:rsidRPr="00B541E6" w:rsidRDefault="00B541E6" w:rsidP="00B541E6">
      <w:pPr>
        <w:rPr>
          <w:rFonts w:ascii="Book Antiqua" w:hAnsi="Book Antiqua" w:cs="Arial"/>
        </w:rPr>
      </w:pPr>
    </w:p>
    <w:p w:rsidR="00B541E6" w:rsidRPr="00B541E6" w:rsidRDefault="00B541E6" w:rsidP="00B541E6">
      <w:pPr>
        <w:rPr>
          <w:rFonts w:ascii="Book Antiqua" w:hAnsi="Book Antiqua" w:cs="Arial"/>
        </w:rPr>
      </w:pPr>
    </w:p>
    <w:p w:rsidR="00B541E6" w:rsidRPr="00B541E6" w:rsidRDefault="00B541E6" w:rsidP="00B541E6">
      <w:pPr>
        <w:rPr>
          <w:rFonts w:ascii="Book Antiqua" w:hAnsi="Book Antiqua" w:cs="Arial"/>
        </w:rPr>
      </w:pPr>
    </w:p>
    <w:p w:rsidR="00B541E6" w:rsidRPr="00B541E6" w:rsidRDefault="00B541E6" w:rsidP="00B541E6">
      <w:pPr>
        <w:rPr>
          <w:rFonts w:ascii="Book Antiqua" w:hAnsi="Book Antiqua" w:cs="Arial"/>
        </w:rPr>
      </w:pPr>
    </w:p>
    <w:p w:rsidR="00B541E6" w:rsidRPr="00B541E6" w:rsidRDefault="00B541E6" w:rsidP="00B541E6">
      <w:pPr>
        <w:rPr>
          <w:rFonts w:ascii="Book Antiqua" w:hAnsi="Book Antiqua" w:cs="Arial"/>
        </w:rPr>
      </w:pPr>
    </w:p>
    <w:sectPr w:rsidR="00B541E6" w:rsidRPr="00B541E6"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845" w:rsidRDefault="00F73845">
      <w:r>
        <w:separator/>
      </w:r>
    </w:p>
  </w:endnote>
  <w:endnote w:type="continuationSeparator" w:id="0">
    <w:p w:rsidR="00F73845" w:rsidRDefault="00F7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7C9" w:rsidRPr="000704BB" w:rsidRDefault="000977C9"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B47921">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7C9" w:rsidRPr="000704BB" w:rsidRDefault="000977C9"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845" w:rsidRDefault="00F73845">
      <w:r>
        <w:separator/>
      </w:r>
    </w:p>
  </w:footnote>
  <w:footnote w:type="continuationSeparator" w:id="0">
    <w:p w:rsidR="00F73845" w:rsidRDefault="00F7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7C9" w:rsidRPr="000704BB" w:rsidRDefault="000977C9"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 xml:space="preserve"> HU/21239/2016</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77C9" w:rsidRPr="000704BB" w:rsidRDefault="000977C9">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741"/>
    <w:rsid w:val="00000621"/>
    <w:rsid w:val="000036C2"/>
    <w:rsid w:val="00033D3D"/>
    <w:rsid w:val="00034C61"/>
    <w:rsid w:val="00062F02"/>
    <w:rsid w:val="000704BB"/>
    <w:rsid w:val="00071A7E"/>
    <w:rsid w:val="000746C0"/>
    <w:rsid w:val="00074D1D"/>
    <w:rsid w:val="00092580"/>
    <w:rsid w:val="00093D4D"/>
    <w:rsid w:val="000977C9"/>
    <w:rsid w:val="000B0A3F"/>
    <w:rsid w:val="000D5D94"/>
    <w:rsid w:val="000F1480"/>
    <w:rsid w:val="000F1A0E"/>
    <w:rsid w:val="000F52D4"/>
    <w:rsid w:val="001165A7"/>
    <w:rsid w:val="00125938"/>
    <w:rsid w:val="0012633E"/>
    <w:rsid w:val="00150C5F"/>
    <w:rsid w:val="00151389"/>
    <w:rsid w:val="0016082B"/>
    <w:rsid w:val="00167D3A"/>
    <w:rsid w:val="00190911"/>
    <w:rsid w:val="001A3082"/>
    <w:rsid w:val="001B186A"/>
    <w:rsid w:val="001B2F75"/>
    <w:rsid w:val="001B659F"/>
    <w:rsid w:val="001C2D96"/>
    <w:rsid w:val="001C5B44"/>
    <w:rsid w:val="001F026E"/>
    <w:rsid w:val="001F09F9"/>
    <w:rsid w:val="001F2716"/>
    <w:rsid w:val="00203FB0"/>
    <w:rsid w:val="00207617"/>
    <w:rsid w:val="0021561B"/>
    <w:rsid w:val="0023134B"/>
    <w:rsid w:val="00256FC1"/>
    <w:rsid w:val="002800AA"/>
    <w:rsid w:val="00283659"/>
    <w:rsid w:val="002A1607"/>
    <w:rsid w:val="002C6BD4"/>
    <w:rsid w:val="002D68BF"/>
    <w:rsid w:val="002F4275"/>
    <w:rsid w:val="002F6B98"/>
    <w:rsid w:val="003332B3"/>
    <w:rsid w:val="00336CBF"/>
    <w:rsid w:val="00343FE3"/>
    <w:rsid w:val="003546C8"/>
    <w:rsid w:val="00365F5E"/>
    <w:rsid w:val="00382919"/>
    <w:rsid w:val="003A7CF2"/>
    <w:rsid w:val="003C2CDB"/>
    <w:rsid w:val="003C5CE5"/>
    <w:rsid w:val="003E092F"/>
    <w:rsid w:val="003E267B"/>
    <w:rsid w:val="003E7CD1"/>
    <w:rsid w:val="00402B9E"/>
    <w:rsid w:val="004243E8"/>
    <w:rsid w:val="004249CB"/>
    <w:rsid w:val="004319AE"/>
    <w:rsid w:val="0044127D"/>
    <w:rsid w:val="004448DB"/>
    <w:rsid w:val="00446C9A"/>
    <w:rsid w:val="00452F2B"/>
    <w:rsid w:val="00460347"/>
    <w:rsid w:val="004638E5"/>
    <w:rsid w:val="00477193"/>
    <w:rsid w:val="00491F91"/>
    <w:rsid w:val="004A1848"/>
    <w:rsid w:val="004A2BE6"/>
    <w:rsid w:val="004A6F4A"/>
    <w:rsid w:val="004D7FEC"/>
    <w:rsid w:val="004E08A9"/>
    <w:rsid w:val="004E0F3D"/>
    <w:rsid w:val="004E4717"/>
    <w:rsid w:val="00507FEC"/>
    <w:rsid w:val="00510F0E"/>
    <w:rsid w:val="005479E1"/>
    <w:rsid w:val="00550648"/>
    <w:rsid w:val="00553E0A"/>
    <w:rsid w:val="005570FD"/>
    <w:rsid w:val="005575EA"/>
    <w:rsid w:val="0056234C"/>
    <w:rsid w:val="0057790C"/>
    <w:rsid w:val="00593795"/>
    <w:rsid w:val="00596FD5"/>
    <w:rsid w:val="005A75FF"/>
    <w:rsid w:val="005B3CCB"/>
    <w:rsid w:val="005C7C69"/>
    <w:rsid w:val="005D10AB"/>
    <w:rsid w:val="005D69B0"/>
    <w:rsid w:val="00601D8F"/>
    <w:rsid w:val="006226E6"/>
    <w:rsid w:val="00625051"/>
    <w:rsid w:val="00634D3C"/>
    <w:rsid w:val="00643BFC"/>
    <w:rsid w:val="00645C12"/>
    <w:rsid w:val="00653E97"/>
    <w:rsid w:val="006701F7"/>
    <w:rsid w:val="00674FB9"/>
    <w:rsid w:val="00683741"/>
    <w:rsid w:val="00684A74"/>
    <w:rsid w:val="00690B8A"/>
    <w:rsid w:val="00690D51"/>
    <w:rsid w:val="006D0A2D"/>
    <w:rsid w:val="006D203F"/>
    <w:rsid w:val="006D3D44"/>
    <w:rsid w:val="006D6955"/>
    <w:rsid w:val="006F2CF1"/>
    <w:rsid w:val="007038ED"/>
    <w:rsid w:val="00703BC3"/>
    <w:rsid w:val="00704B61"/>
    <w:rsid w:val="00711F8C"/>
    <w:rsid w:val="00731F9D"/>
    <w:rsid w:val="007552A9"/>
    <w:rsid w:val="00761858"/>
    <w:rsid w:val="00767D59"/>
    <w:rsid w:val="00776E97"/>
    <w:rsid w:val="00780F86"/>
    <w:rsid w:val="007912AD"/>
    <w:rsid w:val="00797649"/>
    <w:rsid w:val="007B0824"/>
    <w:rsid w:val="007B5D3C"/>
    <w:rsid w:val="007F1133"/>
    <w:rsid w:val="007F2A46"/>
    <w:rsid w:val="00805A0C"/>
    <w:rsid w:val="00805DB4"/>
    <w:rsid w:val="00806249"/>
    <w:rsid w:val="00821B72"/>
    <w:rsid w:val="00823EF2"/>
    <w:rsid w:val="008262CB"/>
    <w:rsid w:val="008303B8"/>
    <w:rsid w:val="008308A2"/>
    <w:rsid w:val="00833DCE"/>
    <w:rsid w:val="00836D31"/>
    <w:rsid w:val="008547A4"/>
    <w:rsid w:val="00855C07"/>
    <w:rsid w:val="00863319"/>
    <w:rsid w:val="00871D34"/>
    <w:rsid w:val="00876E37"/>
    <w:rsid w:val="00883D05"/>
    <w:rsid w:val="008A1D73"/>
    <w:rsid w:val="008A212B"/>
    <w:rsid w:val="008B270C"/>
    <w:rsid w:val="008B5078"/>
    <w:rsid w:val="008C3D3D"/>
    <w:rsid w:val="008D4131"/>
    <w:rsid w:val="008F1932"/>
    <w:rsid w:val="008F5EB8"/>
    <w:rsid w:val="008F687C"/>
    <w:rsid w:val="00904149"/>
    <w:rsid w:val="00921062"/>
    <w:rsid w:val="00931A34"/>
    <w:rsid w:val="009704DE"/>
    <w:rsid w:val="009722BC"/>
    <w:rsid w:val="009727A3"/>
    <w:rsid w:val="00976910"/>
    <w:rsid w:val="00987774"/>
    <w:rsid w:val="009A11E8"/>
    <w:rsid w:val="009A3C3B"/>
    <w:rsid w:val="009F5220"/>
    <w:rsid w:val="00A13097"/>
    <w:rsid w:val="00A15234"/>
    <w:rsid w:val="00A201AB"/>
    <w:rsid w:val="00A31C8B"/>
    <w:rsid w:val="00A509FA"/>
    <w:rsid w:val="00A61191"/>
    <w:rsid w:val="00A705A8"/>
    <w:rsid w:val="00A71C11"/>
    <w:rsid w:val="00A77D41"/>
    <w:rsid w:val="00A845DC"/>
    <w:rsid w:val="00A97275"/>
    <w:rsid w:val="00AB1935"/>
    <w:rsid w:val="00B26AA2"/>
    <w:rsid w:val="00B3524D"/>
    <w:rsid w:val="00B37D60"/>
    <w:rsid w:val="00B37DF7"/>
    <w:rsid w:val="00B40F69"/>
    <w:rsid w:val="00B46616"/>
    <w:rsid w:val="00B47921"/>
    <w:rsid w:val="00B541E6"/>
    <w:rsid w:val="00B7040A"/>
    <w:rsid w:val="00B83391"/>
    <w:rsid w:val="00B95326"/>
    <w:rsid w:val="00BC4F94"/>
    <w:rsid w:val="00BD4196"/>
    <w:rsid w:val="00BF0C4C"/>
    <w:rsid w:val="00BF22CA"/>
    <w:rsid w:val="00BF23BB"/>
    <w:rsid w:val="00C1676E"/>
    <w:rsid w:val="00C214E2"/>
    <w:rsid w:val="00C26032"/>
    <w:rsid w:val="00C345E1"/>
    <w:rsid w:val="00C43BFD"/>
    <w:rsid w:val="00C77BDD"/>
    <w:rsid w:val="00CB27C3"/>
    <w:rsid w:val="00CB6E35"/>
    <w:rsid w:val="00CC6356"/>
    <w:rsid w:val="00CE1A46"/>
    <w:rsid w:val="00D20757"/>
    <w:rsid w:val="00D22636"/>
    <w:rsid w:val="00D40FD9"/>
    <w:rsid w:val="00D50F53"/>
    <w:rsid w:val="00D53769"/>
    <w:rsid w:val="00D85C13"/>
    <w:rsid w:val="00D8767C"/>
    <w:rsid w:val="00D9111A"/>
    <w:rsid w:val="00D91BE3"/>
    <w:rsid w:val="00D94AFC"/>
    <w:rsid w:val="00DB70AE"/>
    <w:rsid w:val="00DC3F2C"/>
    <w:rsid w:val="00DC69F1"/>
    <w:rsid w:val="00DD5071"/>
    <w:rsid w:val="00DD5C39"/>
    <w:rsid w:val="00DE5E10"/>
    <w:rsid w:val="00DE7DB7"/>
    <w:rsid w:val="00E00A0A"/>
    <w:rsid w:val="00E066DE"/>
    <w:rsid w:val="00E07F57"/>
    <w:rsid w:val="00E16EDD"/>
    <w:rsid w:val="00E30683"/>
    <w:rsid w:val="00E453D8"/>
    <w:rsid w:val="00E50BCE"/>
    <w:rsid w:val="00E574BF"/>
    <w:rsid w:val="00E61292"/>
    <w:rsid w:val="00E74E7B"/>
    <w:rsid w:val="00E77C4D"/>
    <w:rsid w:val="00E81D01"/>
    <w:rsid w:val="00E961E5"/>
    <w:rsid w:val="00EA2F7F"/>
    <w:rsid w:val="00EB69CA"/>
    <w:rsid w:val="00EE3064"/>
    <w:rsid w:val="00EE45D8"/>
    <w:rsid w:val="00EF1971"/>
    <w:rsid w:val="00F07D1A"/>
    <w:rsid w:val="00F22EDA"/>
    <w:rsid w:val="00F23F7C"/>
    <w:rsid w:val="00F641F1"/>
    <w:rsid w:val="00F73845"/>
    <w:rsid w:val="00F76D81"/>
    <w:rsid w:val="00F924A3"/>
    <w:rsid w:val="00FA08E6"/>
    <w:rsid w:val="00FE0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42488F1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t">
    <w:name w:val="t"/>
    <w:basedOn w:val="Normal"/>
    <w:rsid w:val="00904149"/>
    <w:pPr>
      <w:spacing w:line="360" w:lineRule="auto"/>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1196</Words>
  <Characters>5807</Characters>
  <Application>Microsoft Office Word</Application>
  <DocSecurity>0</DocSecurity>
  <Lines>48</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2018-08-23T12:29:00Z</dcterms:created>
  <dcterms:modified xsi:type="dcterms:W3CDTF">2018-08-23T12:29:00Z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