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0E388B"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6C5149">
        <w:rPr>
          <w:rFonts w:ascii="Book Antiqua" w:hAnsi="Book Antiqua" w:cs="Arial"/>
          <w:b/>
        </w:rPr>
        <w:t>Tribunal</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w:t>
      </w:r>
      <w:r w:rsidR="00AE68F2">
        <w:rPr>
          <w:rFonts w:ascii="Book Antiqua" w:hAnsi="Book Antiqua" w:cs="Arial"/>
          <w:b/>
        </w:rPr>
        <w:t>Immigration</w:t>
      </w:r>
      <w:r w:rsidRPr="00F5664C">
        <w:rPr>
          <w:rFonts w:ascii="Book Antiqua" w:hAnsi="Book Antiqua" w:cs="Arial"/>
          <w:b/>
        </w:rPr>
        <w:t xml:space="preserve">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407BC1">
        <w:rPr>
          <w:rFonts w:ascii="Book Antiqua" w:hAnsi="Book Antiqua" w:cs="Arial"/>
          <w:caps/>
        </w:rPr>
        <w:t>HU/21474</w:t>
      </w:r>
      <w:r w:rsidR="00CB4A10">
        <w:rPr>
          <w:rFonts w:ascii="Book Antiqua" w:hAnsi="Book Antiqua" w:cs="Arial"/>
          <w:caps/>
        </w:rPr>
        <w:t>/201</w:t>
      </w:r>
      <w:r w:rsidR="00713CF8">
        <w:rPr>
          <w:rFonts w:ascii="Book Antiqua" w:hAnsi="Book Antiqua" w:cs="Arial"/>
          <w:caps/>
        </w:rPr>
        <w:t>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 xml:space="preserve">THE </w:t>
      </w:r>
      <w:r w:rsidR="00AE68F2">
        <w:rPr>
          <w:rFonts w:ascii="Book Antiqua" w:hAnsi="Book Antiqua" w:cs="Arial"/>
          <w:b/>
          <w:u w:val="single"/>
        </w:rPr>
        <w:t>IMMIGRATION</w:t>
      </w:r>
      <w:r w:rsidRPr="00F5664C">
        <w:rPr>
          <w:rFonts w:ascii="Book Antiqua" w:hAnsi="Book Antiqua" w:cs="Arial"/>
          <w:b/>
          <w:u w:val="single"/>
        </w:rPr>
        <w:t xml:space="preserve">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D22636" w:rsidRPr="00B26BAE" w:rsidTr="00A24A8A">
        <w:tc>
          <w:tcPr>
            <w:tcW w:w="492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081032">
              <w:rPr>
                <w:rFonts w:ascii="Book Antiqua" w:hAnsi="Book Antiqua" w:cs="Arial"/>
                <w:b/>
              </w:rPr>
              <w:t>North Shields</w:t>
            </w:r>
          </w:p>
        </w:tc>
        <w:tc>
          <w:tcPr>
            <w:tcW w:w="5080" w:type="dxa"/>
            <w:gridSpan w:val="2"/>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A24A8A">
        <w:tc>
          <w:tcPr>
            <w:tcW w:w="492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On </w:t>
            </w:r>
            <w:r w:rsidR="00407BC1">
              <w:rPr>
                <w:rFonts w:ascii="Book Antiqua" w:hAnsi="Book Antiqua" w:cs="Arial"/>
                <w:b/>
              </w:rPr>
              <w:t>8</w:t>
            </w:r>
            <w:r w:rsidR="00407BC1" w:rsidRPr="00407BC1">
              <w:rPr>
                <w:rFonts w:ascii="Book Antiqua" w:hAnsi="Book Antiqua" w:cs="Arial"/>
                <w:b/>
                <w:vertAlign w:val="superscript"/>
              </w:rPr>
              <w:t>th</w:t>
            </w:r>
            <w:r w:rsidR="00407BC1">
              <w:rPr>
                <w:rFonts w:ascii="Book Antiqua" w:hAnsi="Book Antiqua" w:cs="Arial"/>
                <w:b/>
              </w:rPr>
              <w:t xml:space="preserve"> </w:t>
            </w:r>
            <w:r w:rsidR="00A24A8A">
              <w:rPr>
                <w:rFonts w:ascii="Book Antiqua" w:hAnsi="Book Antiqua" w:cs="Arial"/>
                <w:b/>
              </w:rPr>
              <w:t xml:space="preserve">August </w:t>
            </w:r>
            <w:r w:rsidR="00A24A8A" w:rsidRPr="00B26BAE">
              <w:rPr>
                <w:rFonts w:ascii="Book Antiqua" w:hAnsi="Book Antiqua" w:cs="Arial"/>
                <w:b/>
              </w:rPr>
              <w:t>2018</w:t>
            </w:r>
          </w:p>
        </w:tc>
        <w:tc>
          <w:tcPr>
            <w:tcW w:w="5080" w:type="dxa"/>
            <w:gridSpan w:val="2"/>
            <w:shd w:val="clear" w:color="auto" w:fill="auto"/>
          </w:tcPr>
          <w:p w:rsidR="00D22636" w:rsidRPr="00B26BAE" w:rsidRDefault="00A24A8A" w:rsidP="00B26BAE">
            <w:pPr>
              <w:jc w:val="both"/>
              <w:rPr>
                <w:rFonts w:ascii="Book Antiqua" w:hAnsi="Book Antiqua" w:cs="Arial"/>
                <w:b/>
              </w:rPr>
            </w:pPr>
            <w:r>
              <w:rPr>
                <w:rFonts w:ascii="Book Antiqua" w:hAnsi="Book Antiqua" w:cs="Arial"/>
                <w:b/>
              </w:rPr>
              <w:t>On 22</w:t>
            </w:r>
            <w:r w:rsidRPr="00A24A8A">
              <w:rPr>
                <w:rFonts w:ascii="Book Antiqua" w:hAnsi="Book Antiqua" w:cs="Arial"/>
                <w:b/>
                <w:vertAlign w:val="superscript"/>
              </w:rPr>
              <w:t>nd</w:t>
            </w:r>
            <w:r>
              <w:rPr>
                <w:rFonts w:ascii="Book Antiqua" w:hAnsi="Book Antiqua" w:cs="Arial"/>
                <w:b/>
              </w:rPr>
              <w:t xml:space="preserve"> August 2018 </w:t>
            </w:r>
          </w:p>
        </w:tc>
      </w:tr>
      <w:tr w:rsidR="00D22636" w:rsidRPr="00B26BAE" w:rsidTr="00A24A8A">
        <w:tc>
          <w:tcPr>
            <w:tcW w:w="6048" w:type="dxa"/>
            <w:gridSpan w:val="2"/>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6C5149">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Default="00B16F58" w:rsidP="00A15234">
      <w:pPr>
        <w:jc w:val="center"/>
        <w:rPr>
          <w:rFonts w:ascii="Book Antiqua" w:hAnsi="Book Antiqua" w:cs="Arial"/>
          <w:b/>
        </w:rPr>
      </w:pPr>
    </w:p>
    <w:p w:rsidR="00F53BA2" w:rsidRPr="00F5664C" w:rsidRDefault="00F53BA2"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407BC1" w:rsidP="00742A8D">
      <w:pPr>
        <w:jc w:val="center"/>
        <w:rPr>
          <w:rFonts w:ascii="Book Antiqua" w:hAnsi="Book Antiqua" w:cs="Arial"/>
          <w:b/>
          <w:caps/>
        </w:rPr>
      </w:pPr>
      <w:r>
        <w:rPr>
          <w:rFonts w:ascii="Book Antiqua" w:hAnsi="Book Antiqua" w:cs="Arial"/>
          <w:b/>
          <w:caps/>
        </w:rPr>
        <w:t>HD</w:t>
      </w:r>
    </w:p>
    <w:p w:rsidR="00C77259" w:rsidRDefault="00713CF8" w:rsidP="00C77259">
      <w:pPr>
        <w:jc w:val="center"/>
        <w:rPr>
          <w:rFonts w:ascii="Book Antiqua" w:hAnsi="Book Antiqua" w:cs="Arial"/>
          <w:b/>
          <w:caps/>
        </w:rPr>
      </w:pPr>
      <w:r>
        <w:rPr>
          <w:rFonts w:ascii="Book Antiqua" w:hAnsi="Book Antiqua" w:cs="Arial"/>
          <w:b/>
          <w:caps/>
        </w:rPr>
        <w:t xml:space="preserve">(ANONYMITY DIRECTION </w:t>
      </w:r>
      <w:r w:rsidR="00CB4A10">
        <w:rPr>
          <w:rFonts w:ascii="Book Antiqua" w:hAnsi="Book Antiqua" w:cs="Arial"/>
          <w:b/>
          <w:caps/>
        </w:rPr>
        <w:t>made</w:t>
      </w:r>
      <w:r w:rsidR="00C77259" w:rsidRPr="00C77259">
        <w:rPr>
          <w:rFonts w:ascii="Book Antiqua" w:hAnsi="Book Antiqua" w:cs="Arial"/>
          <w:b/>
          <w:caps/>
        </w:rPr>
        <w:t>)</w:t>
      </w:r>
    </w:p>
    <w:p w:rsidR="00704B61" w:rsidRPr="00F5664C" w:rsidRDefault="006C5149"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6C5149"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1E47A5">
      <w:pPr>
        <w:tabs>
          <w:tab w:val="left" w:pos="2552"/>
        </w:tabs>
        <w:ind w:left="2520" w:hanging="2520"/>
        <w:rPr>
          <w:rFonts w:ascii="Book Antiqua" w:hAnsi="Book Antiqua" w:cs="Arial"/>
        </w:rPr>
      </w:pPr>
      <w:r w:rsidRPr="00F5664C">
        <w:rPr>
          <w:rFonts w:ascii="Book Antiqua" w:hAnsi="Book Antiqua" w:cs="Arial"/>
        </w:rPr>
        <w:t xml:space="preserve">For the </w:t>
      </w:r>
      <w:r w:rsidR="006C5149">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6C5149">
        <w:rPr>
          <w:rFonts w:ascii="Book Antiqua" w:hAnsi="Book Antiqua" w:cs="Arial"/>
        </w:rPr>
        <w:t>Ms</w:t>
      </w:r>
      <w:r w:rsidR="00407BC1">
        <w:rPr>
          <w:rFonts w:ascii="Book Antiqua" w:hAnsi="Book Antiqua" w:cs="Arial"/>
        </w:rPr>
        <w:t xml:space="preserve"> Cleghorn</w:t>
      </w:r>
      <w:r w:rsidR="001233BA">
        <w:rPr>
          <w:rFonts w:ascii="Book Antiqua" w:hAnsi="Book Antiqua" w:cs="Arial"/>
        </w:rPr>
        <w:t>,</w:t>
      </w:r>
      <w:r w:rsidR="001E47A5">
        <w:rPr>
          <w:rFonts w:ascii="Book Antiqua" w:hAnsi="Book Antiqua" w:cs="Arial"/>
        </w:rPr>
        <w:t xml:space="preserve"> </w:t>
      </w:r>
      <w:r w:rsidR="006C5149">
        <w:rPr>
          <w:rFonts w:ascii="Book Antiqua" w:hAnsi="Book Antiqua" w:cs="Arial"/>
        </w:rPr>
        <w:t xml:space="preserve">Counsel </w:t>
      </w:r>
      <w:r w:rsidR="001E47A5">
        <w:rPr>
          <w:rFonts w:ascii="Book Antiqua" w:hAnsi="Book Antiqua" w:cs="Arial"/>
        </w:rPr>
        <w:t xml:space="preserve">instructed on behalf of the </w:t>
      </w:r>
      <w:r w:rsidR="006C5149">
        <w:rPr>
          <w:rFonts w:ascii="Book Antiqua" w:hAnsi="Book Antiqua" w:cs="Arial"/>
        </w:rPr>
        <w:t>Appellant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C5149">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407BC1">
        <w:rPr>
          <w:rFonts w:ascii="Book Antiqua" w:hAnsi="Book Antiqua" w:cs="Arial"/>
        </w:rPr>
        <w:t>Mr Diwnycz</w:t>
      </w:r>
      <w:r w:rsidR="002B1371">
        <w:rPr>
          <w:rFonts w:ascii="Book Antiqua" w:hAnsi="Book Antiqua" w:cs="Arial"/>
        </w:rPr>
        <w:t>, Senior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2B1371" w:rsidRPr="00713CF8" w:rsidRDefault="002B1371" w:rsidP="00F53BA2">
      <w:pPr>
        <w:numPr>
          <w:ilvl w:val="0"/>
          <w:numId w:val="3"/>
        </w:numPr>
        <w:spacing w:before="160"/>
        <w:jc w:val="both"/>
        <w:rPr>
          <w:rFonts w:ascii="Book Antiqua" w:hAnsi="Book Antiqua" w:cs="Arial"/>
          <w:b/>
        </w:rPr>
      </w:pPr>
      <w:r w:rsidRPr="00713CF8">
        <w:rPr>
          <w:rFonts w:ascii="Book Antiqua" w:hAnsi="Book Antiqua" w:cs="Arial"/>
        </w:rPr>
        <w:t>Th</w:t>
      </w:r>
      <w:r w:rsidR="00723DEB" w:rsidRPr="00713CF8">
        <w:rPr>
          <w:rFonts w:ascii="Book Antiqua" w:hAnsi="Book Antiqua" w:cs="Arial"/>
        </w:rPr>
        <w:t xml:space="preserve">e </w:t>
      </w:r>
      <w:r w:rsidR="006C5149">
        <w:rPr>
          <w:rFonts w:ascii="Book Antiqua" w:hAnsi="Book Antiqua" w:cs="Arial"/>
        </w:rPr>
        <w:t>Appellant</w:t>
      </w:r>
      <w:r w:rsidR="00407BC1">
        <w:rPr>
          <w:rFonts w:ascii="Book Antiqua" w:hAnsi="Book Antiqua" w:cs="Arial"/>
        </w:rPr>
        <w:t xml:space="preserve"> is a citizen of Pakistan</w:t>
      </w:r>
      <w:r w:rsidRPr="00713CF8">
        <w:rPr>
          <w:rFonts w:ascii="Book Antiqua" w:hAnsi="Book Antiqua" w:cs="Arial"/>
        </w:rPr>
        <w:t xml:space="preserve">.  </w:t>
      </w:r>
    </w:p>
    <w:p w:rsidR="00713CF8" w:rsidRPr="00713CF8" w:rsidRDefault="00713CF8" w:rsidP="00F53BA2">
      <w:pPr>
        <w:spacing w:before="160"/>
        <w:ind w:left="567"/>
        <w:jc w:val="both"/>
        <w:rPr>
          <w:rFonts w:ascii="Book Antiqua" w:hAnsi="Book Antiqua" w:cs="Arial"/>
          <w:b/>
        </w:rPr>
      </w:pPr>
      <w:r w:rsidRPr="00FA67CB">
        <w:rPr>
          <w:rFonts w:ascii="Book Antiqua" w:hAnsi="Book Antiqua"/>
          <w:b/>
        </w:rPr>
        <w:t xml:space="preserve">Rule 14: The </w:t>
      </w:r>
      <w:r w:rsidR="006C5149">
        <w:rPr>
          <w:rFonts w:ascii="Book Antiqua" w:hAnsi="Book Antiqua"/>
          <w:b/>
        </w:rPr>
        <w:t>Tribunal</w:t>
      </w:r>
      <w:r w:rsidRPr="00FA67CB">
        <w:rPr>
          <w:rFonts w:ascii="Book Antiqua" w:hAnsi="Book Antiqua"/>
          <w:b/>
        </w:rPr>
        <w:t xml:space="preserve"> Procedure (Upper </w:t>
      </w:r>
      <w:r w:rsidR="006C5149">
        <w:rPr>
          <w:rFonts w:ascii="Book Antiqua" w:hAnsi="Book Antiqua"/>
          <w:b/>
        </w:rPr>
        <w:t>Tribunal</w:t>
      </w:r>
      <w:r w:rsidRPr="00FA67CB">
        <w:rPr>
          <w:rFonts w:ascii="Book Antiqua" w:hAnsi="Book Antiqua"/>
          <w:b/>
        </w:rPr>
        <w:t xml:space="preserve">) </w:t>
      </w:r>
      <w:r w:rsidR="00AE68F2">
        <w:rPr>
          <w:rFonts w:ascii="Book Antiqua" w:hAnsi="Book Antiqua"/>
          <w:b/>
        </w:rPr>
        <w:t>Rules</w:t>
      </w:r>
      <w:r>
        <w:rPr>
          <w:rFonts w:ascii="Book Antiqua" w:hAnsi="Book Antiqua"/>
          <w:b/>
        </w:rPr>
        <w:t xml:space="preserve"> 2008 </w:t>
      </w:r>
      <w:r>
        <w:rPr>
          <w:rFonts w:ascii="Book Antiqua" w:hAnsi="Book Antiqua"/>
          <w:b/>
        </w:rPr>
        <w:br/>
        <w:t xml:space="preserve">Unless and until a </w:t>
      </w:r>
      <w:r w:rsidR="006C5149">
        <w:rPr>
          <w:rFonts w:ascii="Book Antiqua" w:hAnsi="Book Antiqua"/>
          <w:b/>
        </w:rPr>
        <w:t>Tribunal</w:t>
      </w:r>
      <w:r w:rsidRPr="00FA67CB">
        <w:rPr>
          <w:rFonts w:ascii="Book Antiqua" w:hAnsi="Book Antiqua"/>
          <w:b/>
        </w:rPr>
        <w:t xml:space="preserve"> or court direc</w:t>
      </w:r>
      <w:r>
        <w:rPr>
          <w:rFonts w:ascii="Book Antiqua" w:hAnsi="Book Antiqua"/>
          <w:b/>
        </w:rPr>
        <w:t xml:space="preserve">ts otherwise, the </w:t>
      </w:r>
      <w:r w:rsidR="006C5149">
        <w:rPr>
          <w:rFonts w:ascii="Book Antiqua" w:hAnsi="Book Antiqua"/>
          <w:b/>
        </w:rPr>
        <w:t>Appellant</w:t>
      </w:r>
      <w:r>
        <w:rPr>
          <w:rFonts w:ascii="Book Antiqua" w:hAnsi="Book Antiqua"/>
          <w:b/>
        </w:rPr>
        <w:t xml:space="preserve"> is</w:t>
      </w:r>
      <w:r w:rsidRPr="00FA67CB">
        <w:rPr>
          <w:rFonts w:ascii="Book Antiqua" w:hAnsi="Book Antiqua"/>
          <w:b/>
        </w:rPr>
        <w:t xml:space="preserve"> granted anonymity. No report of these proceedings shall dire</w:t>
      </w:r>
      <w:r>
        <w:rPr>
          <w:rFonts w:ascii="Book Antiqua" w:hAnsi="Book Antiqua"/>
          <w:b/>
        </w:rPr>
        <w:t>ctly or indirectly identify him or any member of his</w:t>
      </w:r>
      <w:r w:rsidRPr="00FA67CB">
        <w:rPr>
          <w:rFonts w:ascii="Book Antiqua" w:hAnsi="Book Antiqua"/>
          <w:b/>
        </w:rPr>
        <w:t xml:space="preserve"> family. This direction applies both to the </w:t>
      </w:r>
      <w:r w:rsidR="006C5149">
        <w:rPr>
          <w:rFonts w:ascii="Book Antiqua" w:hAnsi="Book Antiqua"/>
          <w:b/>
        </w:rPr>
        <w:t>Appellant</w:t>
      </w:r>
      <w:r>
        <w:rPr>
          <w:rFonts w:ascii="Book Antiqua" w:hAnsi="Book Antiqua"/>
          <w:b/>
        </w:rPr>
        <w:t xml:space="preserve"> </w:t>
      </w:r>
      <w:r w:rsidRPr="00FA67CB">
        <w:rPr>
          <w:rFonts w:ascii="Book Antiqua" w:hAnsi="Book Antiqua"/>
          <w:b/>
        </w:rPr>
        <w:t xml:space="preserve">and to the </w:t>
      </w:r>
      <w:r w:rsidR="006C5149">
        <w:rPr>
          <w:rFonts w:ascii="Book Antiqua" w:hAnsi="Book Antiqua"/>
          <w:b/>
        </w:rPr>
        <w:t>Respondent</w:t>
      </w:r>
      <w:r>
        <w:rPr>
          <w:rFonts w:ascii="Book Antiqua" w:hAnsi="Book Antiqua"/>
          <w:b/>
        </w:rPr>
        <w:t>.</w:t>
      </w:r>
    </w:p>
    <w:p w:rsidR="002B1371" w:rsidRDefault="007D0CFC" w:rsidP="00F53BA2">
      <w:pPr>
        <w:numPr>
          <w:ilvl w:val="0"/>
          <w:numId w:val="3"/>
        </w:numPr>
        <w:spacing w:before="160"/>
        <w:jc w:val="both"/>
        <w:rPr>
          <w:rFonts w:ascii="Book Antiqua" w:hAnsi="Book Antiqua" w:cs="Arial"/>
        </w:rPr>
      </w:pPr>
      <w:r w:rsidRPr="000D436D">
        <w:rPr>
          <w:rFonts w:ascii="Book Antiqua" w:hAnsi="Book Antiqua" w:cs="Arial"/>
        </w:rPr>
        <w:lastRenderedPageBreak/>
        <w:t xml:space="preserve">The </w:t>
      </w:r>
      <w:r w:rsidR="006C5149">
        <w:rPr>
          <w:rFonts w:ascii="Book Antiqua" w:hAnsi="Book Antiqua" w:cs="Arial"/>
        </w:rPr>
        <w:t>Appellant</w:t>
      </w:r>
      <w:r w:rsidR="00C44EFB">
        <w:rPr>
          <w:rFonts w:ascii="Book Antiqua" w:hAnsi="Book Antiqua" w:cs="Arial"/>
        </w:rPr>
        <w:t>,</w:t>
      </w:r>
      <w:r w:rsidR="00B5034A">
        <w:rPr>
          <w:rFonts w:ascii="Book Antiqua" w:hAnsi="Book Antiqua" w:cs="Arial"/>
        </w:rPr>
        <w:t xml:space="preserve"> with permission</w:t>
      </w:r>
      <w:r w:rsidR="00C44EFB">
        <w:rPr>
          <w:rFonts w:ascii="Book Antiqua" w:hAnsi="Book Antiqua" w:cs="Arial"/>
        </w:rPr>
        <w:t>,</w:t>
      </w:r>
      <w:r w:rsidRPr="000D436D">
        <w:rPr>
          <w:rFonts w:ascii="Book Antiqua" w:hAnsi="Book Antiqua" w:cs="Arial"/>
        </w:rPr>
        <w:t xml:space="preserve"> appeals against the decision of the </w:t>
      </w:r>
      <w:r w:rsidR="009C74C5" w:rsidRPr="000D436D">
        <w:rPr>
          <w:rFonts w:ascii="Book Antiqua" w:hAnsi="Book Antiqua" w:cs="Arial"/>
        </w:rPr>
        <w:t>First</w:t>
      </w:r>
      <w:r w:rsidRPr="000D436D">
        <w:rPr>
          <w:rFonts w:ascii="Book Antiqua" w:hAnsi="Book Antiqua" w:cs="Arial"/>
        </w:rPr>
        <w:t xml:space="preserve">-tier </w:t>
      </w:r>
      <w:r w:rsidR="006C5149">
        <w:rPr>
          <w:rFonts w:ascii="Book Antiqua" w:hAnsi="Book Antiqua" w:cs="Arial"/>
        </w:rPr>
        <w:t>Tribunal</w:t>
      </w:r>
      <w:r w:rsidRPr="000D436D">
        <w:rPr>
          <w:rFonts w:ascii="Book Antiqua" w:hAnsi="Book Antiqua" w:cs="Arial"/>
        </w:rPr>
        <w:t>, who, in a determination promulgated</w:t>
      </w:r>
      <w:r w:rsidR="001E47A5" w:rsidRPr="000D436D">
        <w:rPr>
          <w:rFonts w:ascii="Book Antiqua" w:hAnsi="Book Antiqua" w:cs="Arial"/>
        </w:rPr>
        <w:t xml:space="preserve"> on</w:t>
      </w:r>
      <w:r w:rsidRPr="000D436D">
        <w:rPr>
          <w:rFonts w:ascii="Book Antiqua" w:hAnsi="Book Antiqua" w:cs="Arial"/>
        </w:rPr>
        <w:t xml:space="preserve"> </w:t>
      </w:r>
      <w:r w:rsidR="00723DEB" w:rsidRPr="000D436D">
        <w:rPr>
          <w:rFonts w:ascii="Book Antiqua" w:hAnsi="Book Antiqua" w:cs="Arial"/>
        </w:rPr>
        <w:t xml:space="preserve">the </w:t>
      </w:r>
      <w:r w:rsidR="00407BC1">
        <w:rPr>
          <w:rFonts w:ascii="Book Antiqua" w:hAnsi="Book Antiqua" w:cs="Arial"/>
        </w:rPr>
        <w:t>17</w:t>
      </w:r>
      <w:r w:rsidR="00407BC1" w:rsidRPr="00407BC1">
        <w:rPr>
          <w:rFonts w:ascii="Book Antiqua" w:hAnsi="Book Antiqua" w:cs="Arial"/>
          <w:vertAlign w:val="superscript"/>
        </w:rPr>
        <w:t>th</w:t>
      </w:r>
      <w:r w:rsidR="00407BC1">
        <w:rPr>
          <w:rFonts w:ascii="Book Antiqua" w:hAnsi="Book Antiqua" w:cs="Arial"/>
        </w:rPr>
        <w:t xml:space="preserve"> July</w:t>
      </w:r>
      <w:r w:rsidR="001233BA">
        <w:rPr>
          <w:rFonts w:ascii="Book Antiqua" w:hAnsi="Book Antiqua" w:cs="Arial"/>
        </w:rPr>
        <w:t xml:space="preserve"> 2017</w:t>
      </w:r>
      <w:r w:rsidR="00B5034A">
        <w:rPr>
          <w:rFonts w:ascii="Book Antiqua" w:hAnsi="Book Antiqua" w:cs="Arial"/>
        </w:rPr>
        <w:t>,</w:t>
      </w:r>
      <w:r w:rsidR="00713CF8">
        <w:rPr>
          <w:rFonts w:ascii="Book Antiqua" w:hAnsi="Book Antiqua" w:cs="Arial"/>
        </w:rPr>
        <w:t xml:space="preserve"> dismissed his</w:t>
      </w:r>
      <w:r w:rsidR="00B40B20">
        <w:rPr>
          <w:rFonts w:ascii="Book Antiqua" w:hAnsi="Book Antiqua" w:cs="Arial"/>
        </w:rPr>
        <w:t xml:space="preserve"> appeal against the decision of the </w:t>
      </w:r>
      <w:r w:rsidR="006C5149">
        <w:rPr>
          <w:rFonts w:ascii="Book Antiqua" w:hAnsi="Book Antiqua" w:cs="Arial"/>
        </w:rPr>
        <w:t>Respondent</w:t>
      </w:r>
      <w:r w:rsidR="00B40B20">
        <w:rPr>
          <w:rFonts w:ascii="Book Antiqua" w:hAnsi="Book Antiqua" w:cs="Arial"/>
        </w:rPr>
        <w:t xml:space="preserve"> made on th</w:t>
      </w:r>
      <w:r w:rsidR="00407BC1">
        <w:rPr>
          <w:rFonts w:ascii="Book Antiqua" w:hAnsi="Book Antiqua" w:cs="Arial"/>
        </w:rPr>
        <w:t>e 30</w:t>
      </w:r>
      <w:r w:rsidR="00407BC1" w:rsidRPr="00407BC1">
        <w:rPr>
          <w:rFonts w:ascii="Book Antiqua" w:hAnsi="Book Antiqua" w:cs="Arial"/>
          <w:vertAlign w:val="superscript"/>
        </w:rPr>
        <w:t>th</w:t>
      </w:r>
      <w:r w:rsidR="00407BC1">
        <w:rPr>
          <w:rFonts w:ascii="Book Antiqua" w:hAnsi="Book Antiqua" w:cs="Arial"/>
        </w:rPr>
        <w:t xml:space="preserve"> August</w:t>
      </w:r>
      <w:r w:rsidR="00713CF8">
        <w:rPr>
          <w:rFonts w:ascii="Book Antiqua" w:hAnsi="Book Antiqua" w:cs="Arial"/>
        </w:rPr>
        <w:t xml:space="preserve"> 2016</w:t>
      </w:r>
      <w:r w:rsidR="00407BC1">
        <w:rPr>
          <w:rFonts w:ascii="Book Antiqua" w:hAnsi="Book Antiqua" w:cs="Arial"/>
        </w:rPr>
        <w:t xml:space="preserve"> to refuse his application for leave to remain</w:t>
      </w:r>
      <w:r w:rsidR="00B40B20">
        <w:rPr>
          <w:rFonts w:ascii="Book Antiqua" w:hAnsi="Book Antiqua" w:cs="Arial"/>
        </w:rPr>
        <w:t>.</w:t>
      </w:r>
      <w:r w:rsidRPr="000D436D">
        <w:rPr>
          <w:rFonts w:ascii="Book Antiqua" w:hAnsi="Book Antiqua" w:cs="Arial"/>
        </w:rPr>
        <w:t xml:space="preserve"> </w:t>
      </w:r>
    </w:p>
    <w:p w:rsidR="00E71567" w:rsidRDefault="00713CF8" w:rsidP="00F53BA2">
      <w:pPr>
        <w:numPr>
          <w:ilvl w:val="0"/>
          <w:numId w:val="3"/>
        </w:numPr>
        <w:spacing w:before="160"/>
        <w:jc w:val="both"/>
        <w:rPr>
          <w:rFonts w:ascii="Book Antiqua" w:hAnsi="Book Antiqua" w:cs="Arial"/>
        </w:rPr>
      </w:pPr>
      <w:r>
        <w:rPr>
          <w:rFonts w:ascii="Book Antiqua" w:hAnsi="Book Antiqua" w:cs="Arial"/>
        </w:rPr>
        <w:t>Permission to appeal</w:t>
      </w:r>
      <w:r w:rsidR="00407BC1">
        <w:rPr>
          <w:rFonts w:ascii="Book Antiqua" w:hAnsi="Book Antiqua" w:cs="Arial"/>
        </w:rPr>
        <w:t xml:space="preserve"> was refused</w:t>
      </w:r>
      <w:r w:rsidR="001A159B">
        <w:rPr>
          <w:rFonts w:ascii="Book Antiqua" w:hAnsi="Book Antiqua" w:cs="Arial"/>
        </w:rPr>
        <w:t xml:space="preserve"> by First-tier </w:t>
      </w:r>
      <w:r w:rsidR="006C5149">
        <w:rPr>
          <w:rFonts w:ascii="Book Antiqua" w:hAnsi="Book Antiqua" w:cs="Arial"/>
        </w:rPr>
        <w:t>Tribunal</w:t>
      </w:r>
      <w:r>
        <w:rPr>
          <w:rFonts w:ascii="Book Antiqua" w:hAnsi="Book Antiqua" w:cs="Arial"/>
        </w:rPr>
        <w:t xml:space="preserve"> </w:t>
      </w:r>
      <w:r w:rsidR="00407BC1">
        <w:rPr>
          <w:rFonts w:ascii="Book Antiqua" w:hAnsi="Book Antiqua" w:cs="Arial"/>
        </w:rPr>
        <w:t xml:space="preserve">but on renewal was granted by Upper </w:t>
      </w:r>
      <w:r w:rsidR="006C5149">
        <w:rPr>
          <w:rFonts w:ascii="Book Antiqua" w:hAnsi="Book Antiqua" w:cs="Arial"/>
        </w:rPr>
        <w:t>Tribunal</w:t>
      </w:r>
      <w:r w:rsidR="00407BC1">
        <w:rPr>
          <w:rFonts w:ascii="Book Antiqua" w:hAnsi="Book Antiqua" w:cs="Arial"/>
        </w:rPr>
        <w:t xml:space="preserve"> Judge Coker</w:t>
      </w:r>
      <w:r w:rsidR="00E71567">
        <w:rPr>
          <w:rFonts w:ascii="Book Antiqua" w:hAnsi="Book Antiqua" w:cs="Arial"/>
        </w:rPr>
        <w:t xml:space="preserve"> on the </w:t>
      </w:r>
      <w:r w:rsidR="00407BC1">
        <w:rPr>
          <w:rFonts w:ascii="Book Antiqua" w:hAnsi="Book Antiqua" w:cs="Arial"/>
        </w:rPr>
        <w:t>15</w:t>
      </w:r>
      <w:r w:rsidR="00407BC1" w:rsidRPr="00407BC1">
        <w:rPr>
          <w:rFonts w:ascii="Book Antiqua" w:hAnsi="Book Antiqua" w:cs="Arial"/>
          <w:vertAlign w:val="superscript"/>
        </w:rPr>
        <w:t>th</w:t>
      </w:r>
      <w:r w:rsidR="00407BC1">
        <w:rPr>
          <w:rFonts w:ascii="Book Antiqua" w:hAnsi="Book Antiqua" w:cs="Arial"/>
        </w:rPr>
        <w:t xml:space="preserve"> February 2018</w:t>
      </w:r>
      <w:r w:rsidR="001A159B">
        <w:rPr>
          <w:rFonts w:ascii="Book Antiqua" w:hAnsi="Book Antiqua" w:cs="Arial"/>
        </w:rPr>
        <w:t>.</w:t>
      </w:r>
    </w:p>
    <w:p w:rsidR="004F438A" w:rsidRDefault="001A159B" w:rsidP="00F53BA2">
      <w:pPr>
        <w:numPr>
          <w:ilvl w:val="0"/>
          <w:numId w:val="3"/>
        </w:numPr>
        <w:spacing w:before="160"/>
        <w:jc w:val="both"/>
        <w:rPr>
          <w:rFonts w:ascii="Book Antiqua" w:hAnsi="Book Antiqua" w:cs="Arial"/>
        </w:rPr>
      </w:pPr>
      <w:r>
        <w:rPr>
          <w:rFonts w:ascii="Book Antiqua" w:hAnsi="Book Antiqua" w:cs="Arial"/>
        </w:rPr>
        <w:t>The background to the appeal is set out in the decision letter and the deter</w:t>
      </w:r>
      <w:r w:rsidR="00407BC1">
        <w:rPr>
          <w:rFonts w:ascii="Book Antiqua" w:hAnsi="Book Antiqua" w:cs="Arial"/>
        </w:rPr>
        <w:t>mination at paragraphs 8-15</w:t>
      </w:r>
      <w:r>
        <w:rPr>
          <w:rFonts w:ascii="Book Antiqua" w:hAnsi="Book Antiqua" w:cs="Arial"/>
        </w:rPr>
        <w:t>. It can be summarised as follows</w:t>
      </w:r>
      <w:r w:rsidR="002821DC">
        <w:rPr>
          <w:rFonts w:ascii="Book Antiqua" w:hAnsi="Book Antiqua" w:cs="Arial"/>
        </w:rPr>
        <w:t>. T</w:t>
      </w:r>
      <w:r>
        <w:rPr>
          <w:rFonts w:ascii="Book Antiqua" w:hAnsi="Book Antiqua" w:cs="Arial"/>
        </w:rPr>
        <w:t xml:space="preserve">he </w:t>
      </w:r>
      <w:r w:rsidR="006C5149">
        <w:rPr>
          <w:rFonts w:ascii="Book Antiqua" w:hAnsi="Book Antiqua" w:cs="Arial"/>
        </w:rPr>
        <w:t>Appellant</w:t>
      </w:r>
      <w:r>
        <w:rPr>
          <w:rFonts w:ascii="Book Antiqua" w:hAnsi="Book Antiqua" w:cs="Arial"/>
        </w:rPr>
        <w:t xml:space="preserve"> entered the United Kingdom </w:t>
      </w:r>
      <w:r w:rsidR="004F438A">
        <w:rPr>
          <w:rFonts w:ascii="Book Antiqua" w:hAnsi="Book Antiqua" w:cs="Arial"/>
        </w:rPr>
        <w:t>in 2011, having been granted leave to enter and remain until 14 July 2012 for the purposes of study. In 2012, he applied an extension of his leave until July 2014 and stated that</w:t>
      </w:r>
      <w:r w:rsidR="006C5149">
        <w:rPr>
          <w:rFonts w:ascii="Book Antiqua" w:hAnsi="Book Antiqua" w:cs="Arial"/>
        </w:rPr>
        <w:t xml:space="preserve"> he undertook the required English</w:t>
      </w:r>
      <w:r w:rsidR="004F438A">
        <w:rPr>
          <w:rFonts w:ascii="Book Antiqua" w:hAnsi="Book Antiqua" w:cs="Arial"/>
        </w:rPr>
        <w:t xml:space="preserve"> language test himself and denied using a proxy. He had </w:t>
      </w:r>
      <w:r w:rsidR="0052481B">
        <w:rPr>
          <w:rFonts w:ascii="Book Antiqua" w:hAnsi="Book Antiqua" w:cs="Arial"/>
        </w:rPr>
        <w:t>been convicted of some</w:t>
      </w:r>
      <w:r w:rsidR="004F438A">
        <w:rPr>
          <w:rFonts w:ascii="Book Antiqua" w:hAnsi="Book Antiqua" w:cs="Arial"/>
        </w:rPr>
        <w:t xml:space="preserve"> offences in 2013 (paragraph 12). In or about April 2014 the </w:t>
      </w:r>
      <w:r w:rsidR="006C5149">
        <w:rPr>
          <w:rFonts w:ascii="Book Antiqua" w:hAnsi="Book Antiqua" w:cs="Arial"/>
        </w:rPr>
        <w:t>Appellant</w:t>
      </w:r>
      <w:r w:rsidR="004F438A">
        <w:rPr>
          <w:rFonts w:ascii="Book Antiqua" w:hAnsi="Book Antiqua" w:cs="Arial"/>
        </w:rPr>
        <w:t xml:space="preserve"> met his wife and they began living together in June 2014. She had surgery in May 2015 t</w:t>
      </w:r>
      <w:r w:rsidR="006C5149">
        <w:rPr>
          <w:rFonts w:ascii="Book Antiqua" w:hAnsi="Book Antiqua" w:cs="Arial"/>
        </w:rPr>
        <w:t>o complete</w:t>
      </w:r>
      <w:r w:rsidR="004F438A">
        <w:rPr>
          <w:rFonts w:ascii="Book Antiqua" w:hAnsi="Book Antiqua" w:cs="Arial"/>
        </w:rPr>
        <w:t xml:space="preserve"> gender </w:t>
      </w:r>
      <w:r w:rsidR="006C5149">
        <w:rPr>
          <w:rFonts w:ascii="Book Antiqua" w:hAnsi="Book Antiqua" w:cs="Arial"/>
        </w:rPr>
        <w:t>re-</w:t>
      </w:r>
      <w:r w:rsidR="004F438A">
        <w:rPr>
          <w:rFonts w:ascii="Book Antiqua" w:hAnsi="Book Antiqua" w:cs="Arial"/>
        </w:rPr>
        <w:t xml:space="preserve">assignment and was thereafter nursed to recovery by the </w:t>
      </w:r>
      <w:r w:rsidR="006C5149">
        <w:rPr>
          <w:rFonts w:ascii="Book Antiqua" w:hAnsi="Book Antiqua" w:cs="Arial"/>
        </w:rPr>
        <w:t>Appellant</w:t>
      </w:r>
      <w:r w:rsidR="004F438A">
        <w:rPr>
          <w:rFonts w:ascii="Book Antiqua" w:hAnsi="Book Antiqua" w:cs="Arial"/>
        </w:rPr>
        <w:t>. She converted to Islam prior to the marriage which took place on 9 December 20</w:t>
      </w:r>
      <w:r w:rsidR="006C5149">
        <w:rPr>
          <w:rFonts w:ascii="Book Antiqua" w:hAnsi="Book Antiqua" w:cs="Arial"/>
        </w:rPr>
        <w:t>14 and</w:t>
      </w:r>
      <w:r w:rsidR="0052481B">
        <w:rPr>
          <w:rFonts w:ascii="Book Antiqua" w:hAnsi="Book Antiqua" w:cs="Arial"/>
        </w:rPr>
        <w:t xml:space="preserve"> this was</w:t>
      </w:r>
      <w:r w:rsidR="006C5149">
        <w:rPr>
          <w:rFonts w:ascii="Book Antiqua" w:hAnsi="Book Antiqua" w:cs="Arial"/>
        </w:rPr>
        <w:t xml:space="preserve"> followed by a civil</w:t>
      </w:r>
      <w:r w:rsidR="004F438A">
        <w:rPr>
          <w:rFonts w:ascii="Book Antiqua" w:hAnsi="Book Antiqua" w:cs="Arial"/>
        </w:rPr>
        <w:t xml:space="preserve"> wedding on 17 March 2015.</w:t>
      </w:r>
    </w:p>
    <w:p w:rsidR="001A159B" w:rsidRDefault="004F438A" w:rsidP="00F53BA2">
      <w:pPr>
        <w:numPr>
          <w:ilvl w:val="0"/>
          <w:numId w:val="3"/>
        </w:numPr>
        <w:spacing w:before="160"/>
        <w:jc w:val="both"/>
        <w:rPr>
          <w:rFonts w:ascii="Book Antiqua" w:hAnsi="Book Antiqua" w:cs="Arial"/>
        </w:rPr>
      </w:pPr>
      <w:r>
        <w:rPr>
          <w:rFonts w:ascii="Book Antiqua" w:hAnsi="Book Antiqua" w:cs="Arial"/>
        </w:rPr>
        <w:t>He applied for further extension in June 2014 but never received notification of the outcome. He had received a letter from the Home Office in October 2014 stating that the application was still being considered. In Novem</w:t>
      </w:r>
      <w:r w:rsidR="006C5149">
        <w:rPr>
          <w:rFonts w:ascii="Book Antiqua" w:hAnsi="Book Antiqua" w:cs="Arial"/>
        </w:rPr>
        <w:t>ber 2014 he spoke with a local Registrar of Births, D</w:t>
      </w:r>
      <w:r>
        <w:rPr>
          <w:rFonts w:ascii="Book Antiqua" w:hAnsi="Book Antiqua" w:cs="Arial"/>
        </w:rPr>
        <w:t xml:space="preserve">eaths and </w:t>
      </w:r>
      <w:r w:rsidR="006C5149">
        <w:rPr>
          <w:rFonts w:ascii="Book Antiqua" w:hAnsi="Book Antiqua" w:cs="Arial"/>
        </w:rPr>
        <w:t>Marriage and on that occasion the R</w:t>
      </w:r>
      <w:r>
        <w:rPr>
          <w:rFonts w:ascii="Book Antiqua" w:hAnsi="Book Antiqua" w:cs="Arial"/>
        </w:rPr>
        <w:t>egistrar telephone</w:t>
      </w:r>
      <w:r w:rsidR="006C5149">
        <w:rPr>
          <w:rFonts w:ascii="Book Antiqua" w:hAnsi="Book Antiqua" w:cs="Arial"/>
        </w:rPr>
        <w:t>d the</w:t>
      </w:r>
      <w:r>
        <w:rPr>
          <w:rFonts w:ascii="Book Antiqua" w:hAnsi="Book Antiqua" w:cs="Arial"/>
        </w:rPr>
        <w:t xml:space="preserve"> Home Office </w:t>
      </w:r>
      <w:r w:rsidR="006C5149">
        <w:rPr>
          <w:rFonts w:ascii="Book Antiqua" w:hAnsi="Book Antiqua" w:cs="Arial"/>
        </w:rPr>
        <w:t xml:space="preserve">in his presence </w:t>
      </w:r>
      <w:r>
        <w:rPr>
          <w:rFonts w:ascii="Book Antiqua" w:hAnsi="Book Antiqua" w:cs="Arial"/>
        </w:rPr>
        <w:t xml:space="preserve">concerning his immigration status and they had confirmed that his application was still pending. He has never received a decision on that application. The judge found at [34] that he was satisfied that that application was never determined, whether by way of refusal otherwise. The judge found it as “significant” that the </w:t>
      </w:r>
      <w:r w:rsidR="006C5149">
        <w:rPr>
          <w:rFonts w:ascii="Book Antiqua" w:hAnsi="Book Antiqua" w:cs="Arial"/>
        </w:rPr>
        <w:t>Respondent</w:t>
      </w:r>
      <w:r>
        <w:rPr>
          <w:rFonts w:ascii="Book Antiqua" w:hAnsi="Book Antiqua" w:cs="Arial"/>
        </w:rPr>
        <w:t xml:space="preserve"> did not provide a date for the refusal of that application, let alone a copy of it and proof of posting to the </w:t>
      </w:r>
      <w:r w:rsidR="006C5149">
        <w:rPr>
          <w:rFonts w:ascii="Book Antiqua" w:hAnsi="Book Antiqua" w:cs="Arial"/>
        </w:rPr>
        <w:t>Appellant’s</w:t>
      </w:r>
      <w:r>
        <w:rPr>
          <w:rFonts w:ascii="Book Antiqua" w:hAnsi="Book Antiqua" w:cs="Arial"/>
        </w:rPr>
        <w:t xml:space="preserve"> last known address. </w:t>
      </w:r>
      <w:proofErr w:type="gramStart"/>
      <w:r>
        <w:rPr>
          <w:rFonts w:ascii="Book Antiqua" w:hAnsi="Book Antiqua" w:cs="Arial"/>
        </w:rPr>
        <w:t>Thus</w:t>
      </w:r>
      <w:proofErr w:type="gramEnd"/>
      <w:r>
        <w:rPr>
          <w:rFonts w:ascii="Book Antiqua" w:hAnsi="Book Antiqua" w:cs="Arial"/>
        </w:rPr>
        <w:t xml:space="preserve"> he found that the </w:t>
      </w:r>
      <w:r w:rsidR="006C5149">
        <w:rPr>
          <w:rFonts w:ascii="Book Antiqua" w:hAnsi="Book Antiqua" w:cs="Arial"/>
        </w:rPr>
        <w:t>Respondent</w:t>
      </w:r>
      <w:r>
        <w:rPr>
          <w:rFonts w:ascii="Book Antiqua" w:hAnsi="Book Antiqua" w:cs="Arial"/>
        </w:rPr>
        <w:t xml:space="preserve"> had “failed to establish that the </w:t>
      </w:r>
      <w:r w:rsidR="006C5149">
        <w:rPr>
          <w:rFonts w:ascii="Book Antiqua" w:hAnsi="Book Antiqua" w:cs="Arial"/>
        </w:rPr>
        <w:t>Appellant</w:t>
      </w:r>
      <w:r>
        <w:rPr>
          <w:rFonts w:ascii="Book Antiqua" w:hAnsi="Book Antiqua" w:cs="Arial"/>
        </w:rPr>
        <w:t xml:space="preserve"> did not meet the immigration requirements when he made his current application.”</w:t>
      </w:r>
    </w:p>
    <w:p w:rsidR="004F438A" w:rsidRDefault="004F438A" w:rsidP="00F53BA2">
      <w:pPr>
        <w:numPr>
          <w:ilvl w:val="0"/>
          <w:numId w:val="3"/>
        </w:numPr>
        <w:spacing w:before="160"/>
        <w:jc w:val="both"/>
        <w:rPr>
          <w:rFonts w:ascii="Book Antiqua" w:hAnsi="Book Antiqua" w:cs="Arial"/>
        </w:rPr>
      </w:pPr>
      <w:r>
        <w:rPr>
          <w:rFonts w:ascii="Book Antiqua" w:hAnsi="Book Antiqua" w:cs="Arial"/>
        </w:rPr>
        <w:t xml:space="preserve">The </w:t>
      </w:r>
      <w:r w:rsidR="006C5149">
        <w:rPr>
          <w:rFonts w:ascii="Book Antiqua" w:hAnsi="Book Antiqua" w:cs="Arial"/>
        </w:rPr>
        <w:t>Appellant</w:t>
      </w:r>
      <w:r>
        <w:rPr>
          <w:rFonts w:ascii="Book Antiqua" w:hAnsi="Book Antiqua" w:cs="Arial"/>
        </w:rPr>
        <w:t xml:space="preserve"> then made a further application for leave to remain on 15 September 2015 which resulted in the decision letter of 30 August 2016 and summarised in the determination of paragraphs 4 – 7 of the determination. The </w:t>
      </w:r>
      <w:r w:rsidR="006C5149">
        <w:rPr>
          <w:rFonts w:ascii="Book Antiqua" w:hAnsi="Book Antiqua" w:cs="Arial"/>
        </w:rPr>
        <w:t>Respondent</w:t>
      </w:r>
      <w:r>
        <w:rPr>
          <w:rFonts w:ascii="Book Antiqua" w:hAnsi="Book Antiqua" w:cs="Arial"/>
        </w:rPr>
        <w:t xml:space="preserve"> refused his application both under the Rules and outside of the Rules.</w:t>
      </w:r>
    </w:p>
    <w:p w:rsidR="00E71567" w:rsidRDefault="00E71567" w:rsidP="00F53BA2">
      <w:pPr>
        <w:numPr>
          <w:ilvl w:val="0"/>
          <w:numId w:val="3"/>
        </w:numPr>
        <w:spacing w:before="160"/>
        <w:jc w:val="both"/>
        <w:rPr>
          <w:rFonts w:ascii="Book Antiqua" w:hAnsi="Book Antiqua" w:cs="Arial"/>
        </w:rPr>
      </w:pPr>
      <w:r w:rsidRPr="00713CF8">
        <w:rPr>
          <w:rFonts w:ascii="Book Antiqua" w:hAnsi="Book Antiqua" w:cs="Arial"/>
        </w:rPr>
        <w:t xml:space="preserve">The </w:t>
      </w:r>
      <w:r w:rsidR="006C5149">
        <w:rPr>
          <w:rFonts w:ascii="Book Antiqua" w:hAnsi="Book Antiqua" w:cs="Arial"/>
        </w:rPr>
        <w:t>Appellant</w:t>
      </w:r>
      <w:r w:rsidRPr="00713CF8">
        <w:rPr>
          <w:rFonts w:ascii="Book Antiqua" w:hAnsi="Book Antiqua" w:cs="Arial"/>
        </w:rPr>
        <w:t xml:space="preserve"> sought permission to appeal </w:t>
      </w:r>
      <w:r w:rsidR="0062053B" w:rsidRPr="00713CF8">
        <w:rPr>
          <w:rFonts w:ascii="Book Antiqua" w:hAnsi="Book Antiqua" w:cs="Arial"/>
        </w:rPr>
        <w:t>and the appeal came before the F</w:t>
      </w:r>
      <w:r w:rsidRPr="00713CF8">
        <w:rPr>
          <w:rFonts w:ascii="Book Antiqua" w:hAnsi="Book Antiqua" w:cs="Arial"/>
        </w:rPr>
        <w:t xml:space="preserve">irst-tier </w:t>
      </w:r>
      <w:r w:rsidR="006C5149">
        <w:rPr>
          <w:rFonts w:ascii="Book Antiqua" w:hAnsi="Book Antiqua" w:cs="Arial"/>
        </w:rPr>
        <w:t>Tribunal</w:t>
      </w:r>
      <w:r w:rsidR="00407BC1">
        <w:rPr>
          <w:rFonts w:ascii="Book Antiqua" w:hAnsi="Book Antiqua" w:cs="Arial"/>
        </w:rPr>
        <w:t xml:space="preserve"> on the 6</w:t>
      </w:r>
      <w:r w:rsidR="00407BC1" w:rsidRPr="00407BC1">
        <w:rPr>
          <w:rFonts w:ascii="Book Antiqua" w:hAnsi="Book Antiqua" w:cs="Arial"/>
          <w:vertAlign w:val="superscript"/>
        </w:rPr>
        <w:t>th</w:t>
      </w:r>
      <w:r w:rsidR="00407BC1">
        <w:rPr>
          <w:rFonts w:ascii="Book Antiqua" w:hAnsi="Book Antiqua" w:cs="Arial"/>
        </w:rPr>
        <w:t xml:space="preserve"> July</w:t>
      </w:r>
      <w:r w:rsidR="00713CF8">
        <w:rPr>
          <w:rFonts w:ascii="Book Antiqua" w:hAnsi="Book Antiqua" w:cs="Arial"/>
        </w:rPr>
        <w:t xml:space="preserve"> </w:t>
      </w:r>
      <w:r w:rsidRPr="00713CF8">
        <w:rPr>
          <w:rFonts w:ascii="Book Antiqua" w:hAnsi="Book Antiqua" w:cs="Arial"/>
        </w:rPr>
        <w:t>2017. In a dete</w:t>
      </w:r>
      <w:r w:rsidR="00407BC1">
        <w:rPr>
          <w:rFonts w:ascii="Book Antiqua" w:hAnsi="Book Antiqua" w:cs="Arial"/>
        </w:rPr>
        <w:t>rmination promulgated on the 17</w:t>
      </w:r>
      <w:r w:rsidR="00407BC1" w:rsidRPr="00407BC1">
        <w:rPr>
          <w:rFonts w:ascii="Book Antiqua" w:hAnsi="Book Antiqua" w:cs="Arial"/>
          <w:vertAlign w:val="superscript"/>
        </w:rPr>
        <w:t>th</w:t>
      </w:r>
      <w:r w:rsidR="00407BC1">
        <w:rPr>
          <w:rFonts w:ascii="Book Antiqua" w:hAnsi="Book Antiqua" w:cs="Arial"/>
        </w:rPr>
        <w:t xml:space="preserve"> July</w:t>
      </w:r>
      <w:r w:rsidRPr="00713CF8">
        <w:rPr>
          <w:rFonts w:ascii="Book Antiqua" w:hAnsi="Book Antiqua" w:cs="Arial"/>
        </w:rPr>
        <w:t xml:space="preserve"> 2017 the</w:t>
      </w:r>
      <w:r w:rsidR="0062053B" w:rsidRPr="00713CF8">
        <w:rPr>
          <w:rFonts w:ascii="Book Antiqua" w:hAnsi="Book Antiqua" w:cs="Arial"/>
        </w:rPr>
        <w:t xml:space="preserve"> J</w:t>
      </w:r>
      <w:r w:rsidRPr="00713CF8">
        <w:rPr>
          <w:rFonts w:ascii="Book Antiqua" w:hAnsi="Book Antiqua" w:cs="Arial"/>
        </w:rPr>
        <w:t xml:space="preserve">udge </w:t>
      </w:r>
      <w:r w:rsidR="0062053B" w:rsidRPr="00713CF8">
        <w:rPr>
          <w:rFonts w:ascii="Book Antiqua" w:hAnsi="Book Antiqua" w:cs="Arial"/>
        </w:rPr>
        <w:t>dismissed the appea</w:t>
      </w:r>
      <w:r w:rsidR="00407BC1">
        <w:rPr>
          <w:rFonts w:ascii="Book Antiqua" w:hAnsi="Book Antiqua" w:cs="Arial"/>
        </w:rPr>
        <w:t>l</w:t>
      </w:r>
      <w:r w:rsidR="0062053B" w:rsidRPr="00713CF8">
        <w:rPr>
          <w:rFonts w:ascii="Book Antiqua" w:hAnsi="Book Antiqua" w:cs="Arial"/>
        </w:rPr>
        <w:t xml:space="preserve"> on human rights grounds (</w:t>
      </w:r>
      <w:r w:rsidR="00AE68F2">
        <w:rPr>
          <w:rFonts w:ascii="Book Antiqua" w:hAnsi="Book Antiqua" w:cs="Arial"/>
        </w:rPr>
        <w:t>Article</w:t>
      </w:r>
      <w:r w:rsidRPr="00713CF8">
        <w:rPr>
          <w:rFonts w:ascii="Book Antiqua" w:hAnsi="Book Antiqua" w:cs="Arial"/>
        </w:rPr>
        <w:t xml:space="preserve"> 8).</w:t>
      </w:r>
    </w:p>
    <w:p w:rsidR="00F80791" w:rsidRDefault="001E2CF8" w:rsidP="00F53BA2">
      <w:pPr>
        <w:numPr>
          <w:ilvl w:val="0"/>
          <w:numId w:val="3"/>
        </w:numPr>
        <w:spacing w:before="160"/>
        <w:jc w:val="both"/>
        <w:rPr>
          <w:rFonts w:ascii="Book Antiqua" w:hAnsi="Book Antiqua" w:cs="Arial"/>
        </w:rPr>
      </w:pPr>
      <w:r>
        <w:rPr>
          <w:rFonts w:ascii="Book Antiqua" w:hAnsi="Book Antiqua" w:cs="Arial"/>
        </w:rPr>
        <w:t xml:space="preserve">For reasons which shall become clear, it is not necessary for me to set out in detail the decision of the First-tier </w:t>
      </w:r>
      <w:r w:rsidR="006C5149">
        <w:rPr>
          <w:rFonts w:ascii="Book Antiqua" w:hAnsi="Book Antiqua" w:cs="Arial"/>
        </w:rPr>
        <w:t>Tribunal</w:t>
      </w:r>
      <w:r>
        <w:rPr>
          <w:rFonts w:ascii="Book Antiqua" w:hAnsi="Book Antiqua" w:cs="Arial"/>
        </w:rPr>
        <w:t xml:space="preserve"> on the basis that it is agreed between the parties that the Judge erred in law by the way in which the issue of the concession made by the </w:t>
      </w:r>
      <w:r w:rsidR="006C5149">
        <w:rPr>
          <w:rFonts w:ascii="Book Antiqua" w:hAnsi="Book Antiqua" w:cs="Arial"/>
        </w:rPr>
        <w:t>Respondent</w:t>
      </w:r>
      <w:r>
        <w:rPr>
          <w:rFonts w:ascii="Book Antiqua" w:hAnsi="Book Antiqua" w:cs="Arial"/>
        </w:rPr>
        <w:t xml:space="preserve"> was dealt with during the hearing. Whilst other issues were referred to in the grounds, Ms Cleghorn directed her submissions to the grounds where reference was made to the procedural irregularity in the context of the circumstances in which the concession was purportedly withdrawn.</w:t>
      </w:r>
    </w:p>
    <w:p w:rsidR="00B21D04" w:rsidRDefault="001E2CF8" w:rsidP="00F53BA2">
      <w:pPr>
        <w:numPr>
          <w:ilvl w:val="0"/>
          <w:numId w:val="3"/>
        </w:numPr>
        <w:spacing w:before="160"/>
        <w:jc w:val="both"/>
        <w:rPr>
          <w:rFonts w:ascii="Book Antiqua" w:hAnsi="Book Antiqua" w:cs="Arial"/>
        </w:rPr>
      </w:pPr>
      <w:r>
        <w:rPr>
          <w:rFonts w:ascii="Book Antiqua" w:hAnsi="Book Antiqua" w:cs="Arial"/>
        </w:rPr>
        <w:lastRenderedPageBreak/>
        <w:t xml:space="preserve"> In the grant of permission, Upper </w:t>
      </w:r>
      <w:r w:rsidR="006C5149">
        <w:rPr>
          <w:rFonts w:ascii="Book Antiqua" w:hAnsi="Book Antiqua" w:cs="Arial"/>
        </w:rPr>
        <w:t>Tribunal</w:t>
      </w:r>
      <w:r>
        <w:rPr>
          <w:rFonts w:ascii="Book Antiqua" w:hAnsi="Book Antiqua" w:cs="Arial"/>
        </w:rPr>
        <w:t xml:space="preserve"> Coker made a direction for witness statements from the advocates who had been before the FtT </w:t>
      </w:r>
      <w:r w:rsidR="006A1A3A">
        <w:rPr>
          <w:rFonts w:ascii="Book Antiqua" w:hAnsi="Book Antiqua" w:cs="Arial"/>
        </w:rPr>
        <w:t>to be filed and in accordance with that direction</w:t>
      </w:r>
      <w:r>
        <w:rPr>
          <w:rFonts w:ascii="Book Antiqua" w:hAnsi="Book Antiqua" w:cs="Arial"/>
        </w:rPr>
        <w:t xml:space="preserve"> two </w:t>
      </w:r>
      <w:r w:rsidR="006A1A3A">
        <w:rPr>
          <w:rFonts w:ascii="Book Antiqua" w:hAnsi="Book Antiqua" w:cs="Arial"/>
        </w:rPr>
        <w:t>witnesses</w:t>
      </w:r>
      <w:r>
        <w:rPr>
          <w:rFonts w:ascii="Book Antiqua" w:hAnsi="Book Antiqua" w:cs="Arial"/>
        </w:rPr>
        <w:t xml:space="preserve"> statements were filed by Counsel and</w:t>
      </w:r>
      <w:r w:rsidR="006A1A3A">
        <w:rPr>
          <w:rFonts w:ascii="Book Antiqua" w:hAnsi="Book Antiqua" w:cs="Arial"/>
        </w:rPr>
        <w:t xml:space="preserve"> one by the Presenting Officer concerned </w:t>
      </w:r>
      <w:proofErr w:type="gramStart"/>
      <w:r w:rsidR="006A1A3A">
        <w:rPr>
          <w:rFonts w:ascii="Book Antiqua" w:hAnsi="Book Antiqua" w:cs="Arial"/>
        </w:rPr>
        <w:t>( not</w:t>
      </w:r>
      <w:proofErr w:type="gramEnd"/>
      <w:r w:rsidR="006A1A3A">
        <w:rPr>
          <w:rFonts w:ascii="Book Antiqua" w:hAnsi="Book Antiqua" w:cs="Arial"/>
        </w:rPr>
        <w:t xml:space="preserve"> by the advocates before the Upper </w:t>
      </w:r>
      <w:r w:rsidR="006C5149">
        <w:rPr>
          <w:rFonts w:ascii="Book Antiqua" w:hAnsi="Book Antiqua" w:cs="Arial"/>
        </w:rPr>
        <w:t>Tribunal</w:t>
      </w:r>
      <w:r w:rsidR="006A1A3A">
        <w:rPr>
          <w:rFonts w:ascii="Book Antiqua" w:hAnsi="Book Antiqua" w:cs="Arial"/>
        </w:rPr>
        <w:t>).</w:t>
      </w:r>
      <w:r w:rsidR="00F80791">
        <w:rPr>
          <w:rFonts w:ascii="Book Antiqua" w:hAnsi="Book Antiqua" w:cs="Arial"/>
        </w:rPr>
        <w:t xml:space="preserve"> I was also able to hear from Mr Diwncyz who had access to th</w:t>
      </w:r>
      <w:r w:rsidR="00B21D04">
        <w:rPr>
          <w:rFonts w:ascii="Book Antiqua" w:hAnsi="Book Antiqua" w:cs="Arial"/>
        </w:rPr>
        <w:t>e notes on the file and the ROP and from Ms Cleghorn, Counsel now instructed.</w:t>
      </w:r>
    </w:p>
    <w:p w:rsidR="00F80791" w:rsidRPr="004E68D4" w:rsidRDefault="00707291" w:rsidP="00F53BA2">
      <w:pPr>
        <w:numPr>
          <w:ilvl w:val="0"/>
          <w:numId w:val="3"/>
        </w:numPr>
        <w:spacing w:before="160"/>
        <w:rPr>
          <w:rFonts w:ascii="Book Antiqua" w:hAnsi="Book Antiqua"/>
        </w:rPr>
      </w:pPr>
      <w:r>
        <w:rPr>
          <w:rFonts w:ascii="Book Antiqua" w:hAnsi="Book Antiqua" w:cs="Arial"/>
        </w:rPr>
        <w:t xml:space="preserve">The issue </w:t>
      </w:r>
      <w:r w:rsidR="00F80791">
        <w:rPr>
          <w:rFonts w:ascii="Book Antiqua" w:hAnsi="Book Antiqua" w:cs="Arial"/>
        </w:rPr>
        <w:t xml:space="preserve">in the appeal </w:t>
      </w:r>
      <w:r>
        <w:rPr>
          <w:rFonts w:ascii="Book Antiqua" w:hAnsi="Book Antiqua" w:cs="Arial"/>
        </w:rPr>
        <w:t xml:space="preserve">related to that of insurmountable obstacles to family life taking place in Pakistan in the context of the </w:t>
      </w:r>
      <w:r w:rsidR="006C5149">
        <w:rPr>
          <w:rFonts w:ascii="Book Antiqua" w:hAnsi="Book Antiqua" w:cs="Arial"/>
        </w:rPr>
        <w:t>Appellant’s</w:t>
      </w:r>
      <w:r>
        <w:rPr>
          <w:rFonts w:ascii="Book Antiqua" w:hAnsi="Book Antiqua" w:cs="Arial"/>
        </w:rPr>
        <w:t xml:space="preserve"> British citizen wife who had undergone gender reassignment surgery. </w:t>
      </w:r>
      <w:r w:rsidR="00F80791" w:rsidRPr="004E68D4">
        <w:rPr>
          <w:rFonts w:ascii="Book Antiqua" w:hAnsi="Book Antiqua"/>
        </w:rPr>
        <w:t xml:space="preserve">The Supreme Court considered insurmountable obstacles and </w:t>
      </w:r>
      <w:r w:rsidR="00F80791">
        <w:rPr>
          <w:rFonts w:ascii="Book Antiqua" w:hAnsi="Book Antiqua"/>
        </w:rPr>
        <w:t>Article</w:t>
      </w:r>
      <w:r w:rsidR="00F80791" w:rsidRPr="004E68D4">
        <w:rPr>
          <w:rFonts w:ascii="Book Antiqua" w:hAnsi="Book Antiqua"/>
        </w:rPr>
        <w:t xml:space="preserve"> 8 </w:t>
      </w:r>
      <w:r w:rsidR="00F80791" w:rsidRPr="00B63674">
        <w:rPr>
          <w:rFonts w:ascii="Book Antiqua" w:hAnsi="Book Antiqua"/>
        </w:rPr>
        <w:t xml:space="preserve">in </w:t>
      </w:r>
      <w:r w:rsidR="00F80791">
        <w:rPr>
          <w:rFonts w:ascii="Book Antiqua" w:hAnsi="Book Antiqua"/>
        </w:rPr>
        <w:t xml:space="preserve">the decision of </w:t>
      </w:r>
      <w:r w:rsidR="0052481B" w:rsidRPr="00A83DB7">
        <w:rPr>
          <w:rFonts w:ascii="Book Antiqua" w:hAnsi="Book Antiqua"/>
          <w:u w:val="single"/>
        </w:rPr>
        <w:t>R (</w:t>
      </w:r>
      <w:proofErr w:type="spellStart"/>
      <w:r w:rsidR="00F80791" w:rsidRPr="00A83DB7">
        <w:rPr>
          <w:rFonts w:ascii="Book Antiqua" w:hAnsi="Book Antiqua"/>
          <w:u w:val="single"/>
        </w:rPr>
        <w:t>Agyarko</w:t>
      </w:r>
      <w:proofErr w:type="spellEnd"/>
      <w:r w:rsidR="00F80791" w:rsidRPr="00A83DB7">
        <w:rPr>
          <w:rFonts w:ascii="Book Antiqua" w:hAnsi="Book Antiqua"/>
          <w:u w:val="single"/>
        </w:rPr>
        <w:t>) v Secretary of State for the Home Department</w:t>
      </w:r>
      <w:r w:rsidR="00F80791">
        <w:rPr>
          <w:rFonts w:ascii="Book Antiqua" w:hAnsi="Book Antiqua"/>
        </w:rPr>
        <w:t xml:space="preserve"> [2017] UKSC 11. </w:t>
      </w:r>
      <w:r w:rsidR="00F80791" w:rsidRPr="00407BC1">
        <w:rPr>
          <w:rFonts w:ascii="Book Antiqua" w:hAnsi="Book Antiqua"/>
        </w:rPr>
        <w:t>At paragraph 43 the court considered the European jurisprudence and that the “wor.ds "insurmountable obstacles" to be understood in a practical and realistic sense, rather than as referring solely to obstacles which make it literally impossible for the family to live together in the country of origin of the non-national concerned”.</w:t>
      </w:r>
      <w:r w:rsidR="00F80791" w:rsidRPr="00F80791">
        <w:rPr>
          <w:rFonts w:ascii="Book Antiqua" w:hAnsi="Book Antiqua"/>
        </w:rPr>
        <w:t xml:space="preserve"> </w:t>
      </w:r>
      <w:r w:rsidR="00F80791" w:rsidRPr="004E68D4">
        <w:rPr>
          <w:rFonts w:ascii="Book Antiqua" w:hAnsi="Book Antiqua"/>
        </w:rPr>
        <w:t>The Court also found that the requirement must be interpreted in a sensible and practical way and the definition in EX.2 was approved at paragraph [44] as follows:</w:t>
      </w:r>
    </w:p>
    <w:p w:rsidR="00F80791" w:rsidRPr="00F53BA2" w:rsidRDefault="00F80791" w:rsidP="00F53BA2">
      <w:pPr>
        <w:spacing w:before="120"/>
        <w:ind w:left="1134" w:right="567"/>
        <w:rPr>
          <w:rFonts w:ascii="Book Antiqua" w:hAnsi="Book Antiqua"/>
          <w:sz w:val="22"/>
        </w:rPr>
      </w:pPr>
      <w:r w:rsidRPr="00F53BA2">
        <w:rPr>
          <w:rFonts w:ascii="Book Antiqua" w:hAnsi="Book Antiqua"/>
          <w:sz w:val="22"/>
        </w:rPr>
        <w:t>“The expression "insurmountable obstacles" is now defined by paragraph EX.2 as meaning "very significant difficulties which would be faced by the applicant or their partner in continuing their family life together outside the UK and which could not be overcome or would entail very serious hardship for the applicant or their partner."</w:t>
      </w:r>
    </w:p>
    <w:p w:rsidR="00707291" w:rsidRDefault="00707291" w:rsidP="00F53BA2">
      <w:pPr>
        <w:numPr>
          <w:ilvl w:val="0"/>
          <w:numId w:val="3"/>
        </w:numPr>
        <w:spacing w:before="160"/>
        <w:jc w:val="both"/>
        <w:rPr>
          <w:rFonts w:ascii="Book Antiqua" w:hAnsi="Book Antiqua" w:cs="Arial"/>
        </w:rPr>
      </w:pPr>
      <w:r>
        <w:rPr>
          <w:rFonts w:ascii="Book Antiqua" w:hAnsi="Book Antiqua" w:cs="Arial"/>
        </w:rPr>
        <w:t xml:space="preserve">The </w:t>
      </w:r>
      <w:r w:rsidR="006C5149">
        <w:rPr>
          <w:rFonts w:ascii="Book Antiqua" w:hAnsi="Book Antiqua" w:cs="Arial"/>
        </w:rPr>
        <w:t>Respondent’s</w:t>
      </w:r>
      <w:r>
        <w:rPr>
          <w:rFonts w:ascii="Book Antiqua" w:hAnsi="Book Antiqua" w:cs="Arial"/>
        </w:rPr>
        <w:t xml:space="preserve"> position was reflected in the decision letter which in turn was referred to by the judge at [24] in which he set out his reading of the decision letter and its contents. It is clear that this was done at the outset of the hearing as indicated at [24] and from the record of proceedings. The judge clearly indicated that on the reading of the decision letter the </w:t>
      </w:r>
      <w:r w:rsidR="006C5149">
        <w:rPr>
          <w:rFonts w:ascii="Book Antiqua" w:hAnsi="Book Antiqua" w:cs="Arial"/>
        </w:rPr>
        <w:t>Respondent</w:t>
      </w:r>
      <w:r>
        <w:rPr>
          <w:rFonts w:ascii="Book Antiqua" w:hAnsi="Book Antiqua" w:cs="Arial"/>
        </w:rPr>
        <w:t xml:space="preserve"> had accepted that there were insurmountable obstacles to family life continuing outside the UK and that the only issue outstanding was whether the </w:t>
      </w:r>
      <w:r w:rsidR="006C5149">
        <w:rPr>
          <w:rFonts w:ascii="Book Antiqua" w:hAnsi="Book Antiqua" w:cs="Arial"/>
        </w:rPr>
        <w:t>Appellant’s</w:t>
      </w:r>
      <w:r>
        <w:rPr>
          <w:rFonts w:ascii="Book Antiqua" w:hAnsi="Book Antiqua" w:cs="Arial"/>
        </w:rPr>
        <w:t xml:space="preserve"> conduct, which had led him to fall foul of the suitability requirements, was of a </w:t>
      </w:r>
      <w:r w:rsidR="00187B63">
        <w:rPr>
          <w:rFonts w:ascii="Book Antiqua" w:hAnsi="Book Antiqua" w:cs="Arial"/>
        </w:rPr>
        <w:t>“</w:t>
      </w:r>
      <w:r>
        <w:rPr>
          <w:rFonts w:ascii="Book Antiqua" w:hAnsi="Book Antiqua" w:cs="Arial"/>
        </w:rPr>
        <w:t>sufficiently grave nature</w:t>
      </w:r>
      <w:r w:rsidR="00187B63">
        <w:rPr>
          <w:rFonts w:ascii="Book Antiqua" w:hAnsi="Book Antiqua" w:cs="Arial"/>
        </w:rPr>
        <w:t>”</w:t>
      </w:r>
      <w:r>
        <w:rPr>
          <w:rFonts w:ascii="Book Antiqua" w:hAnsi="Book Antiqua" w:cs="Arial"/>
        </w:rPr>
        <w:t xml:space="preserve"> as to require the </w:t>
      </w:r>
      <w:r w:rsidR="006C5149">
        <w:rPr>
          <w:rFonts w:ascii="Book Antiqua" w:hAnsi="Book Antiqua" w:cs="Arial"/>
        </w:rPr>
        <w:t>Appellant</w:t>
      </w:r>
      <w:r>
        <w:rPr>
          <w:rFonts w:ascii="Book Antiqua" w:hAnsi="Book Antiqua" w:cs="Arial"/>
        </w:rPr>
        <w:t xml:space="preserve"> and his wife to live separate lives apart from each other in the UK and in Pakistan respectively. It is plain from that paragraph that the judge roundly rejected the analysis of the presenting officer</w:t>
      </w:r>
      <w:r w:rsidR="00187B63">
        <w:rPr>
          <w:rFonts w:ascii="Book Antiqua" w:hAnsi="Book Antiqua" w:cs="Arial"/>
        </w:rPr>
        <w:t xml:space="preserve"> which the judge</w:t>
      </w:r>
      <w:r w:rsidR="00F80791">
        <w:rPr>
          <w:rFonts w:ascii="Book Antiqua" w:hAnsi="Book Antiqua" w:cs="Arial"/>
        </w:rPr>
        <w:t xml:space="preserve"> found that to be “</w:t>
      </w:r>
      <w:r>
        <w:rPr>
          <w:rFonts w:ascii="Book Antiqua" w:hAnsi="Book Antiqua" w:cs="Arial"/>
        </w:rPr>
        <w:t xml:space="preserve">wholly incompatible with the passages of </w:t>
      </w:r>
      <w:r w:rsidR="00187B63">
        <w:rPr>
          <w:rFonts w:ascii="Book Antiqua" w:hAnsi="Book Antiqua" w:cs="Arial"/>
        </w:rPr>
        <w:t>the refusal letter</w:t>
      </w:r>
      <w:r>
        <w:rPr>
          <w:rFonts w:ascii="Book Antiqua" w:hAnsi="Book Antiqua" w:cs="Arial"/>
        </w:rPr>
        <w:t xml:space="preserve"> I hav</w:t>
      </w:r>
      <w:r w:rsidR="00156281">
        <w:rPr>
          <w:rFonts w:ascii="Book Antiqua" w:hAnsi="Book Antiqua" w:cs="Arial"/>
        </w:rPr>
        <w:t>e quoted at paragraphs 5 and 6</w:t>
      </w:r>
      <w:r>
        <w:rPr>
          <w:rFonts w:ascii="Book Antiqua" w:hAnsi="Book Antiqua" w:cs="Arial"/>
        </w:rPr>
        <w:t>”. He went on to state “any lingering doubt that I may have had about this issue was dispelled when (Counsel) produced a Home Office document in which the decision-maker explained that he had not certified this case are suitable for certification under the non-suspense of appeal provisi</w:t>
      </w:r>
      <w:r w:rsidR="00187B63">
        <w:rPr>
          <w:rFonts w:ascii="Book Antiqua" w:hAnsi="Book Antiqua" w:cs="Arial"/>
        </w:rPr>
        <w:t>ons of section 94 of the 2002 Act</w:t>
      </w:r>
      <w:r>
        <w:rPr>
          <w:rFonts w:ascii="Book Antiqua" w:hAnsi="Book Antiqua" w:cs="Arial"/>
        </w:rPr>
        <w:t xml:space="preserve"> because he was satisfied that family life would be unable to continue in Pakistan.”</w:t>
      </w:r>
    </w:p>
    <w:p w:rsidR="00707291" w:rsidRPr="00B1079D" w:rsidRDefault="00707291" w:rsidP="00F53BA2">
      <w:pPr>
        <w:numPr>
          <w:ilvl w:val="0"/>
          <w:numId w:val="3"/>
        </w:numPr>
        <w:spacing w:before="160"/>
        <w:jc w:val="both"/>
        <w:rPr>
          <w:rFonts w:ascii="Book Antiqua" w:hAnsi="Book Antiqua" w:cs="Arial"/>
        </w:rPr>
      </w:pPr>
      <w:r>
        <w:rPr>
          <w:rFonts w:ascii="Book Antiqua" w:hAnsi="Book Antiqua" w:cs="Arial"/>
        </w:rPr>
        <w:t>As set out in the first witness statement</w:t>
      </w:r>
      <w:r w:rsidR="00156281">
        <w:rPr>
          <w:rFonts w:ascii="Book Antiqua" w:hAnsi="Book Antiqua" w:cs="Arial"/>
        </w:rPr>
        <w:t xml:space="preserve"> of C</w:t>
      </w:r>
      <w:r>
        <w:rPr>
          <w:rFonts w:ascii="Book Antiqua" w:hAnsi="Book Antiqua" w:cs="Arial"/>
        </w:rPr>
        <w:t>ounsel, the presenting officer was asked to confirm that</w:t>
      </w:r>
      <w:r w:rsidR="00156281">
        <w:rPr>
          <w:rFonts w:ascii="Book Antiqua" w:hAnsi="Book Antiqua" w:cs="Arial"/>
        </w:rPr>
        <w:t xml:space="preserve"> and</w:t>
      </w:r>
      <w:r w:rsidR="00B1079D">
        <w:rPr>
          <w:rFonts w:ascii="Book Antiqua" w:hAnsi="Book Antiqua" w:cs="Arial"/>
        </w:rPr>
        <w:t xml:space="preserve"> as the</w:t>
      </w:r>
      <w:r>
        <w:rPr>
          <w:rFonts w:ascii="Book Antiqua" w:hAnsi="Book Antiqua" w:cs="Arial"/>
        </w:rPr>
        <w:t xml:space="preserve"> judge recorded</w:t>
      </w:r>
      <w:r w:rsidR="00B1079D">
        <w:rPr>
          <w:rFonts w:ascii="Book Antiqua" w:hAnsi="Book Antiqua" w:cs="Arial"/>
        </w:rPr>
        <w:t>,</w:t>
      </w:r>
      <w:r>
        <w:rPr>
          <w:rFonts w:ascii="Book Antiqua" w:hAnsi="Book Antiqua" w:cs="Arial"/>
        </w:rPr>
        <w:t xml:space="preserve"> the presenting officer wanted to argue to the contrary. That is consistent with</w:t>
      </w:r>
      <w:r w:rsidR="00156281">
        <w:rPr>
          <w:rFonts w:ascii="Book Antiqua" w:hAnsi="Book Antiqua" w:cs="Arial"/>
        </w:rPr>
        <w:t xml:space="preserve"> Counsel’s</w:t>
      </w:r>
      <w:r>
        <w:rPr>
          <w:rFonts w:ascii="Book Antiqua" w:hAnsi="Book Antiqua" w:cs="Arial"/>
        </w:rPr>
        <w:t xml:space="preserve"> witness statement at paragraph 3. </w:t>
      </w:r>
      <w:r w:rsidR="00B1079D">
        <w:rPr>
          <w:rFonts w:ascii="Book Antiqua" w:hAnsi="Book Antiqua" w:cs="Arial"/>
        </w:rPr>
        <w:t>It is clear that the</w:t>
      </w:r>
      <w:r>
        <w:rPr>
          <w:rFonts w:ascii="Book Antiqua" w:hAnsi="Book Antiqua" w:cs="Arial"/>
        </w:rPr>
        <w:t xml:space="preserve"> judge considered that this amounted to a withdrawal of the concession which he had found had been made in very clear terms as set out in paragraph 24.</w:t>
      </w:r>
      <w:r w:rsidR="00B1079D" w:rsidRPr="00B1079D">
        <w:rPr>
          <w:rFonts w:ascii="Book Antiqua" w:hAnsi="Book Antiqua" w:cs="Arial"/>
        </w:rPr>
        <w:t xml:space="preserve"> </w:t>
      </w:r>
      <w:r w:rsidR="00B1079D">
        <w:rPr>
          <w:rFonts w:ascii="Book Antiqua" w:hAnsi="Book Antiqua" w:cs="Arial"/>
        </w:rPr>
        <w:t xml:space="preserve">The presenting officer in the witness statement </w:t>
      </w:r>
      <w:r w:rsidR="00F80791">
        <w:rPr>
          <w:rFonts w:ascii="Book Antiqua" w:hAnsi="Book Antiqua" w:cs="Arial"/>
        </w:rPr>
        <w:t xml:space="preserve">he had </w:t>
      </w:r>
      <w:r w:rsidR="00B1079D">
        <w:rPr>
          <w:rFonts w:ascii="Book Antiqua" w:hAnsi="Book Antiqua" w:cs="Arial"/>
        </w:rPr>
        <w:t xml:space="preserve">provided could not recall the case </w:t>
      </w:r>
      <w:r w:rsidR="00B1079D">
        <w:rPr>
          <w:rFonts w:ascii="Book Antiqua" w:hAnsi="Book Antiqua" w:cs="Arial"/>
        </w:rPr>
        <w:lastRenderedPageBreak/>
        <w:t>but attached short minutes; none of which referred to the issue of whether or not there was a concession which was withdrawn. Nor does it refer to any discussion as to an adjournment.</w:t>
      </w:r>
    </w:p>
    <w:p w:rsidR="006A1A3A" w:rsidRPr="00FC2B99" w:rsidRDefault="00B1079D" w:rsidP="00F53BA2">
      <w:pPr>
        <w:numPr>
          <w:ilvl w:val="0"/>
          <w:numId w:val="3"/>
        </w:numPr>
        <w:spacing w:before="160"/>
        <w:jc w:val="both"/>
        <w:rPr>
          <w:rFonts w:ascii="Book Antiqua" w:hAnsi="Book Antiqua" w:cs="Arial"/>
        </w:rPr>
      </w:pPr>
      <w:r w:rsidRPr="00B1079D">
        <w:rPr>
          <w:rFonts w:ascii="Book Antiqua" w:hAnsi="Book Antiqua" w:cs="Arial"/>
        </w:rPr>
        <w:t xml:space="preserve">What occurred thereafter is not entirely clear from the witness statements that have been provided. I have not heard any evidence from the authors of those statements </w:t>
      </w:r>
      <w:r w:rsidR="00F80791">
        <w:rPr>
          <w:rFonts w:ascii="Book Antiqua" w:hAnsi="Book Antiqua" w:cs="Arial"/>
        </w:rPr>
        <w:t xml:space="preserve">nor was the judge asked to provide any comment </w:t>
      </w:r>
      <w:r w:rsidRPr="00B1079D">
        <w:rPr>
          <w:rFonts w:ascii="Book Antiqua" w:hAnsi="Book Antiqua" w:cs="Arial"/>
        </w:rPr>
        <w:t>and for reasons that will become clear later on, it is not necessary for me to make any findings in this regard. The judge</w:t>
      </w:r>
      <w:r w:rsidR="00F80791">
        <w:rPr>
          <w:rFonts w:ascii="Book Antiqua" w:hAnsi="Book Antiqua" w:cs="Arial"/>
        </w:rPr>
        <w:t xml:space="preserve"> records that he enquired with C</w:t>
      </w:r>
      <w:r w:rsidRPr="00B1079D">
        <w:rPr>
          <w:rFonts w:ascii="Book Antiqua" w:hAnsi="Book Antiqua" w:cs="Arial"/>
        </w:rPr>
        <w:t xml:space="preserve">ounsel as to whether or not an adjournment was necessary but recorded that she did not raise any specific objections and indicated that the </w:t>
      </w:r>
      <w:r w:rsidR="006C5149">
        <w:rPr>
          <w:rFonts w:ascii="Book Antiqua" w:hAnsi="Book Antiqua" w:cs="Arial"/>
        </w:rPr>
        <w:t>Appellant</w:t>
      </w:r>
      <w:r w:rsidRPr="00B1079D">
        <w:rPr>
          <w:rFonts w:ascii="Book Antiqua" w:hAnsi="Book Antiqua" w:cs="Arial"/>
        </w:rPr>
        <w:t xml:space="preserve"> wanted to proceed without delay which led to the judge at [26] considering that matters could be adequately addressed (although later at paragraphs 42 and 43 he made reference to the lack of background evidence in support). </w:t>
      </w:r>
      <w:r w:rsidR="00187B63">
        <w:rPr>
          <w:rFonts w:ascii="Book Antiqua" w:hAnsi="Book Antiqua" w:cs="Arial"/>
        </w:rPr>
        <w:t>Counsel in the witness statement makes reference to having a conference only prior to the hearing and not thereafter.</w:t>
      </w:r>
      <w:r w:rsidR="00FC2B99">
        <w:rPr>
          <w:rFonts w:ascii="Book Antiqua" w:hAnsi="Book Antiqua" w:cs="Arial"/>
        </w:rPr>
        <w:t xml:space="preserve"> </w:t>
      </w:r>
      <w:r w:rsidRPr="00FC2B99">
        <w:rPr>
          <w:rFonts w:ascii="Book Antiqua" w:hAnsi="Book Antiqua" w:cs="Arial"/>
        </w:rPr>
        <w:t xml:space="preserve">Mr </w:t>
      </w:r>
      <w:proofErr w:type="spellStart"/>
      <w:r w:rsidRPr="00FC2B99">
        <w:rPr>
          <w:rFonts w:ascii="Book Antiqua" w:hAnsi="Book Antiqua" w:cs="Arial"/>
        </w:rPr>
        <w:t>Diwcynz</w:t>
      </w:r>
      <w:proofErr w:type="spellEnd"/>
      <w:r w:rsidRPr="00FC2B99">
        <w:rPr>
          <w:rFonts w:ascii="Book Antiqua" w:hAnsi="Book Antiqua" w:cs="Arial"/>
        </w:rPr>
        <w:t xml:space="preserve"> was able to look at the written notes and confirmed that there was no reference to the hearing being stood down at any point.</w:t>
      </w:r>
    </w:p>
    <w:p w:rsidR="00B1079D" w:rsidRDefault="00B1079D" w:rsidP="00F53BA2">
      <w:pPr>
        <w:numPr>
          <w:ilvl w:val="0"/>
          <w:numId w:val="3"/>
        </w:numPr>
        <w:spacing w:before="160"/>
        <w:jc w:val="both"/>
        <w:rPr>
          <w:rFonts w:ascii="Book Antiqua" w:hAnsi="Book Antiqua" w:cs="Arial"/>
        </w:rPr>
      </w:pPr>
      <w:r>
        <w:rPr>
          <w:rFonts w:ascii="Book Antiqua" w:hAnsi="Book Antiqua" w:cs="Arial"/>
        </w:rPr>
        <w:t xml:space="preserve">It is accepted on behalf of the </w:t>
      </w:r>
      <w:r w:rsidR="006C5149">
        <w:rPr>
          <w:rFonts w:ascii="Book Antiqua" w:hAnsi="Book Antiqua" w:cs="Arial"/>
        </w:rPr>
        <w:t>Respondent</w:t>
      </w:r>
      <w:r>
        <w:rPr>
          <w:rFonts w:ascii="Book Antiqua" w:hAnsi="Book Antiqua" w:cs="Arial"/>
        </w:rPr>
        <w:t xml:space="preserve"> that in the context of an appeal such as this that if any concession made was to be withdrawn </w:t>
      </w:r>
      <w:r w:rsidR="006C5149">
        <w:rPr>
          <w:rFonts w:ascii="Book Antiqua" w:hAnsi="Book Antiqua" w:cs="Arial"/>
        </w:rPr>
        <w:t xml:space="preserve">and </w:t>
      </w:r>
      <w:r>
        <w:rPr>
          <w:rFonts w:ascii="Book Antiqua" w:hAnsi="Book Antiqua" w:cs="Arial"/>
        </w:rPr>
        <w:t xml:space="preserve">which might require further evidence (as the judge made reference to at paragraphs 42 and 43) it would be </w:t>
      </w:r>
      <w:r w:rsidR="006C5149">
        <w:rPr>
          <w:rFonts w:ascii="Book Antiqua" w:hAnsi="Book Antiqua" w:cs="Arial"/>
        </w:rPr>
        <w:t xml:space="preserve">procedurally unfair to continue without further time being given or for further evidence to be provided. </w:t>
      </w:r>
      <w:r>
        <w:rPr>
          <w:rFonts w:ascii="Book Antiqua" w:hAnsi="Book Antiqua" w:cs="Arial"/>
        </w:rPr>
        <w:t xml:space="preserve"> </w:t>
      </w:r>
      <w:proofErr w:type="gramStart"/>
      <w:r>
        <w:rPr>
          <w:rFonts w:ascii="Book Antiqua" w:hAnsi="Book Antiqua" w:cs="Arial"/>
        </w:rPr>
        <w:t>Therefore</w:t>
      </w:r>
      <w:proofErr w:type="gramEnd"/>
      <w:r>
        <w:rPr>
          <w:rFonts w:ascii="Book Antiqua" w:hAnsi="Book Antiqua" w:cs="Arial"/>
        </w:rPr>
        <w:t xml:space="preserve"> the parties were in agreement as to the nature of the error of law on the basis of a procedural </w:t>
      </w:r>
      <w:r w:rsidR="006C5149">
        <w:rPr>
          <w:rFonts w:ascii="Book Antiqua" w:hAnsi="Book Antiqua" w:cs="Arial"/>
        </w:rPr>
        <w:t>irregularity having taken place, however it had occurred.</w:t>
      </w:r>
    </w:p>
    <w:p w:rsidR="00B1079D" w:rsidRDefault="00B1079D" w:rsidP="00F53BA2">
      <w:pPr>
        <w:numPr>
          <w:ilvl w:val="0"/>
          <w:numId w:val="3"/>
        </w:numPr>
        <w:spacing w:before="16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what became clear from the submissions of Mr Diwncyz, as to the remaking of the decision, was that there was a question mark as to whether the presenting officer had in fact withdrawn the concession identified by the judge.</w:t>
      </w:r>
      <w:r w:rsidR="00187B63">
        <w:rPr>
          <w:rFonts w:ascii="Book Antiqua" w:hAnsi="Book Antiqua" w:cs="Arial"/>
        </w:rPr>
        <w:t xml:space="preserve"> He informed the </w:t>
      </w:r>
      <w:r w:rsidR="006C5149">
        <w:rPr>
          <w:rFonts w:ascii="Book Antiqua" w:hAnsi="Book Antiqua" w:cs="Arial"/>
        </w:rPr>
        <w:t>Tribunal</w:t>
      </w:r>
      <w:r>
        <w:rPr>
          <w:rFonts w:ascii="Book Antiqua" w:hAnsi="Book Antiqua" w:cs="Arial"/>
        </w:rPr>
        <w:t xml:space="preserve"> that it was not formally withdrawn by the presenting officer and that it was raised as a preliminary issue but given the vagueness in which it was addressed, it could not have been said that this was a formal withdrawal of the concession. He states that if such a course was adopted it would require a formal withdrawal (usually but not always either prior to the hearing or at least in writing</w:t>
      </w:r>
      <w:r w:rsidR="00187B63">
        <w:rPr>
          <w:rFonts w:ascii="Book Antiqua" w:hAnsi="Book Antiqua" w:cs="Arial"/>
        </w:rPr>
        <w:t>)</w:t>
      </w:r>
      <w:r>
        <w:rPr>
          <w:rFonts w:ascii="Book Antiqua" w:hAnsi="Book Antiqua" w:cs="Arial"/>
        </w:rPr>
        <w:t xml:space="preserve"> at which point it would then trigger</w:t>
      </w:r>
      <w:r w:rsidR="00187B63">
        <w:rPr>
          <w:rFonts w:ascii="Book Antiqua" w:hAnsi="Book Antiqua" w:cs="Arial"/>
        </w:rPr>
        <w:t xml:space="preserve"> a response.</w:t>
      </w:r>
      <w:r>
        <w:rPr>
          <w:rFonts w:ascii="Book Antiqua" w:hAnsi="Book Antiqua" w:cs="Arial"/>
        </w:rPr>
        <w:t xml:space="preserve"> This had not happened here and therefore it could not have been a withdrawal of the concession.</w:t>
      </w:r>
      <w:r w:rsidR="00812CA0">
        <w:rPr>
          <w:rFonts w:ascii="Book Antiqua" w:hAnsi="Book Antiqua" w:cs="Arial"/>
        </w:rPr>
        <w:t xml:space="preserve"> That is consistent with </w:t>
      </w:r>
      <w:proofErr w:type="spellStart"/>
      <w:r w:rsidR="00812CA0" w:rsidRPr="002776F4">
        <w:rPr>
          <w:rFonts w:ascii="Book Antiqua" w:hAnsi="Book Antiqua" w:cs="Arial"/>
          <w:u w:val="single"/>
        </w:rPr>
        <w:t>Kalidas</w:t>
      </w:r>
      <w:proofErr w:type="spellEnd"/>
      <w:r w:rsidR="00812CA0" w:rsidRPr="002776F4">
        <w:rPr>
          <w:rFonts w:ascii="Book Antiqua" w:hAnsi="Book Antiqua" w:cs="Arial"/>
          <w:u w:val="single"/>
        </w:rPr>
        <w:t xml:space="preserve"> (agreed facts-best practice)</w:t>
      </w:r>
      <w:r w:rsidR="00812CA0">
        <w:rPr>
          <w:rFonts w:ascii="Book Antiqua" w:hAnsi="Book Antiqua" w:cs="Arial"/>
        </w:rPr>
        <w:t xml:space="preserve"> [2012] UKUT 0032 where it was stated that the parties should assist the First-tier Tribunal at the CMRH to produce written confirmation of issues agreed or otherwise. </w:t>
      </w:r>
      <w:r>
        <w:rPr>
          <w:rFonts w:ascii="Book Antiqua" w:hAnsi="Book Antiqua" w:cs="Arial"/>
        </w:rPr>
        <w:t xml:space="preserve"> He therefore accepted that the judge’s consideration of this issue at [24] and in the light of his clear findings at [39] when seen in the context of the findings made concerning the suitability requirements, had the concession not been withdrawn or the judge being led to think that it had so been, the appeal would have been allowed.</w:t>
      </w:r>
    </w:p>
    <w:p w:rsidR="00F80791" w:rsidRDefault="00B1079D" w:rsidP="00F53BA2">
      <w:pPr>
        <w:numPr>
          <w:ilvl w:val="0"/>
          <w:numId w:val="3"/>
        </w:numPr>
        <w:spacing w:before="160"/>
        <w:jc w:val="both"/>
        <w:rPr>
          <w:rFonts w:ascii="Book Antiqua" w:hAnsi="Book Antiqua" w:cs="Arial"/>
        </w:rPr>
      </w:pPr>
      <w:r>
        <w:rPr>
          <w:rFonts w:ascii="Book Antiqua" w:hAnsi="Book Antiqua" w:cs="Arial"/>
        </w:rPr>
        <w:t>Ms Cleghorn agreed with that and had provided a copy of the CPIN for Pakistan</w:t>
      </w:r>
      <w:r w:rsidR="00F80791">
        <w:rPr>
          <w:rFonts w:ascii="Book Antiqua" w:hAnsi="Book Antiqua" w:cs="Arial"/>
        </w:rPr>
        <w:t>; sexual orientation and gender identity</w:t>
      </w:r>
      <w:r w:rsidR="006C5149">
        <w:rPr>
          <w:rFonts w:ascii="Book Antiqua" w:hAnsi="Book Antiqua" w:cs="Arial"/>
        </w:rPr>
        <w:t>,</w:t>
      </w:r>
      <w:r w:rsidR="00F80791">
        <w:rPr>
          <w:rFonts w:ascii="Book Antiqua" w:hAnsi="Book Antiqua" w:cs="Arial"/>
        </w:rPr>
        <w:t xml:space="preserve"> which she submitted provided country information concerning the discrimi</w:t>
      </w:r>
      <w:r w:rsidR="00FC2B99">
        <w:rPr>
          <w:rFonts w:ascii="Book Antiqua" w:hAnsi="Book Antiqua" w:cs="Arial"/>
        </w:rPr>
        <w:t>nation, intimidation</w:t>
      </w:r>
      <w:r w:rsidR="00F80791">
        <w:rPr>
          <w:rFonts w:ascii="Book Antiqua" w:hAnsi="Book Antiqua" w:cs="Arial"/>
        </w:rPr>
        <w:t xml:space="preserve"> and abuse faced by the transgender community. She submitted that it was this country information which had supported the </w:t>
      </w:r>
      <w:r w:rsidR="006C5149">
        <w:rPr>
          <w:rFonts w:ascii="Book Antiqua" w:hAnsi="Book Antiqua" w:cs="Arial"/>
        </w:rPr>
        <w:t>Respondent</w:t>
      </w:r>
      <w:r w:rsidR="00F80791">
        <w:rPr>
          <w:rFonts w:ascii="Book Antiqua" w:hAnsi="Book Antiqua" w:cs="Arial"/>
        </w:rPr>
        <w:t xml:space="preserve">s concession. She further submitted that the </w:t>
      </w:r>
      <w:r w:rsidR="006C5149">
        <w:rPr>
          <w:rFonts w:ascii="Book Antiqua" w:hAnsi="Book Antiqua" w:cs="Arial"/>
        </w:rPr>
        <w:t>Appellant</w:t>
      </w:r>
      <w:r w:rsidR="00F80791">
        <w:rPr>
          <w:rFonts w:ascii="Book Antiqua" w:hAnsi="Book Antiqua" w:cs="Arial"/>
        </w:rPr>
        <w:t xml:space="preserve"> had met the English language requirement, and there was a valid certificate to the </w:t>
      </w:r>
      <w:r w:rsidR="00F80791">
        <w:rPr>
          <w:rFonts w:ascii="Book Antiqua" w:hAnsi="Book Antiqua" w:cs="Arial"/>
        </w:rPr>
        <w:lastRenderedPageBreak/>
        <w:t xml:space="preserve">appropriate level within the new papers provided and the financial requirements are also met in the light of the </w:t>
      </w:r>
      <w:r w:rsidR="006C5149">
        <w:rPr>
          <w:rFonts w:ascii="Book Antiqua" w:hAnsi="Book Antiqua" w:cs="Arial"/>
        </w:rPr>
        <w:t>Appellant’s</w:t>
      </w:r>
      <w:r w:rsidR="00F80791">
        <w:rPr>
          <w:rFonts w:ascii="Book Antiqua" w:hAnsi="Book Antiqua" w:cs="Arial"/>
        </w:rPr>
        <w:t xml:space="preserve"> wife’s income set out in the papers including P 60, payslips and employment contract and that in the light of paragraph [39] the appeal should be allowed.</w:t>
      </w:r>
    </w:p>
    <w:p w:rsidR="00F80791" w:rsidRPr="00F80791" w:rsidRDefault="00F80791" w:rsidP="00F53BA2">
      <w:pPr>
        <w:numPr>
          <w:ilvl w:val="0"/>
          <w:numId w:val="3"/>
        </w:numPr>
        <w:spacing w:before="160"/>
        <w:jc w:val="both"/>
        <w:rPr>
          <w:rFonts w:ascii="Book Antiqua" w:hAnsi="Book Antiqua" w:cs="Arial"/>
        </w:rPr>
      </w:pPr>
      <w:r>
        <w:rPr>
          <w:rFonts w:ascii="Book Antiqua" w:hAnsi="Book Antiqua" w:cs="Arial"/>
        </w:rPr>
        <w:t xml:space="preserve">Given the submission of the parties which are in agreement with each other that the correct outcome is for this appeal to be allowed </w:t>
      </w:r>
      <w:r w:rsidR="006C5149">
        <w:rPr>
          <w:rFonts w:ascii="Book Antiqua" w:hAnsi="Book Antiqua" w:cs="Arial"/>
        </w:rPr>
        <w:t xml:space="preserve">I </w:t>
      </w:r>
      <w:r>
        <w:rPr>
          <w:rFonts w:ascii="Book Antiqua" w:hAnsi="Book Antiqua" w:cs="Arial"/>
        </w:rPr>
        <w:t xml:space="preserve">therefore make that order. It was open to the judge for the reasons given at [24] to reach the conclusion that the decision letter did accept that there were insurmountable obstacles of family life continuing outside of the UK and that the issue related to whether the </w:t>
      </w:r>
      <w:r w:rsidR="006C5149">
        <w:rPr>
          <w:rFonts w:ascii="Book Antiqua" w:hAnsi="Book Antiqua" w:cs="Arial"/>
        </w:rPr>
        <w:t>Appellant’s</w:t>
      </w:r>
      <w:r>
        <w:rPr>
          <w:rFonts w:ascii="Book Antiqua" w:hAnsi="Book Antiqua" w:cs="Arial"/>
        </w:rPr>
        <w:t xml:space="preserve"> conduct was of a sufficient degree of gravity as to require the </w:t>
      </w:r>
      <w:r w:rsidR="006C5149">
        <w:rPr>
          <w:rFonts w:ascii="Book Antiqua" w:hAnsi="Book Antiqua" w:cs="Arial"/>
        </w:rPr>
        <w:t>Appellant</w:t>
      </w:r>
      <w:r>
        <w:rPr>
          <w:rFonts w:ascii="Book Antiqua" w:hAnsi="Book Antiqua" w:cs="Arial"/>
        </w:rPr>
        <w:t xml:space="preserve"> and his wife to live separate lives from each other. The judge had the opportunity of hearing the evidence from the </w:t>
      </w:r>
      <w:r w:rsidR="006C5149">
        <w:rPr>
          <w:rFonts w:ascii="Book Antiqua" w:hAnsi="Book Antiqua" w:cs="Arial"/>
        </w:rPr>
        <w:t>Appellant</w:t>
      </w:r>
      <w:r>
        <w:rPr>
          <w:rFonts w:ascii="Book Antiqua" w:hAnsi="Book Antiqua" w:cs="Arial"/>
        </w:rPr>
        <w:t xml:space="preserve"> as to that conduct and at paragraphs [32</w:t>
      </w:r>
      <w:r w:rsidR="006C5149">
        <w:rPr>
          <w:rFonts w:ascii="Book Antiqua" w:hAnsi="Book Antiqua" w:cs="Arial"/>
        </w:rPr>
        <w:t>]</w:t>
      </w:r>
      <w:r>
        <w:rPr>
          <w:rFonts w:ascii="Book Antiqua" w:hAnsi="Book Antiqua" w:cs="Arial"/>
        </w:rPr>
        <w:t xml:space="preserve"> and [33] found against the </w:t>
      </w:r>
      <w:r w:rsidR="006C5149">
        <w:rPr>
          <w:rFonts w:ascii="Book Antiqua" w:hAnsi="Book Antiqua" w:cs="Arial"/>
        </w:rPr>
        <w:t>Appellant</w:t>
      </w:r>
      <w:r>
        <w:rPr>
          <w:rFonts w:ascii="Book Antiqua" w:hAnsi="Book Antiqua" w:cs="Arial"/>
        </w:rPr>
        <w:t xml:space="preserve"> on both of those issues. </w:t>
      </w:r>
      <w:proofErr w:type="gramStart"/>
      <w:r>
        <w:rPr>
          <w:rFonts w:ascii="Book Antiqua" w:hAnsi="Book Antiqua" w:cs="Arial"/>
        </w:rPr>
        <w:t>However</w:t>
      </w:r>
      <w:proofErr w:type="gramEnd"/>
      <w:r>
        <w:rPr>
          <w:rFonts w:ascii="Book Antiqua" w:hAnsi="Book Antiqua" w:cs="Arial"/>
        </w:rPr>
        <w:t xml:space="preserve"> when looking at the issue of proportionality at [39] </w:t>
      </w:r>
      <w:r w:rsidRPr="00F80791">
        <w:rPr>
          <w:rFonts w:ascii="Book Antiqua" w:hAnsi="Book Antiqua" w:cs="Arial"/>
        </w:rPr>
        <w:t xml:space="preserve">the judge stated that he wanted to make it clear that if he was determining the appeal on the basis adopted by the decision maker, that there were insurmountable obstacles </w:t>
      </w:r>
      <w:r w:rsidR="00FC2B99">
        <w:rPr>
          <w:rFonts w:ascii="Book Antiqua" w:hAnsi="Book Antiqua" w:cs="Arial"/>
        </w:rPr>
        <w:t>to family life continuing in</w:t>
      </w:r>
      <w:r w:rsidRPr="00F80791">
        <w:rPr>
          <w:rFonts w:ascii="Book Antiqua" w:hAnsi="Book Antiqua" w:cs="Arial"/>
        </w:rPr>
        <w:t xml:space="preserve"> Pakistan, that he would have had “no hesitation holding that the </w:t>
      </w:r>
      <w:r w:rsidR="006C5149">
        <w:rPr>
          <w:rFonts w:ascii="Book Antiqua" w:hAnsi="Book Antiqua" w:cs="Arial"/>
        </w:rPr>
        <w:t>Appellant’s</w:t>
      </w:r>
      <w:r w:rsidRPr="00F80791">
        <w:rPr>
          <w:rFonts w:ascii="Book Antiqua" w:hAnsi="Book Antiqua" w:cs="Arial"/>
        </w:rPr>
        <w:t xml:space="preserve"> removal would be disproportionate</w:t>
      </w:r>
      <w:r>
        <w:rPr>
          <w:rFonts w:ascii="Book Antiqua" w:hAnsi="Book Antiqua" w:cs="Arial"/>
        </w:rPr>
        <w:t>.” He went on to state “I would have so held notwithstanding the findings that I have made it paragraphs 32 and 33. In my judgement, it would have taken considerably more than failure to disclose three minor convictions and the use of an impersonator in an English language test, each of which occurred several years ago, in order to justify enforced family separation.” He then went on to make reference to the public interest</w:t>
      </w:r>
      <w:r w:rsidR="005B28C3">
        <w:rPr>
          <w:rFonts w:ascii="Book Antiqua" w:hAnsi="Book Antiqua" w:cs="Arial"/>
        </w:rPr>
        <w:t xml:space="preserve"> considerations. </w:t>
      </w:r>
      <w:r>
        <w:rPr>
          <w:rFonts w:ascii="Book Antiqua" w:hAnsi="Book Antiqua" w:cs="Arial"/>
        </w:rPr>
        <w:t>As Mr Diwncyz submits</w:t>
      </w:r>
      <w:r w:rsidR="00FC2B99">
        <w:rPr>
          <w:rFonts w:ascii="Book Antiqua" w:hAnsi="Book Antiqua" w:cs="Arial"/>
        </w:rPr>
        <w:t>,</w:t>
      </w:r>
      <w:r>
        <w:rPr>
          <w:rFonts w:ascii="Book Antiqua" w:hAnsi="Book Antiqua" w:cs="Arial"/>
        </w:rPr>
        <w:t xml:space="preserve"> any reference to a withdrawal of the concession was in error and had this error not occurred, the judge was unequivocal as to the proportionate outcome that he would have reached but for this </w:t>
      </w:r>
      <w:r w:rsidR="00767AE7">
        <w:rPr>
          <w:rFonts w:ascii="Book Antiqua" w:hAnsi="Book Antiqua" w:cs="Arial"/>
        </w:rPr>
        <w:t xml:space="preserve">error as </w:t>
      </w:r>
      <w:r>
        <w:rPr>
          <w:rFonts w:ascii="Book Antiqua" w:hAnsi="Book Antiqua" w:cs="Arial"/>
        </w:rPr>
        <w:t xml:space="preserve">set out above. </w:t>
      </w:r>
      <w:r w:rsidR="005878F7">
        <w:rPr>
          <w:rFonts w:ascii="Book Antiqua" w:hAnsi="Book Antiqua" w:cs="Arial"/>
        </w:rPr>
        <w:t xml:space="preserve">This finding has not been challenged. </w:t>
      </w:r>
      <w:r>
        <w:rPr>
          <w:rFonts w:ascii="Book Antiqua" w:hAnsi="Book Antiqua" w:cs="Arial"/>
        </w:rPr>
        <w:t xml:space="preserve">Whilst the judge made a negative finding at [42] that was principally due to the lack of background country information concerning the government and </w:t>
      </w:r>
      <w:r w:rsidRPr="00F80791">
        <w:rPr>
          <w:rFonts w:ascii="Book Antiqua" w:hAnsi="Book Antiqua" w:cs="Arial"/>
        </w:rPr>
        <w:t>societal attitudes towards the transgender community and this is because the case had proceeded on a different basis from that which was originally considered.</w:t>
      </w:r>
    </w:p>
    <w:p w:rsidR="00F80791" w:rsidRPr="00F80791" w:rsidRDefault="00F80791" w:rsidP="00F53BA2">
      <w:pPr>
        <w:numPr>
          <w:ilvl w:val="0"/>
          <w:numId w:val="3"/>
        </w:numPr>
        <w:spacing w:before="160"/>
        <w:jc w:val="both"/>
        <w:rPr>
          <w:rFonts w:ascii="Book Antiqua" w:hAnsi="Book Antiqua" w:cs="Arial"/>
        </w:rPr>
      </w:pPr>
      <w:r>
        <w:rPr>
          <w:rFonts w:ascii="Book Antiqua" w:hAnsi="Book Antiqua" w:cs="Arial"/>
        </w:rPr>
        <w:t>Given the strong finding made by the judge at [39] and the position adopted by the advocates,</w:t>
      </w:r>
      <w:r w:rsidR="00B21D04">
        <w:rPr>
          <w:rFonts w:ascii="Book Antiqua" w:hAnsi="Book Antiqua" w:cs="Arial"/>
        </w:rPr>
        <w:t xml:space="preserve"> the appropriate and</w:t>
      </w:r>
      <w:r>
        <w:rPr>
          <w:rFonts w:ascii="Book Antiqua" w:hAnsi="Book Antiqua" w:cs="Arial"/>
        </w:rPr>
        <w:t xml:space="preserve"> the just outcome is for the appeal to be allowed.</w:t>
      </w:r>
    </w:p>
    <w:p w:rsidR="009C74C5" w:rsidRPr="009C74C5" w:rsidRDefault="009C74C5" w:rsidP="00F53BA2">
      <w:pPr>
        <w:spacing w:before="160"/>
        <w:ind w:left="567"/>
        <w:jc w:val="both"/>
        <w:rPr>
          <w:rFonts w:ascii="Book Antiqua" w:hAnsi="Book Antiqua" w:cs="Arial"/>
          <w:b/>
          <w:u w:val="single"/>
        </w:rPr>
      </w:pPr>
      <w:r w:rsidRPr="009C74C5">
        <w:rPr>
          <w:rFonts w:ascii="Book Antiqua" w:hAnsi="Book Antiqua" w:cs="Arial"/>
          <w:b/>
          <w:u w:val="single"/>
        </w:rPr>
        <w:t>Decision:</w:t>
      </w:r>
    </w:p>
    <w:p w:rsidR="009C74C5" w:rsidRDefault="009C74C5" w:rsidP="00F53BA2">
      <w:pPr>
        <w:spacing w:before="160"/>
        <w:ind w:left="567"/>
        <w:jc w:val="both"/>
        <w:rPr>
          <w:rFonts w:ascii="Book Antiqua" w:hAnsi="Book Antiqua" w:cs="Arial"/>
        </w:rPr>
      </w:pPr>
      <w:r>
        <w:rPr>
          <w:rFonts w:ascii="Book Antiqua" w:hAnsi="Book Antiqua" w:cs="Arial"/>
        </w:rPr>
        <w:t xml:space="preserve">The decision of the First-tier </w:t>
      </w:r>
      <w:r w:rsidR="006C5149">
        <w:rPr>
          <w:rFonts w:ascii="Book Antiqua" w:hAnsi="Book Antiqua" w:cs="Arial"/>
        </w:rPr>
        <w:t>Tribunal</w:t>
      </w:r>
      <w:r>
        <w:rPr>
          <w:rFonts w:ascii="Book Antiqua" w:hAnsi="Book Antiqua" w:cs="Arial"/>
        </w:rPr>
        <w:t xml:space="preserve"> </w:t>
      </w:r>
      <w:r w:rsidR="000F4508">
        <w:rPr>
          <w:rFonts w:ascii="Book Antiqua" w:hAnsi="Book Antiqua" w:cs="Arial"/>
        </w:rPr>
        <w:t>did</w:t>
      </w:r>
      <w:r w:rsidR="004C0B69">
        <w:rPr>
          <w:rFonts w:ascii="Book Antiqua" w:hAnsi="Book Antiqua" w:cs="Arial"/>
        </w:rPr>
        <w:t xml:space="preserve"> involve</w:t>
      </w:r>
      <w:r>
        <w:rPr>
          <w:rFonts w:ascii="Book Antiqua" w:hAnsi="Book Antiqua" w:cs="Arial"/>
        </w:rPr>
        <w:t xml:space="preserve"> the making of an error on </w:t>
      </w:r>
      <w:r w:rsidR="004C4587">
        <w:rPr>
          <w:rFonts w:ascii="Book Antiqua" w:hAnsi="Book Antiqua" w:cs="Arial"/>
        </w:rPr>
        <w:t xml:space="preserve">a point of </w:t>
      </w:r>
      <w:r w:rsidR="000F4508">
        <w:rPr>
          <w:rFonts w:ascii="Book Antiqua" w:hAnsi="Book Antiqua" w:cs="Arial"/>
        </w:rPr>
        <w:t>law</w:t>
      </w:r>
      <w:r w:rsidR="00407BC1">
        <w:rPr>
          <w:rFonts w:ascii="Book Antiqua" w:hAnsi="Book Antiqua" w:cs="Arial"/>
        </w:rPr>
        <w:t>; it is set aside and re-made</w:t>
      </w:r>
      <w:r w:rsidR="000F4508">
        <w:rPr>
          <w:rFonts w:ascii="Book Antiqua" w:hAnsi="Book Antiqua" w:cs="Arial"/>
        </w:rPr>
        <w:t xml:space="preserve"> and the appea</w:t>
      </w:r>
      <w:r w:rsidR="00407BC1">
        <w:rPr>
          <w:rFonts w:ascii="Book Antiqua" w:hAnsi="Book Antiqua" w:cs="Arial"/>
        </w:rPr>
        <w:t>l is allowed</w:t>
      </w:r>
      <w:r w:rsidR="004C0B69">
        <w:rPr>
          <w:rFonts w:ascii="Book Antiqua" w:hAnsi="Book Antiqua" w:cs="Arial"/>
        </w:rPr>
        <w:t>.</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0E388B" w:rsidRPr="00636DC8">
        <w:rPr>
          <w:rFonts w:ascii="Book Antiqua" w:hAnsi="Book Antiqua"/>
          <w:b/>
          <w:noProof/>
        </w:rPr>
        <w:drawing>
          <wp:inline distT="0" distB="0" distL="0" distR="0">
            <wp:extent cx="130175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750" cy="431800"/>
                    </a:xfrm>
                    <a:prstGeom prst="rect">
                      <a:avLst/>
                    </a:prstGeom>
                    <a:noFill/>
                    <a:ln>
                      <a:noFill/>
                    </a:ln>
                  </pic:spPr>
                </pic:pic>
              </a:graphicData>
            </a:graphic>
          </wp:inline>
        </w:drawing>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407BC1">
        <w:rPr>
          <w:rFonts w:ascii="Book Antiqua" w:hAnsi="Book Antiqua" w:cs="Arial"/>
        </w:rPr>
        <w:t>9</w:t>
      </w:r>
      <w:r w:rsidR="00407BC1" w:rsidRPr="00407BC1">
        <w:rPr>
          <w:rFonts w:ascii="Book Antiqua" w:hAnsi="Book Antiqua" w:cs="Arial"/>
          <w:vertAlign w:val="superscript"/>
        </w:rPr>
        <w:t>th</w:t>
      </w:r>
      <w:r w:rsidR="00407BC1">
        <w:rPr>
          <w:rFonts w:ascii="Book Antiqua" w:hAnsi="Book Antiqua" w:cs="Arial"/>
        </w:rPr>
        <w:t xml:space="preserve"> August</w:t>
      </w:r>
      <w:r w:rsidR="00B2567A">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Upper </w:t>
      </w:r>
      <w:r w:rsidR="006C5149">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p w:rsidR="00963953" w:rsidRDefault="00963953" w:rsidP="000369F5">
      <w:pPr>
        <w:tabs>
          <w:tab w:val="left" w:pos="2520"/>
        </w:tabs>
        <w:jc w:val="both"/>
        <w:rPr>
          <w:rFonts w:ascii="Book Antiqua" w:hAnsi="Book Antiqua" w:cs="Arial"/>
        </w:rPr>
      </w:pPr>
    </w:p>
    <w:sectPr w:rsidR="0096395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F7E" w:rsidRDefault="005F3F7E">
      <w:r>
        <w:separator/>
      </w:r>
    </w:p>
  </w:endnote>
  <w:endnote w:type="continuationSeparator" w:id="0">
    <w:p w:rsidR="005F3F7E" w:rsidRDefault="005F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96AF3">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F7E" w:rsidRDefault="005F3F7E">
      <w:r>
        <w:separator/>
      </w:r>
    </w:p>
  </w:footnote>
  <w:footnote w:type="continuationSeparator" w:id="0">
    <w:p w:rsidR="005F3F7E" w:rsidRDefault="005F3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7D0CFC" w:rsidRDefault="00CE3996" w:rsidP="000369F5">
    <w:pPr>
      <w:pStyle w:val="Header"/>
      <w:tabs>
        <w:tab w:val="clear" w:pos="4153"/>
        <w:tab w:val="clear" w:pos="8306"/>
        <w:tab w:val="right" w:pos="9639"/>
      </w:tabs>
      <w:jc w:val="right"/>
      <w:rPr>
        <w:rFonts w:ascii="Book Antiqua" w:hAnsi="Book Antiqua" w:cs="Arial"/>
        <w:sz w:val="16"/>
        <w:szCs w:val="16"/>
      </w:rPr>
    </w:pPr>
    <w:r w:rsidRPr="007D0CFC">
      <w:rPr>
        <w:rFonts w:ascii="Book Antiqua" w:hAnsi="Book Antiqua" w:cs="Arial"/>
        <w:sz w:val="16"/>
        <w:szCs w:val="16"/>
      </w:rPr>
      <w:t xml:space="preserve">Appeal Number: </w:t>
    </w:r>
    <w:r w:rsidR="00407BC1">
      <w:rPr>
        <w:rFonts w:ascii="Book Antiqua" w:hAnsi="Book Antiqua" w:cs="Arial"/>
        <w:caps/>
        <w:sz w:val="16"/>
        <w:szCs w:val="16"/>
      </w:rPr>
      <w:t>HU/21474</w:t>
    </w:r>
    <w:r w:rsidRPr="007D0CFC">
      <w:rPr>
        <w:rFonts w:ascii="Book Antiqua" w:hAnsi="Book Antiqua" w:cs="Arial"/>
        <w:caps/>
        <w:sz w:val="16"/>
        <w:szCs w:val="16"/>
      </w:rPr>
      <w:t>/201</w:t>
    </w:r>
    <w:r w:rsidR="00713CF8">
      <w:rPr>
        <w:rFonts w:ascii="Book Antiqua" w:hAnsi="Book Antiqua" w:cs="Arial"/>
        <w:caps/>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D72948"/>
    <w:multiLevelType w:val="singleLevel"/>
    <w:tmpl w:val="08090001"/>
    <w:lvl w:ilvl="0">
      <w:start w:val="1"/>
      <w:numFmt w:val="bullet"/>
      <w:lvlText w:val=""/>
      <w:lvlJc w:val="left"/>
      <w:pPr>
        <w:ind w:left="720" w:hanging="360"/>
      </w:pPr>
      <w:rPr>
        <w:rFonts w:ascii="Symbol" w:hAnsi="Symbol"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1006090"/>
    <w:multiLevelType w:val="singleLevel"/>
    <w:tmpl w:val="08090001"/>
    <w:lvl w:ilvl="0">
      <w:start w:val="1"/>
      <w:numFmt w:val="bullet"/>
      <w:lvlText w:val=""/>
      <w:lvlJc w:val="left"/>
      <w:pPr>
        <w:ind w:left="720" w:hanging="360"/>
      </w:pPr>
      <w:rPr>
        <w:rFonts w:ascii="Symbol" w:hAnsi="Symbol"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3C20CF8-E2B9-4CF7-9EB7-290E706EA0C2}"/>
    <w:docVar w:name="dgnword-eventsink" w:val="265419104"/>
  </w:docVars>
  <w:rsids>
    <w:rsidRoot w:val="004F053E"/>
    <w:rsid w:val="00000621"/>
    <w:rsid w:val="00001F88"/>
    <w:rsid w:val="000036C2"/>
    <w:rsid w:val="00023D8C"/>
    <w:rsid w:val="00033D3D"/>
    <w:rsid w:val="00034EDB"/>
    <w:rsid w:val="000369F5"/>
    <w:rsid w:val="00043FB5"/>
    <w:rsid w:val="00067C88"/>
    <w:rsid w:val="00071A7E"/>
    <w:rsid w:val="000746C0"/>
    <w:rsid w:val="00074D1D"/>
    <w:rsid w:val="00074D77"/>
    <w:rsid w:val="00074FB7"/>
    <w:rsid w:val="0007579E"/>
    <w:rsid w:val="00081032"/>
    <w:rsid w:val="00092580"/>
    <w:rsid w:val="000B22F7"/>
    <w:rsid w:val="000B25A9"/>
    <w:rsid w:val="000C2580"/>
    <w:rsid w:val="000C4E01"/>
    <w:rsid w:val="000D01C9"/>
    <w:rsid w:val="000D436D"/>
    <w:rsid w:val="000D5D94"/>
    <w:rsid w:val="000E0CD7"/>
    <w:rsid w:val="000E388B"/>
    <w:rsid w:val="000E4845"/>
    <w:rsid w:val="000E7B48"/>
    <w:rsid w:val="000F4508"/>
    <w:rsid w:val="0010561B"/>
    <w:rsid w:val="00114F8B"/>
    <w:rsid w:val="001165A7"/>
    <w:rsid w:val="001233BA"/>
    <w:rsid w:val="00125219"/>
    <w:rsid w:val="001263E0"/>
    <w:rsid w:val="0014004A"/>
    <w:rsid w:val="00151BB7"/>
    <w:rsid w:val="00156281"/>
    <w:rsid w:val="00167D3A"/>
    <w:rsid w:val="00187B63"/>
    <w:rsid w:val="001A159B"/>
    <w:rsid w:val="001A1E2C"/>
    <w:rsid w:val="001D1159"/>
    <w:rsid w:val="001E2CF8"/>
    <w:rsid w:val="001E381B"/>
    <w:rsid w:val="001E47A5"/>
    <w:rsid w:val="001F1F0A"/>
    <w:rsid w:val="001F2716"/>
    <w:rsid w:val="0020133A"/>
    <w:rsid w:val="00207617"/>
    <w:rsid w:val="00215630"/>
    <w:rsid w:val="002274CA"/>
    <w:rsid w:val="00255071"/>
    <w:rsid w:val="00277513"/>
    <w:rsid w:val="002776F4"/>
    <w:rsid w:val="002821DC"/>
    <w:rsid w:val="00283659"/>
    <w:rsid w:val="00291ECF"/>
    <w:rsid w:val="00296AF3"/>
    <w:rsid w:val="002A1714"/>
    <w:rsid w:val="002A3A92"/>
    <w:rsid w:val="002B1371"/>
    <w:rsid w:val="002C4E73"/>
    <w:rsid w:val="002D56DC"/>
    <w:rsid w:val="002D68BF"/>
    <w:rsid w:val="003011E1"/>
    <w:rsid w:val="00336CBF"/>
    <w:rsid w:val="003505B1"/>
    <w:rsid w:val="003546C8"/>
    <w:rsid w:val="003A7CF2"/>
    <w:rsid w:val="003C5CE5"/>
    <w:rsid w:val="003D2CAA"/>
    <w:rsid w:val="003E267B"/>
    <w:rsid w:val="003E7CD1"/>
    <w:rsid w:val="00402B9E"/>
    <w:rsid w:val="004064D0"/>
    <w:rsid w:val="00407BC1"/>
    <w:rsid w:val="004115F3"/>
    <w:rsid w:val="00423932"/>
    <w:rsid w:val="004249CB"/>
    <w:rsid w:val="00437B5C"/>
    <w:rsid w:val="0044127D"/>
    <w:rsid w:val="004448DB"/>
    <w:rsid w:val="00444CAD"/>
    <w:rsid w:val="00446C9A"/>
    <w:rsid w:val="00464ACF"/>
    <w:rsid w:val="0046742D"/>
    <w:rsid w:val="00477193"/>
    <w:rsid w:val="0049657B"/>
    <w:rsid w:val="004A1848"/>
    <w:rsid w:val="004B25A1"/>
    <w:rsid w:val="004C0B69"/>
    <w:rsid w:val="004C4587"/>
    <w:rsid w:val="004D2791"/>
    <w:rsid w:val="004E50B1"/>
    <w:rsid w:val="004F053E"/>
    <w:rsid w:val="004F438A"/>
    <w:rsid w:val="004F6A57"/>
    <w:rsid w:val="00500121"/>
    <w:rsid w:val="00500C3F"/>
    <w:rsid w:val="00504D0D"/>
    <w:rsid w:val="00507FEC"/>
    <w:rsid w:val="00510F0E"/>
    <w:rsid w:val="0052481B"/>
    <w:rsid w:val="00535953"/>
    <w:rsid w:val="005479E1"/>
    <w:rsid w:val="005549E3"/>
    <w:rsid w:val="005570FD"/>
    <w:rsid w:val="005575EA"/>
    <w:rsid w:val="0057790C"/>
    <w:rsid w:val="00580F82"/>
    <w:rsid w:val="00585E0A"/>
    <w:rsid w:val="005878F7"/>
    <w:rsid w:val="00593795"/>
    <w:rsid w:val="005A4D0E"/>
    <w:rsid w:val="005A75FF"/>
    <w:rsid w:val="005B28C3"/>
    <w:rsid w:val="005B3FF6"/>
    <w:rsid w:val="005B7789"/>
    <w:rsid w:val="005C4825"/>
    <w:rsid w:val="005F330E"/>
    <w:rsid w:val="005F3F7E"/>
    <w:rsid w:val="005F7265"/>
    <w:rsid w:val="00601282"/>
    <w:rsid w:val="00610D5E"/>
    <w:rsid w:val="0062053B"/>
    <w:rsid w:val="00631736"/>
    <w:rsid w:val="00646601"/>
    <w:rsid w:val="006547D6"/>
    <w:rsid w:val="0065791C"/>
    <w:rsid w:val="00677A0E"/>
    <w:rsid w:val="006814B8"/>
    <w:rsid w:val="00681775"/>
    <w:rsid w:val="00683D5E"/>
    <w:rsid w:val="00687DCB"/>
    <w:rsid w:val="00690B8A"/>
    <w:rsid w:val="006A1A3A"/>
    <w:rsid w:val="006A4F69"/>
    <w:rsid w:val="006C5149"/>
    <w:rsid w:val="006D1DFA"/>
    <w:rsid w:val="006D506B"/>
    <w:rsid w:val="006E02E0"/>
    <w:rsid w:val="006E3C90"/>
    <w:rsid w:val="00704B61"/>
    <w:rsid w:val="00707291"/>
    <w:rsid w:val="00707DB1"/>
    <w:rsid w:val="00713CF8"/>
    <w:rsid w:val="00723DEB"/>
    <w:rsid w:val="007325D8"/>
    <w:rsid w:val="007353BB"/>
    <w:rsid w:val="0073609A"/>
    <w:rsid w:val="00736E41"/>
    <w:rsid w:val="00742A8D"/>
    <w:rsid w:val="007552A9"/>
    <w:rsid w:val="00761858"/>
    <w:rsid w:val="00767AE7"/>
    <w:rsid w:val="00767D59"/>
    <w:rsid w:val="00776E97"/>
    <w:rsid w:val="00780FD7"/>
    <w:rsid w:val="007912AD"/>
    <w:rsid w:val="007A1F28"/>
    <w:rsid w:val="007B0824"/>
    <w:rsid w:val="007C28B0"/>
    <w:rsid w:val="007C5368"/>
    <w:rsid w:val="007D0CFC"/>
    <w:rsid w:val="007D7562"/>
    <w:rsid w:val="00812CA0"/>
    <w:rsid w:val="00814196"/>
    <w:rsid w:val="008303B8"/>
    <w:rsid w:val="00833DCE"/>
    <w:rsid w:val="00842418"/>
    <w:rsid w:val="00846666"/>
    <w:rsid w:val="00856FA9"/>
    <w:rsid w:val="008634DB"/>
    <w:rsid w:val="00871D34"/>
    <w:rsid w:val="00877DDB"/>
    <w:rsid w:val="008921D0"/>
    <w:rsid w:val="008B270C"/>
    <w:rsid w:val="008C3D3D"/>
    <w:rsid w:val="008C63D4"/>
    <w:rsid w:val="008D4131"/>
    <w:rsid w:val="008D7C3E"/>
    <w:rsid w:val="008F1932"/>
    <w:rsid w:val="008F294D"/>
    <w:rsid w:val="0091337D"/>
    <w:rsid w:val="00916FA7"/>
    <w:rsid w:val="00921062"/>
    <w:rsid w:val="0092618D"/>
    <w:rsid w:val="00927F03"/>
    <w:rsid w:val="0093083E"/>
    <w:rsid w:val="009510DF"/>
    <w:rsid w:val="00961DC8"/>
    <w:rsid w:val="00963953"/>
    <w:rsid w:val="00966ECF"/>
    <w:rsid w:val="009727A3"/>
    <w:rsid w:val="00974003"/>
    <w:rsid w:val="00975F5B"/>
    <w:rsid w:val="00987774"/>
    <w:rsid w:val="00991DBA"/>
    <w:rsid w:val="009A11E8"/>
    <w:rsid w:val="009B46A6"/>
    <w:rsid w:val="009B6C45"/>
    <w:rsid w:val="009C142A"/>
    <w:rsid w:val="009C1643"/>
    <w:rsid w:val="009C74C5"/>
    <w:rsid w:val="009D2517"/>
    <w:rsid w:val="009E4E62"/>
    <w:rsid w:val="009F5220"/>
    <w:rsid w:val="009F7C4D"/>
    <w:rsid w:val="00A02D08"/>
    <w:rsid w:val="00A15234"/>
    <w:rsid w:val="00A201AB"/>
    <w:rsid w:val="00A23058"/>
    <w:rsid w:val="00A24A8A"/>
    <w:rsid w:val="00A31C8B"/>
    <w:rsid w:val="00A572AF"/>
    <w:rsid w:val="00A57E6A"/>
    <w:rsid w:val="00A75400"/>
    <w:rsid w:val="00A75965"/>
    <w:rsid w:val="00A75B81"/>
    <w:rsid w:val="00A845DC"/>
    <w:rsid w:val="00A97AEE"/>
    <w:rsid w:val="00AC235A"/>
    <w:rsid w:val="00AC5CF6"/>
    <w:rsid w:val="00AD2479"/>
    <w:rsid w:val="00AE68F2"/>
    <w:rsid w:val="00B0096D"/>
    <w:rsid w:val="00B101A4"/>
    <w:rsid w:val="00B1079D"/>
    <w:rsid w:val="00B144FA"/>
    <w:rsid w:val="00B16F58"/>
    <w:rsid w:val="00B21D04"/>
    <w:rsid w:val="00B2567A"/>
    <w:rsid w:val="00B26BAE"/>
    <w:rsid w:val="00B30648"/>
    <w:rsid w:val="00B3524D"/>
    <w:rsid w:val="00B36A26"/>
    <w:rsid w:val="00B40B20"/>
    <w:rsid w:val="00B40F69"/>
    <w:rsid w:val="00B46616"/>
    <w:rsid w:val="00B5034A"/>
    <w:rsid w:val="00B57048"/>
    <w:rsid w:val="00B610E3"/>
    <w:rsid w:val="00B61205"/>
    <w:rsid w:val="00B617C4"/>
    <w:rsid w:val="00B626FA"/>
    <w:rsid w:val="00B7040A"/>
    <w:rsid w:val="00B71277"/>
    <w:rsid w:val="00B768CA"/>
    <w:rsid w:val="00B93FCC"/>
    <w:rsid w:val="00B96FA0"/>
    <w:rsid w:val="00BD4196"/>
    <w:rsid w:val="00BE5270"/>
    <w:rsid w:val="00BE77AA"/>
    <w:rsid w:val="00BF22CA"/>
    <w:rsid w:val="00C06E2D"/>
    <w:rsid w:val="00C26032"/>
    <w:rsid w:val="00C265B0"/>
    <w:rsid w:val="00C312F9"/>
    <w:rsid w:val="00C321B5"/>
    <w:rsid w:val="00C345E1"/>
    <w:rsid w:val="00C423C9"/>
    <w:rsid w:val="00C44EFB"/>
    <w:rsid w:val="00C753EE"/>
    <w:rsid w:val="00C77259"/>
    <w:rsid w:val="00C81B5E"/>
    <w:rsid w:val="00C94CDD"/>
    <w:rsid w:val="00C977BA"/>
    <w:rsid w:val="00CB4A10"/>
    <w:rsid w:val="00CB6E35"/>
    <w:rsid w:val="00CB6E42"/>
    <w:rsid w:val="00CC3436"/>
    <w:rsid w:val="00CC58F2"/>
    <w:rsid w:val="00CC6E9E"/>
    <w:rsid w:val="00CE1A46"/>
    <w:rsid w:val="00CE26B2"/>
    <w:rsid w:val="00CE3996"/>
    <w:rsid w:val="00CE5122"/>
    <w:rsid w:val="00CF253F"/>
    <w:rsid w:val="00CF56B4"/>
    <w:rsid w:val="00CF7EAD"/>
    <w:rsid w:val="00D162DB"/>
    <w:rsid w:val="00D20F09"/>
    <w:rsid w:val="00D22636"/>
    <w:rsid w:val="00D40FD9"/>
    <w:rsid w:val="00D46358"/>
    <w:rsid w:val="00D5124A"/>
    <w:rsid w:val="00D53769"/>
    <w:rsid w:val="00D60827"/>
    <w:rsid w:val="00D65912"/>
    <w:rsid w:val="00D85705"/>
    <w:rsid w:val="00D85C13"/>
    <w:rsid w:val="00D91BE3"/>
    <w:rsid w:val="00D923E0"/>
    <w:rsid w:val="00D94AFC"/>
    <w:rsid w:val="00DA084F"/>
    <w:rsid w:val="00DB70AE"/>
    <w:rsid w:val="00DB7231"/>
    <w:rsid w:val="00DD446E"/>
    <w:rsid w:val="00DD5071"/>
    <w:rsid w:val="00DD5C39"/>
    <w:rsid w:val="00DD7755"/>
    <w:rsid w:val="00DE26AF"/>
    <w:rsid w:val="00DE4D7B"/>
    <w:rsid w:val="00DE7DB7"/>
    <w:rsid w:val="00DF1F91"/>
    <w:rsid w:val="00E00A0A"/>
    <w:rsid w:val="00E07F57"/>
    <w:rsid w:val="00E1040E"/>
    <w:rsid w:val="00E1193E"/>
    <w:rsid w:val="00E16A2B"/>
    <w:rsid w:val="00E23B71"/>
    <w:rsid w:val="00E50BCE"/>
    <w:rsid w:val="00E61292"/>
    <w:rsid w:val="00E71567"/>
    <w:rsid w:val="00E76309"/>
    <w:rsid w:val="00E77C4D"/>
    <w:rsid w:val="00E81D01"/>
    <w:rsid w:val="00E93FDA"/>
    <w:rsid w:val="00EA4C45"/>
    <w:rsid w:val="00EE1C39"/>
    <w:rsid w:val="00EE45D8"/>
    <w:rsid w:val="00F004CD"/>
    <w:rsid w:val="00F02062"/>
    <w:rsid w:val="00F0479F"/>
    <w:rsid w:val="00F05008"/>
    <w:rsid w:val="00F22A22"/>
    <w:rsid w:val="00F22EDA"/>
    <w:rsid w:val="00F3224D"/>
    <w:rsid w:val="00F33E0E"/>
    <w:rsid w:val="00F53BA2"/>
    <w:rsid w:val="00F5664C"/>
    <w:rsid w:val="00F574B1"/>
    <w:rsid w:val="00F7453B"/>
    <w:rsid w:val="00F80791"/>
    <w:rsid w:val="00FA2A3A"/>
    <w:rsid w:val="00FB7E80"/>
    <w:rsid w:val="00FC2B99"/>
    <w:rsid w:val="00FC55CF"/>
    <w:rsid w:val="00FC71EC"/>
    <w:rsid w:val="00FD68EC"/>
    <w:rsid w:val="00FE2B22"/>
    <w:rsid w:val="00FE304F"/>
    <w:rsid w:val="00FE4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6984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6E02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2411</Words>
  <Characters>11835</Characters>
  <Application>Microsoft Office Word</Application>
  <DocSecurity>0</DocSecurity>
  <Lines>98</Lines>
  <Paragraphs>28</Paragraphs>
  <ScaleCrop>false</ScaleCrop>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2018-09-05T12:11:00Z</dcterms:created>
  <dcterms:modified xsi:type="dcterms:W3CDTF">2018-09-05T12:11:00Z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