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DAD0" w14:textId="2689D8E4" w:rsidR="00D94AFC" w:rsidRPr="009E5381" w:rsidRDefault="00D76573" w:rsidP="009E5381">
      <w:pPr>
        <w:jc w:val="center"/>
        <w:rPr>
          <w:rFonts w:ascii="Book Antiqua" w:hAnsi="Book Antiqua" w:cs="Arial"/>
          <w:caps/>
          <w:color w:val="000000"/>
          <w:sz w:val="16"/>
          <w:szCs w:val="16"/>
        </w:rPr>
      </w:pPr>
      <w:r>
        <w:rPr>
          <w:noProof/>
        </w:rPr>
        <w:drawing>
          <wp:inline distT="0" distB="0" distL="0" distR="0" wp14:anchorId="456DA822" wp14:editId="0C9BAD54">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32203E59" w14:textId="29AB32D3"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12D38B52" w14:textId="77777777" w:rsidR="0097497A" w:rsidRDefault="0050388A" w:rsidP="0097497A">
      <w:pPr>
        <w:tabs>
          <w:tab w:val="right" w:pos="9720"/>
        </w:tabs>
        <w:ind w:right="-82"/>
        <w:jc w:val="right"/>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4B139B">
        <w:rPr>
          <w:rFonts w:ascii="Book Antiqua" w:hAnsi="Book Antiqua" w:cs="Arial"/>
          <w:color w:val="000000"/>
        </w:rPr>
        <w:t>s</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97497A">
        <w:rPr>
          <w:rFonts w:ascii="Book Antiqua" w:hAnsi="Book Antiqua" w:cs="Arial"/>
          <w:caps/>
          <w:color w:val="000000"/>
        </w:rPr>
        <w:t>HU/21671/2016</w:t>
      </w:r>
      <w:bookmarkEnd w:id="0"/>
    </w:p>
    <w:p w14:paraId="43C64A65" w14:textId="5876EF94" w:rsidR="004B139B" w:rsidRDefault="004B139B" w:rsidP="004B139B">
      <w:pPr>
        <w:tabs>
          <w:tab w:val="right" w:pos="9720"/>
        </w:tabs>
        <w:ind w:right="-82"/>
        <w:jc w:val="right"/>
        <w:rPr>
          <w:rFonts w:ascii="Book Antiqua" w:hAnsi="Book Antiqua" w:cs="Arial"/>
          <w:caps/>
          <w:color w:val="000000"/>
        </w:rPr>
      </w:pPr>
      <w:r>
        <w:rPr>
          <w:rFonts w:ascii="Book Antiqua" w:hAnsi="Book Antiqua" w:cs="Arial"/>
          <w:caps/>
          <w:color w:val="000000"/>
        </w:rPr>
        <w:t>HU/22512/2016</w:t>
      </w:r>
    </w:p>
    <w:p w14:paraId="14E38A6A" w14:textId="3B460D61" w:rsidR="00C5271A" w:rsidRDefault="00C5271A" w:rsidP="00C5271A">
      <w:pPr>
        <w:tabs>
          <w:tab w:val="right" w:pos="9720"/>
        </w:tabs>
        <w:ind w:right="-82"/>
        <w:jc w:val="right"/>
        <w:rPr>
          <w:rFonts w:ascii="Book Antiqua" w:hAnsi="Book Antiqua" w:cs="Arial"/>
          <w:caps/>
          <w:color w:val="000000"/>
        </w:rPr>
      </w:pPr>
      <w:r>
        <w:rPr>
          <w:rFonts w:ascii="Book Antiqua" w:hAnsi="Book Antiqua" w:cs="Arial"/>
          <w:caps/>
          <w:color w:val="000000"/>
        </w:rPr>
        <w:t>HU/22496/2016</w:t>
      </w:r>
    </w:p>
    <w:p w14:paraId="1A04AF5B" w14:textId="3A640387" w:rsidR="007B0824" w:rsidRPr="004B139B" w:rsidRDefault="004B139B" w:rsidP="004B139B">
      <w:pPr>
        <w:tabs>
          <w:tab w:val="right" w:pos="9720"/>
        </w:tabs>
        <w:ind w:right="-82"/>
        <w:jc w:val="right"/>
        <w:rPr>
          <w:rFonts w:ascii="Book Antiqua" w:hAnsi="Book Antiqua" w:cs="Arial"/>
          <w:color w:val="000000"/>
        </w:rPr>
      </w:pPr>
      <w:r>
        <w:rPr>
          <w:rFonts w:ascii="Book Antiqua" w:hAnsi="Book Antiqua" w:cs="Arial"/>
          <w:caps/>
          <w:color w:val="000000"/>
        </w:rPr>
        <w:t>HU/22506/2016</w:t>
      </w:r>
    </w:p>
    <w:p w14:paraId="51D26D5F" w14:textId="78D0B8AD" w:rsidR="00C345E1" w:rsidRPr="00AE6DDE" w:rsidRDefault="00C345E1" w:rsidP="004B139B">
      <w:pPr>
        <w:rPr>
          <w:rFonts w:ascii="Book Antiqua" w:hAnsi="Book Antiqua" w:cs="Arial"/>
          <w:color w:val="000000"/>
        </w:rPr>
      </w:pPr>
    </w:p>
    <w:p w14:paraId="10BAA803"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63CC2E0A" w14:textId="77777777" w:rsidR="00C345E1" w:rsidRPr="00AE6DDE" w:rsidRDefault="00C345E1" w:rsidP="00C345E1">
      <w:pPr>
        <w:jc w:val="center"/>
        <w:rPr>
          <w:rFonts w:ascii="Book Antiqua" w:hAnsi="Book Antiqua" w:cs="Arial"/>
          <w:b/>
          <w:u w:val="single"/>
        </w:rPr>
      </w:pPr>
    </w:p>
    <w:p w14:paraId="2B0F2341" w14:textId="77777777" w:rsidR="00C345E1" w:rsidRPr="00AE6DDE" w:rsidRDefault="00C345E1" w:rsidP="00C345E1">
      <w:pPr>
        <w:jc w:val="center"/>
        <w:rPr>
          <w:rFonts w:ascii="Book Antiqua" w:hAnsi="Book Antiqua" w:cs="Arial"/>
          <w:b/>
          <w:u w:val="single"/>
        </w:rPr>
      </w:pPr>
    </w:p>
    <w:tbl>
      <w:tblPr>
        <w:tblStyle w:val="TableGrid"/>
        <w:tblW w:w="9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21"/>
        <w:gridCol w:w="4016"/>
      </w:tblGrid>
      <w:tr w:rsidR="00D22636" w:rsidRPr="00AE6DDE" w14:paraId="44FCC692" w14:textId="77777777" w:rsidTr="009A500E">
        <w:trPr>
          <w:trHeight w:val="269"/>
        </w:trPr>
        <w:tc>
          <w:tcPr>
            <w:tcW w:w="5921" w:type="dxa"/>
          </w:tcPr>
          <w:p w14:paraId="7EC8447C" w14:textId="30352E46"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4B139B">
              <w:rPr>
                <w:rFonts w:ascii="Book Antiqua" w:hAnsi="Book Antiqua" w:cs="Arial"/>
                <w:b/>
              </w:rPr>
              <w:t>Field House</w:t>
            </w:r>
          </w:p>
        </w:tc>
        <w:tc>
          <w:tcPr>
            <w:tcW w:w="4016" w:type="dxa"/>
          </w:tcPr>
          <w:p w14:paraId="63F83B03"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036D540C" w14:textId="77777777" w:rsidTr="009A500E">
        <w:trPr>
          <w:trHeight w:val="283"/>
        </w:trPr>
        <w:tc>
          <w:tcPr>
            <w:tcW w:w="5921" w:type="dxa"/>
          </w:tcPr>
          <w:p w14:paraId="305A98C5" w14:textId="3FECF6EC"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4B139B">
              <w:rPr>
                <w:rFonts w:ascii="Book Antiqua" w:hAnsi="Book Antiqua" w:cs="Arial"/>
                <w:b/>
              </w:rPr>
              <w:t>5 September 2018</w:t>
            </w:r>
          </w:p>
        </w:tc>
        <w:tc>
          <w:tcPr>
            <w:tcW w:w="4016" w:type="dxa"/>
          </w:tcPr>
          <w:p w14:paraId="1EA38D38" w14:textId="4A5D6AB7" w:rsidR="00D22636" w:rsidRPr="00AE6DDE" w:rsidRDefault="009A500E" w:rsidP="004A1848">
            <w:pPr>
              <w:jc w:val="both"/>
              <w:rPr>
                <w:rFonts w:ascii="Book Antiqua" w:hAnsi="Book Antiqua" w:cs="Arial"/>
                <w:b/>
              </w:rPr>
            </w:pPr>
            <w:r>
              <w:rPr>
                <w:rFonts w:ascii="Book Antiqua" w:hAnsi="Book Antiqua" w:cs="Arial"/>
                <w:b/>
              </w:rPr>
              <w:t>On 11 September 2018</w:t>
            </w:r>
          </w:p>
        </w:tc>
      </w:tr>
      <w:tr w:rsidR="00D22636" w:rsidRPr="00AE6DDE" w14:paraId="515B586C" w14:textId="77777777" w:rsidTr="009A500E">
        <w:trPr>
          <w:trHeight w:val="269"/>
        </w:trPr>
        <w:tc>
          <w:tcPr>
            <w:tcW w:w="5921" w:type="dxa"/>
          </w:tcPr>
          <w:p w14:paraId="143DF467" w14:textId="77777777" w:rsidR="00D22636" w:rsidRPr="00AE6DDE" w:rsidRDefault="00D22636" w:rsidP="004A1848">
            <w:pPr>
              <w:jc w:val="both"/>
              <w:rPr>
                <w:rFonts w:ascii="Book Antiqua" w:hAnsi="Book Antiqua" w:cs="Arial"/>
                <w:b/>
              </w:rPr>
            </w:pPr>
          </w:p>
        </w:tc>
        <w:tc>
          <w:tcPr>
            <w:tcW w:w="4016" w:type="dxa"/>
          </w:tcPr>
          <w:p w14:paraId="27D5D50F" w14:textId="7CD3DD99" w:rsidR="00D22636" w:rsidRPr="00AE6DDE" w:rsidRDefault="00D22636" w:rsidP="004A1848">
            <w:pPr>
              <w:jc w:val="both"/>
              <w:rPr>
                <w:rFonts w:ascii="Book Antiqua" w:hAnsi="Book Antiqua" w:cs="Arial"/>
                <w:b/>
              </w:rPr>
            </w:pPr>
          </w:p>
        </w:tc>
      </w:tr>
    </w:tbl>
    <w:p w14:paraId="385BF503" w14:textId="77777777" w:rsidR="00A15234" w:rsidRPr="00AE6DDE" w:rsidRDefault="00A15234" w:rsidP="009E5381">
      <w:pPr>
        <w:rPr>
          <w:rFonts w:ascii="Book Antiqua" w:hAnsi="Book Antiqua" w:cs="Arial"/>
        </w:rPr>
      </w:pPr>
    </w:p>
    <w:p w14:paraId="3AD33C65" w14:textId="77777777" w:rsidR="00A15234" w:rsidRPr="00AE6DDE" w:rsidRDefault="00A15234" w:rsidP="00A15234">
      <w:pPr>
        <w:jc w:val="center"/>
        <w:rPr>
          <w:rFonts w:ascii="Book Antiqua" w:hAnsi="Book Antiqua" w:cs="Arial"/>
        </w:rPr>
      </w:pPr>
    </w:p>
    <w:p w14:paraId="54C0D365"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047AA854" w14:textId="77777777" w:rsidR="00A15234" w:rsidRPr="00AE6DDE" w:rsidRDefault="00A15234" w:rsidP="00A15234">
      <w:pPr>
        <w:jc w:val="center"/>
        <w:rPr>
          <w:rFonts w:ascii="Book Antiqua" w:hAnsi="Book Antiqua" w:cs="Arial"/>
          <w:b/>
        </w:rPr>
      </w:pPr>
    </w:p>
    <w:p w14:paraId="709861CC" w14:textId="77777777"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14:paraId="3D784037" w14:textId="6AE8995B" w:rsidR="00A845DC" w:rsidRDefault="00A845DC" w:rsidP="00A15234">
      <w:pPr>
        <w:jc w:val="center"/>
        <w:rPr>
          <w:rFonts w:ascii="Book Antiqua" w:hAnsi="Book Antiqua" w:cs="Arial"/>
          <w:b/>
          <w:color w:val="000000"/>
        </w:rPr>
      </w:pPr>
    </w:p>
    <w:p w14:paraId="785017E4" w14:textId="77777777" w:rsidR="004B139B" w:rsidRPr="00AE6DDE" w:rsidRDefault="004B139B" w:rsidP="00A15234">
      <w:pPr>
        <w:jc w:val="center"/>
        <w:rPr>
          <w:rFonts w:ascii="Book Antiqua" w:hAnsi="Book Antiqua" w:cs="Arial"/>
          <w:b/>
        </w:rPr>
      </w:pPr>
    </w:p>
    <w:p w14:paraId="49445DD0"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5ECFDA9D" w14:textId="77777777" w:rsidR="00A845DC" w:rsidRPr="00AE6DDE" w:rsidRDefault="00A845DC" w:rsidP="00A15234">
      <w:pPr>
        <w:jc w:val="center"/>
        <w:rPr>
          <w:rFonts w:ascii="Book Antiqua" w:hAnsi="Book Antiqua" w:cs="Arial"/>
          <w:b/>
        </w:rPr>
      </w:pPr>
    </w:p>
    <w:p w14:paraId="284455A2" w14:textId="4264B4A3" w:rsidR="004B139B" w:rsidRDefault="0090194E" w:rsidP="00A15234">
      <w:pPr>
        <w:jc w:val="center"/>
        <w:rPr>
          <w:rFonts w:ascii="Book Antiqua" w:hAnsi="Book Antiqua" w:cs="Arial"/>
          <w:b/>
          <w:caps/>
        </w:rPr>
      </w:pPr>
      <w:r w:rsidRPr="004B139B">
        <w:rPr>
          <w:rFonts w:ascii="Book Antiqua" w:hAnsi="Book Antiqua" w:cs="Arial"/>
          <w:b/>
          <w:caps/>
        </w:rPr>
        <w:t>Ouafia</w:t>
      </w:r>
      <w:r>
        <w:rPr>
          <w:rFonts w:ascii="Book Antiqua" w:hAnsi="Book Antiqua" w:cs="Arial"/>
          <w:b/>
          <w:caps/>
        </w:rPr>
        <w:t xml:space="preserve"> </w:t>
      </w:r>
      <w:r w:rsidR="002E7954">
        <w:rPr>
          <w:rFonts w:ascii="Book Antiqua" w:hAnsi="Book Antiqua" w:cs="Arial"/>
          <w:b/>
          <w:caps/>
        </w:rPr>
        <w:t>[</w:t>
      </w:r>
      <w:r w:rsidRPr="004B139B">
        <w:rPr>
          <w:rFonts w:ascii="Book Antiqua" w:hAnsi="Book Antiqua" w:cs="Arial"/>
          <w:b/>
          <w:caps/>
        </w:rPr>
        <w:t>I</w:t>
      </w:r>
      <w:r w:rsidR="002E7954">
        <w:rPr>
          <w:rFonts w:ascii="Book Antiqua" w:hAnsi="Book Antiqua" w:cs="Arial"/>
          <w:b/>
          <w:caps/>
        </w:rPr>
        <w:t xml:space="preserve">] </w:t>
      </w:r>
      <w:r w:rsidR="004B139B">
        <w:rPr>
          <w:rFonts w:ascii="Book Antiqua" w:hAnsi="Book Antiqua" w:cs="Arial"/>
          <w:b/>
          <w:caps/>
        </w:rPr>
        <w:t>(first appellant)</w:t>
      </w:r>
    </w:p>
    <w:p w14:paraId="6702A202" w14:textId="289D2B74" w:rsidR="00A845DC" w:rsidRDefault="0090194E" w:rsidP="00A15234">
      <w:pPr>
        <w:jc w:val="center"/>
        <w:rPr>
          <w:rFonts w:ascii="Book Antiqua" w:hAnsi="Book Antiqua" w:cs="Arial"/>
          <w:b/>
          <w:caps/>
        </w:rPr>
      </w:pPr>
      <w:r w:rsidRPr="004B139B">
        <w:rPr>
          <w:rFonts w:ascii="Book Antiqua" w:hAnsi="Book Antiqua" w:cs="Arial"/>
          <w:b/>
          <w:caps/>
        </w:rPr>
        <w:t xml:space="preserve">Hachemi </w:t>
      </w:r>
      <w:r w:rsidR="002E7954">
        <w:rPr>
          <w:rFonts w:ascii="Book Antiqua" w:hAnsi="Book Antiqua" w:cs="Arial"/>
          <w:b/>
          <w:caps/>
        </w:rPr>
        <w:t>[</w:t>
      </w:r>
      <w:r w:rsidRPr="004B139B">
        <w:rPr>
          <w:rFonts w:ascii="Book Antiqua" w:hAnsi="Book Antiqua" w:cs="Arial"/>
          <w:b/>
          <w:caps/>
        </w:rPr>
        <w:t>M</w:t>
      </w:r>
      <w:r w:rsidR="002E7954">
        <w:rPr>
          <w:rFonts w:ascii="Book Antiqua" w:hAnsi="Book Antiqua" w:cs="Arial"/>
          <w:b/>
          <w:caps/>
        </w:rPr>
        <w:t xml:space="preserve">] </w:t>
      </w:r>
      <w:r w:rsidR="004B139B">
        <w:rPr>
          <w:rFonts w:ascii="Book Antiqua" w:hAnsi="Book Antiqua" w:cs="Arial"/>
          <w:b/>
          <w:caps/>
        </w:rPr>
        <w:t>(</w:t>
      </w:r>
      <w:r w:rsidR="00464DB3">
        <w:rPr>
          <w:rFonts w:ascii="Book Antiqua" w:hAnsi="Book Antiqua" w:cs="Arial"/>
          <w:b/>
          <w:caps/>
        </w:rPr>
        <w:t>second</w:t>
      </w:r>
      <w:r w:rsidR="004B139B">
        <w:rPr>
          <w:rFonts w:ascii="Book Antiqua" w:hAnsi="Book Antiqua" w:cs="Arial"/>
          <w:b/>
          <w:caps/>
        </w:rPr>
        <w:t xml:space="preserve"> appellant)</w:t>
      </w:r>
    </w:p>
    <w:p w14:paraId="2C0A636B" w14:textId="0ACA3244" w:rsidR="004B139B" w:rsidRDefault="002E7954" w:rsidP="00A15234">
      <w:pPr>
        <w:jc w:val="center"/>
        <w:rPr>
          <w:rFonts w:ascii="Book Antiqua" w:hAnsi="Book Antiqua" w:cs="Arial"/>
          <w:b/>
          <w:caps/>
        </w:rPr>
      </w:pPr>
      <w:r>
        <w:rPr>
          <w:rFonts w:ascii="Book Antiqua" w:hAnsi="Book Antiqua" w:cs="Arial"/>
          <w:b/>
          <w:caps/>
        </w:rPr>
        <w:t>[</w:t>
      </w:r>
      <w:r w:rsidR="00464DB3">
        <w:rPr>
          <w:rFonts w:ascii="Book Antiqua" w:hAnsi="Book Antiqua" w:cs="Arial"/>
          <w:b/>
          <w:caps/>
        </w:rPr>
        <w:t>l</w:t>
      </w:r>
      <w:r>
        <w:rPr>
          <w:rFonts w:ascii="Book Antiqua" w:hAnsi="Book Antiqua" w:cs="Arial"/>
          <w:b/>
          <w:caps/>
        </w:rPr>
        <w:t xml:space="preserve"> </w:t>
      </w:r>
      <w:r w:rsidR="00464DB3">
        <w:rPr>
          <w:rFonts w:ascii="Book Antiqua" w:hAnsi="Book Antiqua" w:cs="Arial"/>
          <w:b/>
          <w:caps/>
        </w:rPr>
        <w:t>z</w:t>
      </w:r>
      <w:r>
        <w:rPr>
          <w:rFonts w:ascii="Book Antiqua" w:hAnsi="Book Antiqua" w:cs="Arial"/>
          <w:b/>
          <w:caps/>
        </w:rPr>
        <w:t xml:space="preserve">] </w:t>
      </w:r>
      <w:r w:rsidR="00464DB3">
        <w:rPr>
          <w:rFonts w:ascii="Book Antiqua" w:hAnsi="Book Antiqua" w:cs="Arial"/>
          <w:b/>
          <w:caps/>
        </w:rPr>
        <w:t>(third appellant)</w:t>
      </w:r>
    </w:p>
    <w:p w14:paraId="0EBFC766" w14:textId="55A05275" w:rsidR="00464DB3" w:rsidRDefault="002E7954" w:rsidP="00A15234">
      <w:pPr>
        <w:jc w:val="center"/>
        <w:rPr>
          <w:rFonts w:ascii="Book Antiqua" w:hAnsi="Book Antiqua" w:cs="Arial"/>
          <w:b/>
          <w:caps/>
        </w:rPr>
      </w:pPr>
      <w:r>
        <w:rPr>
          <w:rFonts w:ascii="Book Antiqua" w:hAnsi="Book Antiqua" w:cs="Arial"/>
          <w:b/>
          <w:caps/>
        </w:rPr>
        <w:t>[</w:t>
      </w:r>
      <w:r w:rsidR="00464DB3" w:rsidRPr="00464DB3">
        <w:rPr>
          <w:rFonts w:ascii="Book Antiqua" w:hAnsi="Book Antiqua" w:cs="Arial"/>
          <w:b/>
          <w:caps/>
        </w:rPr>
        <w:t>M</w:t>
      </w:r>
      <w:r>
        <w:rPr>
          <w:rFonts w:ascii="Book Antiqua" w:hAnsi="Book Antiqua" w:cs="Arial"/>
          <w:b/>
          <w:caps/>
        </w:rPr>
        <w:t xml:space="preserve"> </w:t>
      </w:r>
      <w:r w:rsidR="00464DB3">
        <w:rPr>
          <w:rFonts w:ascii="Book Antiqua" w:hAnsi="Book Antiqua" w:cs="Arial"/>
          <w:b/>
          <w:caps/>
        </w:rPr>
        <w:t>z</w:t>
      </w:r>
      <w:r>
        <w:rPr>
          <w:rFonts w:ascii="Book Antiqua" w:hAnsi="Book Antiqua" w:cs="Arial"/>
          <w:b/>
          <w:caps/>
        </w:rPr>
        <w:t xml:space="preserve">] </w:t>
      </w:r>
      <w:r w:rsidR="00464DB3">
        <w:rPr>
          <w:rFonts w:ascii="Book Antiqua" w:hAnsi="Book Antiqua" w:cs="Arial"/>
          <w:b/>
          <w:caps/>
        </w:rPr>
        <w:t>(fourth appellant)</w:t>
      </w:r>
    </w:p>
    <w:p w14:paraId="6B0E12EC" w14:textId="6CFFF0B5" w:rsidR="00847259" w:rsidRPr="00AE6DDE" w:rsidRDefault="00847259" w:rsidP="00A15234">
      <w:pPr>
        <w:jc w:val="center"/>
        <w:rPr>
          <w:rFonts w:ascii="Book Antiqua" w:hAnsi="Book Antiqua" w:cs="Arial"/>
          <w:b/>
          <w:caps/>
        </w:rPr>
      </w:pPr>
      <w:r>
        <w:rPr>
          <w:rFonts w:ascii="Book Antiqua" w:hAnsi="Book Antiqua" w:cs="Arial"/>
          <w:b/>
          <w:caps/>
        </w:rPr>
        <w:t>(anonymity direction</w:t>
      </w:r>
      <w:r w:rsidR="00761CA7">
        <w:rPr>
          <w:rFonts w:ascii="Book Antiqua" w:hAnsi="Book Antiqua" w:cs="Arial"/>
          <w:b/>
          <w:caps/>
        </w:rPr>
        <w:t xml:space="preserve"> not made</w:t>
      </w:r>
      <w:r>
        <w:rPr>
          <w:rFonts w:ascii="Book Antiqua" w:hAnsi="Book Antiqua" w:cs="Arial"/>
          <w:b/>
          <w:caps/>
        </w:rPr>
        <w:t>)</w:t>
      </w:r>
    </w:p>
    <w:p w14:paraId="15F8CCAA" w14:textId="77777777" w:rsidR="00704B61" w:rsidRPr="00AE6DDE" w:rsidRDefault="00704B61" w:rsidP="00A15234">
      <w:pPr>
        <w:jc w:val="center"/>
        <w:rPr>
          <w:rFonts w:ascii="Book Antiqua" w:hAnsi="Book Antiqua" w:cs="Arial"/>
          <w:b/>
        </w:rPr>
      </w:pPr>
    </w:p>
    <w:p w14:paraId="04D06303" w14:textId="261AF0F3"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4B139B">
        <w:rPr>
          <w:rFonts w:ascii="Book Antiqua" w:hAnsi="Book Antiqua" w:cs="Arial"/>
          <w:u w:val="single"/>
        </w:rPr>
        <w:t>s</w:t>
      </w:r>
    </w:p>
    <w:p w14:paraId="497327FB"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61D1A35F" w14:textId="77777777" w:rsidR="00DD5071" w:rsidRPr="00AE6DDE" w:rsidRDefault="00DD5071" w:rsidP="00704B61">
      <w:pPr>
        <w:jc w:val="center"/>
        <w:rPr>
          <w:rFonts w:ascii="Book Antiqua" w:hAnsi="Book Antiqua" w:cs="Arial"/>
          <w:b/>
        </w:rPr>
      </w:pPr>
    </w:p>
    <w:p w14:paraId="42754F86"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14:paraId="2978A39E" w14:textId="77777777" w:rsidR="00DD5071" w:rsidRPr="00AE6DDE" w:rsidRDefault="00DD5071" w:rsidP="00704B61">
      <w:pPr>
        <w:jc w:val="center"/>
        <w:rPr>
          <w:rFonts w:ascii="Book Antiqua" w:hAnsi="Book Antiqua" w:cs="Arial"/>
          <w:b/>
        </w:rPr>
      </w:pPr>
    </w:p>
    <w:p w14:paraId="1429B95F"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1FB9243E" w14:textId="77777777" w:rsidR="00DD5071" w:rsidRPr="00AE6DDE" w:rsidRDefault="00DD5071" w:rsidP="00DD5071">
      <w:pPr>
        <w:rPr>
          <w:rFonts w:ascii="Book Antiqua" w:hAnsi="Book Antiqua" w:cs="Arial"/>
          <w:u w:val="single"/>
        </w:rPr>
      </w:pPr>
    </w:p>
    <w:p w14:paraId="1CB010E1" w14:textId="77777777" w:rsidR="00DD5071" w:rsidRPr="00AE6DDE" w:rsidRDefault="00DD5071" w:rsidP="00DD5071">
      <w:pPr>
        <w:rPr>
          <w:rFonts w:ascii="Book Antiqua" w:hAnsi="Book Antiqua" w:cs="Arial"/>
          <w:u w:val="single"/>
        </w:rPr>
      </w:pPr>
    </w:p>
    <w:p w14:paraId="29843D9D"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13C7A83" w14:textId="77777777" w:rsidR="00DE7DB7" w:rsidRPr="00AE6DDE" w:rsidRDefault="00DE7DB7" w:rsidP="00DD5071">
      <w:pPr>
        <w:rPr>
          <w:rFonts w:ascii="Book Antiqua" w:hAnsi="Book Antiqua" w:cs="Arial"/>
        </w:rPr>
      </w:pPr>
    </w:p>
    <w:p w14:paraId="1834E290" w14:textId="396EE9F5" w:rsidR="00DE7DB7" w:rsidRPr="00AE6DDE" w:rsidRDefault="00DE7DB7" w:rsidP="00464DB3">
      <w:pPr>
        <w:ind w:left="2552" w:hanging="2552"/>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464DB3">
        <w:rPr>
          <w:rFonts w:ascii="Book Antiqua" w:hAnsi="Book Antiqua" w:cs="Arial"/>
        </w:rPr>
        <w:t>Ms A Smith of Counsel, Danielle Cohen Immigration Law Solicitors</w:t>
      </w:r>
    </w:p>
    <w:p w14:paraId="3FE4622A" w14:textId="13E89BE4"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464DB3">
        <w:rPr>
          <w:rFonts w:ascii="Book Antiqua" w:hAnsi="Book Antiqua" w:cs="Arial"/>
        </w:rPr>
        <w:t>Ms A Everett, Home Office Presenting Officer</w:t>
      </w:r>
    </w:p>
    <w:p w14:paraId="2B6D87EE" w14:textId="1D612B9C" w:rsidR="00DE7DB7" w:rsidRDefault="00DE7DB7" w:rsidP="0090194E">
      <w:pPr>
        <w:rPr>
          <w:rFonts w:ascii="Book Antiqua" w:hAnsi="Book Antiqua" w:cs="Arial"/>
        </w:rPr>
      </w:pPr>
    </w:p>
    <w:p w14:paraId="33D2B2D9" w14:textId="77777777" w:rsidR="009E5381" w:rsidRPr="00AE6DDE" w:rsidRDefault="009E5381" w:rsidP="0090194E">
      <w:pPr>
        <w:rPr>
          <w:rFonts w:ascii="Book Antiqua" w:hAnsi="Book Antiqua" w:cs="Arial"/>
        </w:rPr>
      </w:pPr>
    </w:p>
    <w:p w14:paraId="33E0DC82" w14:textId="6348B77F" w:rsidR="0090194E" w:rsidRDefault="00847259" w:rsidP="009E5381">
      <w:pPr>
        <w:jc w:val="center"/>
        <w:rPr>
          <w:rFonts w:ascii="Book Antiqua" w:hAnsi="Book Antiqua" w:cs="Arial"/>
          <w:b/>
          <w:u w:val="single"/>
        </w:rPr>
      </w:pPr>
      <w:r>
        <w:rPr>
          <w:rFonts w:ascii="Book Antiqua" w:hAnsi="Book Antiqua" w:cs="Arial"/>
          <w:b/>
          <w:u w:val="single"/>
        </w:rPr>
        <w:lastRenderedPageBreak/>
        <w:t>DECISION</w:t>
      </w:r>
      <w:r w:rsidR="00402B9E" w:rsidRPr="00AE6DDE">
        <w:rPr>
          <w:rFonts w:ascii="Book Antiqua" w:hAnsi="Book Antiqua" w:cs="Arial"/>
          <w:b/>
          <w:u w:val="single"/>
        </w:rPr>
        <w:t xml:space="preserve"> AND REASONS</w:t>
      </w:r>
    </w:p>
    <w:p w14:paraId="5C849F75" w14:textId="7CCAD5DE" w:rsidR="00402B9E" w:rsidRPr="00AE6DDE" w:rsidRDefault="00402B9E" w:rsidP="00847259">
      <w:pPr>
        <w:jc w:val="both"/>
        <w:rPr>
          <w:rFonts w:ascii="Book Antiqua" w:hAnsi="Book Antiqua" w:cs="Arial"/>
        </w:rPr>
      </w:pPr>
    </w:p>
    <w:p w14:paraId="1F58F868" w14:textId="0FAEA403" w:rsidR="0097497A"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464DB3">
        <w:rPr>
          <w:rFonts w:ascii="Book Antiqua" w:hAnsi="Book Antiqua" w:cs="Arial"/>
        </w:rPr>
        <w:t>This is an appeal from the decision of First-tier Tribunal Ch</w:t>
      </w:r>
      <w:r w:rsidR="0035354A">
        <w:rPr>
          <w:rFonts w:ascii="Book Antiqua" w:hAnsi="Book Antiqua" w:cs="Arial"/>
        </w:rPr>
        <w:t xml:space="preserve">ana </w:t>
      </w:r>
      <w:r w:rsidR="00464DB3">
        <w:rPr>
          <w:rFonts w:ascii="Book Antiqua" w:hAnsi="Book Antiqua" w:cs="Arial"/>
        </w:rPr>
        <w:t>promulgated on 15</w:t>
      </w:r>
      <w:r w:rsidR="00464DB3">
        <w:rPr>
          <w:rFonts w:ascii="Book Antiqua" w:hAnsi="Book Antiqua" w:cs="Arial"/>
          <w:vertAlign w:val="superscript"/>
        </w:rPr>
        <w:t xml:space="preserve"> </w:t>
      </w:r>
      <w:r w:rsidR="00464DB3">
        <w:rPr>
          <w:rFonts w:ascii="Book Antiqua" w:hAnsi="Book Antiqua" w:cs="Arial"/>
        </w:rPr>
        <w:t>March 2</w:t>
      </w:r>
      <w:r w:rsidR="0035354A">
        <w:rPr>
          <w:rFonts w:ascii="Book Antiqua" w:hAnsi="Book Antiqua" w:cs="Arial"/>
        </w:rPr>
        <w:t xml:space="preserve">018.  There are four appellants, </w:t>
      </w:r>
      <w:r w:rsidR="00464DB3">
        <w:rPr>
          <w:rFonts w:ascii="Book Antiqua" w:hAnsi="Book Antiqua" w:cs="Arial"/>
        </w:rPr>
        <w:t>who together comprise a family unit of mother, father and two children</w:t>
      </w:r>
      <w:r w:rsidR="00987F36">
        <w:rPr>
          <w:rFonts w:ascii="Book Antiqua" w:hAnsi="Book Antiqua" w:cs="Arial"/>
        </w:rPr>
        <w:t xml:space="preserve">. The </w:t>
      </w:r>
      <w:r w:rsidR="00464DB3">
        <w:rPr>
          <w:rFonts w:ascii="Book Antiqua" w:hAnsi="Book Antiqua" w:cs="Arial"/>
        </w:rPr>
        <w:t>focus of the matter in the First-tier Tribunal and again before me has been the daughter who is a qualifying child for the pur</w:t>
      </w:r>
      <w:r w:rsidR="00987F36">
        <w:rPr>
          <w:rFonts w:ascii="Book Antiqua" w:hAnsi="Book Antiqua" w:cs="Arial"/>
        </w:rPr>
        <w:t xml:space="preserve">poses of paragraph 276ADE of </w:t>
      </w:r>
      <w:r w:rsidR="00464DB3">
        <w:rPr>
          <w:rFonts w:ascii="Book Antiqua" w:hAnsi="Book Antiqua" w:cs="Arial"/>
        </w:rPr>
        <w:t xml:space="preserve">Appendix FM to the Immigration Rules.  </w:t>
      </w:r>
    </w:p>
    <w:p w14:paraId="718DF8EE" w14:textId="77777777" w:rsidR="0097497A" w:rsidRDefault="0097497A" w:rsidP="00847259">
      <w:pPr>
        <w:ind w:left="567" w:hanging="567"/>
        <w:jc w:val="both"/>
        <w:rPr>
          <w:rFonts w:ascii="Book Antiqua" w:hAnsi="Book Antiqua" w:cs="Arial"/>
        </w:rPr>
      </w:pPr>
    </w:p>
    <w:p w14:paraId="5A32B8ED" w14:textId="7FFC249C" w:rsidR="0090194E" w:rsidRDefault="0097497A"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464DB3">
        <w:rPr>
          <w:rFonts w:ascii="Book Antiqua" w:hAnsi="Book Antiqua" w:cs="Arial"/>
        </w:rPr>
        <w:t>The factual background c</w:t>
      </w:r>
      <w:r w:rsidR="00987F36">
        <w:rPr>
          <w:rFonts w:ascii="Book Antiqua" w:hAnsi="Book Antiqua" w:cs="Arial"/>
        </w:rPr>
        <w:t xml:space="preserve">an be </w:t>
      </w:r>
      <w:r w:rsidR="00464DB3">
        <w:rPr>
          <w:rFonts w:ascii="Book Antiqua" w:hAnsi="Book Antiqua" w:cs="Arial"/>
        </w:rPr>
        <w:t>shortly stated.  The adult appellants entered the United Kingdom on 17 April 2007 with visitor visas valid until 16</w:t>
      </w:r>
      <w:r w:rsidR="00464DB3">
        <w:rPr>
          <w:rFonts w:ascii="Book Antiqua" w:hAnsi="Book Antiqua" w:cs="Arial"/>
          <w:vertAlign w:val="superscript"/>
        </w:rPr>
        <w:t xml:space="preserve"> </w:t>
      </w:r>
      <w:r w:rsidR="00464DB3">
        <w:rPr>
          <w:rFonts w:ascii="Book Antiqua" w:hAnsi="Book Antiqua" w:cs="Arial"/>
        </w:rPr>
        <w:t xml:space="preserve">July 2007.  After their leave </w:t>
      </w:r>
      <w:r w:rsidR="0035354A">
        <w:rPr>
          <w:rFonts w:ascii="Book Antiqua" w:hAnsi="Book Antiqua" w:cs="Arial"/>
        </w:rPr>
        <w:t xml:space="preserve">to remain </w:t>
      </w:r>
      <w:r w:rsidR="00464DB3">
        <w:rPr>
          <w:rFonts w:ascii="Book Antiqua" w:hAnsi="Book Antiqua" w:cs="Arial"/>
        </w:rPr>
        <w:t>had expired they both remained in</w:t>
      </w:r>
      <w:r w:rsidR="00987F36">
        <w:rPr>
          <w:rFonts w:ascii="Book Antiqua" w:hAnsi="Book Antiqua" w:cs="Arial"/>
        </w:rPr>
        <w:t xml:space="preserve"> the country unlawfully. T</w:t>
      </w:r>
      <w:r w:rsidR="00464DB3">
        <w:rPr>
          <w:rFonts w:ascii="Book Antiqua" w:hAnsi="Book Antiqua" w:cs="Arial"/>
        </w:rPr>
        <w:t xml:space="preserve">heir children were born in the United Kingdom on 5 February 2009 and on 7 December 2012 respectively.  All four appellants are Algerian nationals.  </w:t>
      </w:r>
    </w:p>
    <w:p w14:paraId="6D412AD9" w14:textId="77777777" w:rsidR="0090194E" w:rsidRDefault="0090194E" w:rsidP="00847259">
      <w:pPr>
        <w:ind w:left="567" w:hanging="567"/>
        <w:jc w:val="both"/>
        <w:rPr>
          <w:rFonts w:ascii="Book Antiqua" w:hAnsi="Book Antiqua" w:cs="Arial"/>
        </w:rPr>
      </w:pPr>
    </w:p>
    <w:p w14:paraId="1570056A" w14:textId="4A69F995" w:rsidR="00686A35" w:rsidRDefault="0090194E" w:rsidP="00847259">
      <w:pPr>
        <w:ind w:left="567" w:hanging="567"/>
        <w:jc w:val="both"/>
        <w:rPr>
          <w:rFonts w:ascii="Book Antiqua" w:hAnsi="Book Antiqua" w:cs="Arial"/>
        </w:rPr>
      </w:pPr>
      <w:r>
        <w:rPr>
          <w:rFonts w:ascii="Book Antiqua" w:hAnsi="Book Antiqua" w:cs="Arial"/>
        </w:rPr>
        <w:t>3.</w:t>
      </w:r>
      <w:r>
        <w:rPr>
          <w:rFonts w:ascii="Book Antiqua" w:hAnsi="Book Antiqua" w:cs="Arial"/>
        </w:rPr>
        <w:tab/>
      </w:r>
      <w:r w:rsidR="00464DB3">
        <w:rPr>
          <w:rFonts w:ascii="Book Antiqua" w:hAnsi="Book Antiqua" w:cs="Arial"/>
        </w:rPr>
        <w:t>The thrust of the decision was to reject the claim in relation to the qualifying child under paragraph 276ADE on the basis that it would no</w:t>
      </w:r>
      <w:r w:rsidR="00987F36">
        <w:rPr>
          <w:rFonts w:ascii="Book Antiqua" w:hAnsi="Book Antiqua" w:cs="Arial"/>
        </w:rPr>
        <w:t>t be unreasonable for her</w:t>
      </w:r>
      <w:r w:rsidR="00464DB3">
        <w:rPr>
          <w:rFonts w:ascii="Book Antiqua" w:hAnsi="Book Antiqua" w:cs="Arial"/>
        </w:rPr>
        <w:t xml:space="preserve"> to</w:t>
      </w:r>
      <w:r w:rsidR="00987F36">
        <w:rPr>
          <w:rFonts w:ascii="Book Antiqua" w:hAnsi="Book Antiqua" w:cs="Arial"/>
        </w:rPr>
        <w:t xml:space="preserve"> be removed to Algeria</w:t>
      </w:r>
      <w:r w:rsidR="00E238B7">
        <w:rPr>
          <w:rFonts w:ascii="Book Antiqua" w:hAnsi="Book Antiqua" w:cs="Arial"/>
        </w:rPr>
        <w:t xml:space="preserve">, and further to reject the claim under Article 8 outside the Rules on the basis of a careful consideration of the </w:t>
      </w:r>
      <w:r w:rsidR="00686A35">
        <w:rPr>
          <w:rFonts w:ascii="Book Antiqua" w:hAnsi="Book Antiqua" w:cs="Arial"/>
        </w:rPr>
        <w:t xml:space="preserve">principles in </w:t>
      </w:r>
      <w:proofErr w:type="spellStart"/>
      <w:r w:rsidR="00686A35">
        <w:rPr>
          <w:rFonts w:ascii="Book Antiqua" w:hAnsi="Book Antiqua" w:cs="Arial"/>
          <w:b/>
          <w:u w:val="single"/>
        </w:rPr>
        <w:t>Razgar</w:t>
      </w:r>
      <w:proofErr w:type="spellEnd"/>
      <w:r w:rsidR="00686A35">
        <w:rPr>
          <w:rFonts w:ascii="Book Antiqua" w:hAnsi="Book Antiqua" w:cs="Arial"/>
          <w:b/>
        </w:rPr>
        <w:t xml:space="preserve"> </w:t>
      </w:r>
      <w:r w:rsidR="00686A35">
        <w:rPr>
          <w:rFonts w:ascii="Book Antiqua" w:hAnsi="Book Antiqua" w:cs="Arial"/>
        </w:rPr>
        <w:t>and, in particular, the evaluation of proportionality.</w:t>
      </w:r>
    </w:p>
    <w:p w14:paraId="7A9ED1F1" w14:textId="77777777" w:rsidR="00686A35" w:rsidRDefault="00686A35" w:rsidP="00847259">
      <w:pPr>
        <w:ind w:left="567" w:hanging="567"/>
        <w:jc w:val="both"/>
        <w:rPr>
          <w:rFonts w:ascii="Book Antiqua" w:hAnsi="Book Antiqua" w:cs="Arial"/>
        </w:rPr>
      </w:pPr>
    </w:p>
    <w:p w14:paraId="4D193066" w14:textId="2F084751" w:rsidR="0097497A" w:rsidRDefault="00686A35"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t>T</w:t>
      </w:r>
      <w:r w:rsidR="00464DB3">
        <w:rPr>
          <w:rFonts w:ascii="Book Antiqua" w:hAnsi="Book Antiqua" w:cs="Arial"/>
        </w:rPr>
        <w:t xml:space="preserve">he </w:t>
      </w:r>
      <w:r>
        <w:rPr>
          <w:rFonts w:ascii="Book Antiqua" w:hAnsi="Book Antiqua" w:cs="Arial"/>
        </w:rPr>
        <w:t>qualifying child</w:t>
      </w:r>
      <w:r w:rsidR="00464DB3">
        <w:rPr>
          <w:rFonts w:ascii="Book Antiqua" w:hAnsi="Book Antiqua" w:cs="Arial"/>
        </w:rPr>
        <w:t xml:space="preserve">’s best </w:t>
      </w:r>
      <w:r>
        <w:rPr>
          <w:rFonts w:ascii="Book Antiqua" w:hAnsi="Book Antiqua" w:cs="Arial"/>
        </w:rPr>
        <w:t xml:space="preserve">interests are discussed in a full and carefully nuanced section of the decision beginning at paragraph 26. The judge concluded at paragraph 33 that taking into account all the evidence in the appeal, it would not be unreasonable </w:t>
      </w:r>
      <w:r w:rsidR="00D40F2A">
        <w:rPr>
          <w:rFonts w:ascii="Book Antiqua" w:hAnsi="Book Antiqua" w:cs="Arial"/>
        </w:rPr>
        <w:t>for the qualify</w:t>
      </w:r>
      <w:r w:rsidR="00B07F25">
        <w:rPr>
          <w:rFonts w:ascii="Book Antiqua" w:hAnsi="Book Antiqua" w:cs="Arial"/>
        </w:rPr>
        <w:t>ing child and her sibling</w:t>
      </w:r>
      <w:r w:rsidR="00D40F2A">
        <w:rPr>
          <w:rFonts w:ascii="Book Antiqua" w:hAnsi="Book Antiqua" w:cs="Arial"/>
        </w:rPr>
        <w:t xml:space="preserve"> to return to Algeria with their parents to continue their family and private life in the country of their nationality. G</w:t>
      </w:r>
      <w:r w:rsidR="00A03647">
        <w:rPr>
          <w:rFonts w:ascii="Book Antiqua" w:hAnsi="Book Antiqua" w:cs="Arial"/>
        </w:rPr>
        <w:t xml:space="preserve">iving </w:t>
      </w:r>
      <w:r w:rsidR="0097497A">
        <w:rPr>
          <w:rFonts w:ascii="Book Antiqua" w:hAnsi="Book Antiqua" w:cs="Arial"/>
        </w:rPr>
        <w:t>weight to the children’s best interests</w:t>
      </w:r>
      <w:r w:rsidR="0035354A">
        <w:rPr>
          <w:rFonts w:ascii="Book Antiqua" w:hAnsi="Book Antiqua" w:cs="Arial"/>
        </w:rPr>
        <w:t>,</w:t>
      </w:r>
      <w:r w:rsidR="0097497A">
        <w:rPr>
          <w:rFonts w:ascii="Book Antiqua" w:hAnsi="Book Antiqua" w:cs="Arial"/>
        </w:rPr>
        <w:t xml:space="preserve"> </w:t>
      </w:r>
      <w:r w:rsidR="00D40F2A">
        <w:rPr>
          <w:rFonts w:ascii="Book Antiqua" w:hAnsi="Book Antiqua" w:cs="Arial"/>
        </w:rPr>
        <w:t xml:space="preserve">and </w:t>
      </w:r>
      <w:r w:rsidR="0035354A">
        <w:rPr>
          <w:rFonts w:ascii="Book Antiqua" w:hAnsi="Book Antiqua" w:cs="Arial"/>
        </w:rPr>
        <w:t xml:space="preserve">the need to </w:t>
      </w:r>
      <w:r w:rsidR="0097497A">
        <w:rPr>
          <w:rFonts w:ascii="Book Antiqua" w:hAnsi="Book Antiqua" w:cs="Arial"/>
        </w:rPr>
        <w:t>maintain immigration control</w:t>
      </w:r>
      <w:r w:rsidR="00B07F25">
        <w:rPr>
          <w:rFonts w:ascii="Book Antiqua" w:hAnsi="Book Antiqua" w:cs="Arial"/>
        </w:rPr>
        <w:t>, the</w:t>
      </w:r>
      <w:r w:rsidR="0097497A">
        <w:rPr>
          <w:rFonts w:ascii="Book Antiqua" w:hAnsi="Book Antiqua" w:cs="Arial"/>
        </w:rPr>
        <w:t xml:space="preserve"> </w:t>
      </w:r>
      <w:r w:rsidR="00D40F2A">
        <w:rPr>
          <w:rFonts w:ascii="Book Antiqua" w:hAnsi="Book Antiqua" w:cs="Arial"/>
        </w:rPr>
        <w:t>judge further concluded at paragraph 36 that the decision taken</w:t>
      </w:r>
      <w:r w:rsidR="0097497A">
        <w:rPr>
          <w:rFonts w:ascii="Book Antiqua" w:hAnsi="Book Antiqua" w:cs="Arial"/>
        </w:rPr>
        <w:t xml:space="preserve"> the Secretary of State was proportionate</w:t>
      </w:r>
      <w:r w:rsidR="00D40F2A">
        <w:rPr>
          <w:rFonts w:ascii="Book Antiqua" w:hAnsi="Book Antiqua" w:cs="Arial"/>
        </w:rPr>
        <w:t xml:space="preserve"> to the extent that it constituted an interference in the private and family lives of the appellants.</w:t>
      </w:r>
      <w:r w:rsidR="0097497A">
        <w:rPr>
          <w:rFonts w:ascii="Book Antiqua" w:hAnsi="Book Antiqua" w:cs="Arial"/>
        </w:rPr>
        <w:t xml:space="preserve">  </w:t>
      </w:r>
    </w:p>
    <w:p w14:paraId="2AE67B4C" w14:textId="77777777" w:rsidR="0097497A" w:rsidRDefault="0097497A" w:rsidP="00847259">
      <w:pPr>
        <w:ind w:left="567" w:hanging="567"/>
        <w:jc w:val="both"/>
        <w:rPr>
          <w:rFonts w:ascii="Book Antiqua" w:hAnsi="Book Antiqua" w:cs="Arial"/>
        </w:rPr>
      </w:pPr>
    </w:p>
    <w:p w14:paraId="7DC972D1" w14:textId="617CD9E6" w:rsidR="004C11B6" w:rsidRDefault="00F23941" w:rsidP="00847259">
      <w:pPr>
        <w:ind w:left="567" w:hanging="567"/>
        <w:jc w:val="both"/>
        <w:rPr>
          <w:rFonts w:ascii="Book Antiqua" w:hAnsi="Book Antiqua" w:cs="Arial"/>
        </w:rPr>
      </w:pPr>
      <w:r>
        <w:rPr>
          <w:rFonts w:ascii="Book Antiqua" w:hAnsi="Book Antiqua" w:cs="Arial"/>
        </w:rPr>
        <w:t>5.</w:t>
      </w:r>
      <w:r>
        <w:rPr>
          <w:rFonts w:ascii="Book Antiqua" w:hAnsi="Book Antiqua" w:cs="Arial"/>
        </w:rPr>
        <w:tab/>
        <w:t>Although there we</w:t>
      </w:r>
      <w:r w:rsidR="0097497A">
        <w:rPr>
          <w:rFonts w:ascii="Book Antiqua" w:hAnsi="Book Antiqua" w:cs="Arial"/>
        </w:rPr>
        <w:t>re formally two grounds of appeal</w:t>
      </w:r>
      <w:r>
        <w:rPr>
          <w:rFonts w:ascii="Book Antiqua" w:hAnsi="Book Antiqua" w:cs="Arial"/>
        </w:rPr>
        <w:t xml:space="preserve">, it was the first which </w:t>
      </w:r>
      <w:r w:rsidR="0097497A">
        <w:rPr>
          <w:rFonts w:ascii="Book Antiqua" w:hAnsi="Book Antiqua" w:cs="Arial"/>
        </w:rPr>
        <w:t>wa</w:t>
      </w:r>
      <w:r w:rsidR="00B07F25">
        <w:rPr>
          <w:rFonts w:ascii="Book Antiqua" w:hAnsi="Book Antiqua" w:cs="Arial"/>
        </w:rPr>
        <w:t>s pursued</w:t>
      </w:r>
      <w:r w:rsidR="004C11B6">
        <w:rPr>
          <w:rFonts w:ascii="Book Antiqua" w:hAnsi="Book Antiqua" w:cs="Arial"/>
        </w:rPr>
        <w:t xml:space="preserve"> most fully both in the </w:t>
      </w:r>
      <w:r w:rsidR="0035354A">
        <w:rPr>
          <w:rFonts w:ascii="Book Antiqua" w:hAnsi="Book Antiqua" w:cs="Arial"/>
        </w:rPr>
        <w:t>written</w:t>
      </w:r>
      <w:r>
        <w:rPr>
          <w:rFonts w:ascii="Book Antiqua" w:hAnsi="Book Antiqua" w:cs="Arial"/>
        </w:rPr>
        <w:t xml:space="preserve"> grounds and in </w:t>
      </w:r>
      <w:r w:rsidR="00B47EA9">
        <w:rPr>
          <w:rFonts w:ascii="Book Antiqua" w:hAnsi="Book Antiqua" w:cs="Arial"/>
        </w:rPr>
        <w:t>oral submissions</w:t>
      </w:r>
      <w:r>
        <w:rPr>
          <w:rFonts w:ascii="Book Antiqua" w:hAnsi="Book Antiqua" w:cs="Arial"/>
        </w:rPr>
        <w:t>.</w:t>
      </w:r>
      <w:r w:rsidR="004C11B6">
        <w:rPr>
          <w:rFonts w:ascii="Book Antiqua" w:hAnsi="Book Antiqua" w:cs="Arial"/>
        </w:rPr>
        <w:t xml:space="preserve"> </w:t>
      </w:r>
      <w:r>
        <w:rPr>
          <w:rFonts w:ascii="Book Antiqua" w:hAnsi="Book Antiqua" w:cs="Arial"/>
        </w:rPr>
        <w:t>It is submitted that</w:t>
      </w:r>
      <w:r w:rsidR="004C11B6">
        <w:rPr>
          <w:rFonts w:ascii="Book Antiqua" w:hAnsi="Book Antiqua" w:cs="Arial"/>
        </w:rPr>
        <w:t xml:space="preserve"> the judge gave no indication in the course of her decision that regard had been given to a letter from the assistant headteacher of the </w:t>
      </w:r>
      <w:r w:rsidR="002E7954">
        <w:rPr>
          <w:rFonts w:ascii="Book Antiqua" w:hAnsi="Book Antiqua" w:cs="Arial"/>
        </w:rPr>
        <w:t>[</w:t>
      </w:r>
      <w:r w:rsidR="002E7954" w:rsidRPr="002E7954">
        <w:rPr>
          <w:rFonts w:ascii="Book Antiqua" w:hAnsi="Book Antiqua" w:cs="Arial"/>
          <w:b/>
        </w:rPr>
        <w:t>~</w:t>
      </w:r>
      <w:r w:rsidR="002E7954">
        <w:rPr>
          <w:rFonts w:ascii="Book Antiqua" w:hAnsi="Book Antiqua" w:cs="Arial"/>
        </w:rPr>
        <w:t xml:space="preserve">] </w:t>
      </w:r>
      <w:r w:rsidR="004C11B6">
        <w:rPr>
          <w:rFonts w:ascii="Book Antiqua" w:hAnsi="Book Antiqua" w:cs="Arial"/>
        </w:rPr>
        <w:t>Primary School attende</w:t>
      </w:r>
      <w:r>
        <w:rPr>
          <w:rFonts w:ascii="Book Antiqua" w:hAnsi="Book Antiqua" w:cs="Arial"/>
        </w:rPr>
        <w:t>d by the qualifying child. The letter is</w:t>
      </w:r>
      <w:r w:rsidR="004C11B6">
        <w:rPr>
          <w:rFonts w:ascii="Book Antiqua" w:hAnsi="Book Antiqua" w:cs="Arial"/>
        </w:rPr>
        <w:t xml:space="preserve"> dated 17 Janu</w:t>
      </w:r>
      <w:r>
        <w:rPr>
          <w:rFonts w:ascii="Book Antiqua" w:hAnsi="Book Antiqua" w:cs="Arial"/>
        </w:rPr>
        <w:t>ary 2018, and f</w:t>
      </w:r>
      <w:r w:rsidR="004C11B6">
        <w:rPr>
          <w:rFonts w:ascii="Book Antiqua" w:hAnsi="Book Antiqua" w:cs="Arial"/>
        </w:rPr>
        <w:t>or compl</w:t>
      </w:r>
      <w:r w:rsidR="00B47EA9">
        <w:rPr>
          <w:rFonts w:ascii="Book Antiqua" w:hAnsi="Book Antiqua" w:cs="Arial"/>
        </w:rPr>
        <w:t>eteness</w:t>
      </w:r>
      <w:r w:rsidR="00A03647">
        <w:rPr>
          <w:rFonts w:ascii="Book Antiqua" w:hAnsi="Book Antiqua" w:cs="Arial"/>
        </w:rPr>
        <w:t>, I reproduce its content</w:t>
      </w:r>
      <w:r w:rsidR="004C11B6">
        <w:rPr>
          <w:rFonts w:ascii="Book Antiqua" w:hAnsi="Book Antiqua" w:cs="Arial"/>
        </w:rPr>
        <w:t xml:space="preserve">.  </w:t>
      </w:r>
    </w:p>
    <w:p w14:paraId="09446745" w14:textId="77777777" w:rsidR="004C11B6" w:rsidRDefault="004C11B6" w:rsidP="00847259">
      <w:pPr>
        <w:ind w:left="567" w:hanging="567"/>
        <w:jc w:val="both"/>
        <w:rPr>
          <w:rFonts w:ascii="Book Antiqua" w:hAnsi="Book Antiqua" w:cs="Arial"/>
        </w:rPr>
      </w:pPr>
    </w:p>
    <w:p w14:paraId="514F5C30" w14:textId="38E81412" w:rsidR="00930DBE" w:rsidRPr="00B07F25" w:rsidRDefault="004C11B6" w:rsidP="004C11B6">
      <w:pPr>
        <w:ind w:left="1134"/>
        <w:jc w:val="both"/>
        <w:rPr>
          <w:rFonts w:ascii="Book Antiqua" w:hAnsi="Book Antiqua" w:cs="Arial"/>
          <w:sz w:val="20"/>
          <w:szCs w:val="20"/>
        </w:rPr>
      </w:pPr>
      <w:r w:rsidRPr="00B07F25">
        <w:rPr>
          <w:rFonts w:ascii="Book Antiqua" w:hAnsi="Book Antiqua" w:cs="Arial"/>
          <w:sz w:val="20"/>
          <w:szCs w:val="20"/>
        </w:rPr>
        <w:t>“I am writing to reemphasis the importance of the Zani family staying in the UK</w:t>
      </w:r>
      <w:r w:rsidR="00930DBE" w:rsidRPr="00B07F25">
        <w:rPr>
          <w:rFonts w:ascii="Book Antiqua" w:hAnsi="Book Antiqua" w:cs="Arial"/>
          <w:sz w:val="20"/>
          <w:szCs w:val="20"/>
        </w:rPr>
        <w:t xml:space="preserve"> b</w:t>
      </w:r>
      <w:r w:rsidRPr="00B07F25">
        <w:rPr>
          <w:rFonts w:ascii="Book Antiqua" w:hAnsi="Book Antiqua" w:cs="Arial"/>
          <w:sz w:val="20"/>
          <w:szCs w:val="20"/>
        </w:rPr>
        <w:t xml:space="preserve">ecause of the importance of continuity of education for </w:t>
      </w:r>
      <w:r w:rsidR="002E7954">
        <w:rPr>
          <w:rFonts w:ascii="Book Antiqua" w:hAnsi="Book Antiqua" w:cs="Arial"/>
          <w:sz w:val="20"/>
          <w:szCs w:val="20"/>
        </w:rPr>
        <w:t>[</w:t>
      </w:r>
      <w:r w:rsidRPr="00B07F25">
        <w:rPr>
          <w:rFonts w:ascii="Book Antiqua" w:hAnsi="Book Antiqua" w:cs="Arial"/>
          <w:sz w:val="20"/>
          <w:szCs w:val="20"/>
        </w:rPr>
        <w:t>L</w:t>
      </w:r>
      <w:r w:rsidR="002E7954">
        <w:rPr>
          <w:rFonts w:ascii="Book Antiqua" w:hAnsi="Book Antiqua" w:cs="Arial"/>
          <w:sz w:val="20"/>
          <w:szCs w:val="20"/>
        </w:rPr>
        <w:t xml:space="preserve">Z] </w:t>
      </w:r>
      <w:r w:rsidR="00930DBE" w:rsidRPr="00B07F25">
        <w:rPr>
          <w:rFonts w:ascii="Book Antiqua" w:hAnsi="Book Antiqua" w:cs="Arial"/>
          <w:sz w:val="20"/>
          <w:szCs w:val="20"/>
        </w:rPr>
        <w:t>(05.02.</w:t>
      </w:r>
      <w:r w:rsidRPr="00B07F25">
        <w:rPr>
          <w:rFonts w:ascii="Book Antiqua" w:hAnsi="Book Antiqua" w:cs="Arial"/>
          <w:sz w:val="20"/>
          <w:szCs w:val="20"/>
        </w:rPr>
        <w:t xml:space="preserve">09) and </w:t>
      </w:r>
      <w:r w:rsidR="002E7954">
        <w:rPr>
          <w:rFonts w:ascii="Book Antiqua" w:hAnsi="Book Antiqua" w:cs="Arial"/>
          <w:sz w:val="20"/>
          <w:szCs w:val="20"/>
        </w:rPr>
        <w:t>[</w:t>
      </w:r>
      <w:r w:rsidRPr="00B07F25">
        <w:rPr>
          <w:rFonts w:ascii="Book Antiqua" w:hAnsi="Book Antiqua" w:cs="Arial"/>
          <w:sz w:val="20"/>
          <w:szCs w:val="20"/>
        </w:rPr>
        <w:t>MZ</w:t>
      </w:r>
      <w:r w:rsidR="002E7954">
        <w:rPr>
          <w:rFonts w:ascii="Book Antiqua" w:hAnsi="Book Antiqua" w:cs="Arial"/>
          <w:sz w:val="20"/>
          <w:szCs w:val="20"/>
        </w:rPr>
        <w:t xml:space="preserve">] </w:t>
      </w:r>
      <w:r w:rsidRPr="00B07F25">
        <w:rPr>
          <w:rFonts w:ascii="Book Antiqua" w:hAnsi="Book Antiqua" w:cs="Arial"/>
          <w:sz w:val="20"/>
          <w:szCs w:val="20"/>
        </w:rPr>
        <w:t>(</w:t>
      </w:r>
      <w:r w:rsidR="00930DBE" w:rsidRPr="00B07F25">
        <w:rPr>
          <w:rFonts w:ascii="Book Antiqua" w:hAnsi="Book Antiqua" w:cs="Arial"/>
          <w:sz w:val="20"/>
          <w:szCs w:val="20"/>
        </w:rPr>
        <w:t>0</w:t>
      </w:r>
      <w:r w:rsidRPr="00B07F25">
        <w:rPr>
          <w:rFonts w:ascii="Book Antiqua" w:hAnsi="Book Antiqua" w:cs="Arial"/>
          <w:sz w:val="20"/>
          <w:szCs w:val="20"/>
        </w:rPr>
        <w:t>7.12</w:t>
      </w:r>
      <w:r w:rsidR="002E7954">
        <w:rPr>
          <w:rFonts w:ascii="Book Antiqua" w:hAnsi="Book Antiqua" w:cs="Arial"/>
          <w:sz w:val="20"/>
          <w:szCs w:val="20"/>
        </w:rPr>
        <w:t>.</w:t>
      </w:r>
      <w:r w:rsidRPr="00B07F25">
        <w:rPr>
          <w:rFonts w:ascii="Book Antiqua" w:hAnsi="Book Antiqua" w:cs="Arial"/>
          <w:sz w:val="20"/>
          <w:szCs w:val="20"/>
        </w:rPr>
        <w:t xml:space="preserve">12).  </w:t>
      </w:r>
    </w:p>
    <w:p w14:paraId="144E9B27" w14:textId="77777777" w:rsidR="00930DBE" w:rsidRPr="00B07F25" w:rsidRDefault="00930DBE" w:rsidP="004C11B6">
      <w:pPr>
        <w:ind w:left="1134"/>
        <w:jc w:val="both"/>
        <w:rPr>
          <w:rFonts w:ascii="Book Antiqua" w:hAnsi="Book Antiqua" w:cs="Arial"/>
          <w:sz w:val="20"/>
          <w:szCs w:val="20"/>
        </w:rPr>
      </w:pPr>
    </w:p>
    <w:p w14:paraId="73432460" w14:textId="6D9A5906" w:rsidR="00930DBE" w:rsidRPr="00B07F25" w:rsidRDefault="002E7954" w:rsidP="004C11B6">
      <w:pPr>
        <w:ind w:left="1134"/>
        <w:jc w:val="both"/>
        <w:rPr>
          <w:rFonts w:ascii="Book Antiqua" w:hAnsi="Book Antiqua" w:cs="Arial"/>
          <w:sz w:val="20"/>
          <w:szCs w:val="20"/>
        </w:rPr>
      </w:pPr>
      <w:r>
        <w:rPr>
          <w:rFonts w:ascii="Book Antiqua" w:hAnsi="Book Antiqua" w:cs="Arial"/>
          <w:sz w:val="20"/>
          <w:szCs w:val="20"/>
        </w:rPr>
        <w:t>[</w:t>
      </w:r>
      <w:r w:rsidRPr="00B07F25">
        <w:rPr>
          <w:rFonts w:ascii="Book Antiqua" w:hAnsi="Book Antiqua" w:cs="Arial"/>
          <w:sz w:val="20"/>
          <w:szCs w:val="20"/>
        </w:rPr>
        <w:t>L</w:t>
      </w:r>
      <w:r>
        <w:rPr>
          <w:rFonts w:ascii="Book Antiqua" w:hAnsi="Book Antiqua" w:cs="Arial"/>
          <w:sz w:val="20"/>
          <w:szCs w:val="20"/>
        </w:rPr>
        <w:t>Z]</w:t>
      </w:r>
      <w:r w:rsidR="004C11B6" w:rsidRPr="00B07F25">
        <w:rPr>
          <w:rFonts w:ascii="Book Antiqua" w:hAnsi="Book Antiqua" w:cs="Arial"/>
          <w:sz w:val="20"/>
          <w:szCs w:val="20"/>
        </w:rPr>
        <w:t xml:space="preserve"> has been at </w:t>
      </w:r>
      <w:r>
        <w:rPr>
          <w:rFonts w:ascii="Book Antiqua" w:hAnsi="Book Antiqua" w:cs="Arial"/>
          <w:sz w:val="20"/>
          <w:szCs w:val="20"/>
        </w:rPr>
        <w:t>[</w:t>
      </w:r>
      <w:r w:rsidRPr="002E7954">
        <w:rPr>
          <w:rFonts w:ascii="Book Antiqua" w:hAnsi="Book Antiqua" w:cs="Arial"/>
          <w:b/>
          <w:sz w:val="20"/>
          <w:szCs w:val="20"/>
        </w:rPr>
        <w:t>~</w:t>
      </w:r>
      <w:r>
        <w:rPr>
          <w:rFonts w:ascii="Book Antiqua" w:hAnsi="Book Antiqua" w:cs="Arial"/>
          <w:sz w:val="20"/>
          <w:szCs w:val="20"/>
        </w:rPr>
        <w:t xml:space="preserve">] </w:t>
      </w:r>
      <w:r w:rsidR="00930DBE" w:rsidRPr="00B07F25">
        <w:rPr>
          <w:rFonts w:ascii="Book Antiqua" w:hAnsi="Book Antiqua" w:cs="Arial"/>
          <w:sz w:val="20"/>
          <w:szCs w:val="20"/>
        </w:rPr>
        <w:t>since 20.09.</w:t>
      </w:r>
      <w:r w:rsidR="004C11B6" w:rsidRPr="00B07F25">
        <w:rPr>
          <w:rFonts w:ascii="Book Antiqua" w:hAnsi="Book Antiqua" w:cs="Arial"/>
          <w:sz w:val="20"/>
          <w:szCs w:val="20"/>
        </w:rPr>
        <w:t xml:space="preserve">12 and has emotional needs made worse by stress.  It has taken a long </w:t>
      </w:r>
      <w:r w:rsidR="00930DBE" w:rsidRPr="00B07F25">
        <w:rPr>
          <w:rFonts w:ascii="Book Antiqua" w:hAnsi="Book Antiqua" w:cs="Arial"/>
          <w:sz w:val="20"/>
          <w:szCs w:val="20"/>
        </w:rPr>
        <w:t xml:space="preserve">time </w:t>
      </w:r>
      <w:r w:rsidR="004C11B6" w:rsidRPr="00B07F25">
        <w:rPr>
          <w:rFonts w:ascii="Book Antiqua" w:hAnsi="Book Antiqua" w:cs="Arial"/>
          <w:sz w:val="20"/>
          <w:szCs w:val="20"/>
        </w:rPr>
        <w:t xml:space="preserve">for </w:t>
      </w:r>
      <w:r>
        <w:rPr>
          <w:rFonts w:ascii="Book Antiqua" w:hAnsi="Book Antiqua" w:cs="Arial"/>
          <w:sz w:val="20"/>
          <w:szCs w:val="20"/>
        </w:rPr>
        <w:t>[</w:t>
      </w:r>
      <w:r w:rsidRPr="00B07F25">
        <w:rPr>
          <w:rFonts w:ascii="Book Antiqua" w:hAnsi="Book Antiqua" w:cs="Arial"/>
          <w:sz w:val="20"/>
          <w:szCs w:val="20"/>
        </w:rPr>
        <w:t>L</w:t>
      </w:r>
      <w:r>
        <w:rPr>
          <w:rFonts w:ascii="Book Antiqua" w:hAnsi="Book Antiqua" w:cs="Arial"/>
          <w:sz w:val="20"/>
          <w:szCs w:val="20"/>
        </w:rPr>
        <w:t>Z]</w:t>
      </w:r>
      <w:r w:rsidR="004C11B6" w:rsidRPr="00B07F25">
        <w:rPr>
          <w:rFonts w:ascii="Book Antiqua" w:hAnsi="Book Antiqua" w:cs="Arial"/>
          <w:sz w:val="20"/>
          <w:szCs w:val="20"/>
        </w:rPr>
        <w:t xml:space="preserve"> to settle at school and she has finally started to feel comfortable here and her anxious behaviour has been lessoning.  She receives a great deal of support from our school.  I am extremely worried that if </w:t>
      </w:r>
      <w:r>
        <w:rPr>
          <w:rFonts w:ascii="Book Antiqua" w:hAnsi="Book Antiqua" w:cs="Arial"/>
          <w:sz w:val="20"/>
          <w:szCs w:val="20"/>
        </w:rPr>
        <w:t>[</w:t>
      </w:r>
      <w:r w:rsidRPr="00B07F25">
        <w:rPr>
          <w:rFonts w:ascii="Book Antiqua" w:hAnsi="Book Antiqua" w:cs="Arial"/>
          <w:sz w:val="20"/>
          <w:szCs w:val="20"/>
        </w:rPr>
        <w:t>L</w:t>
      </w:r>
      <w:r>
        <w:rPr>
          <w:rFonts w:ascii="Book Antiqua" w:hAnsi="Book Antiqua" w:cs="Arial"/>
          <w:sz w:val="20"/>
          <w:szCs w:val="20"/>
        </w:rPr>
        <w:t>Z]</w:t>
      </w:r>
      <w:r w:rsidR="004C11B6" w:rsidRPr="00B07F25">
        <w:rPr>
          <w:rFonts w:ascii="Book Antiqua" w:hAnsi="Book Antiqua" w:cs="Arial"/>
          <w:sz w:val="20"/>
          <w:szCs w:val="20"/>
        </w:rPr>
        <w:t xml:space="preserve"> were to change schools and made to leave the country</w:t>
      </w:r>
      <w:r w:rsidR="00930DBE" w:rsidRPr="00B07F25">
        <w:rPr>
          <w:rFonts w:ascii="Book Antiqua" w:hAnsi="Book Antiqua" w:cs="Arial"/>
          <w:sz w:val="20"/>
          <w:szCs w:val="20"/>
        </w:rPr>
        <w:t>,</w:t>
      </w:r>
      <w:r w:rsidR="004C11B6" w:rsidRPr="00B07F25">
        <w:rPr>
          <w:rFonts w:ascii="Book Antiqua" w:hAnsi="Book Antiqua" w:cs="Arial"/>
          <w:sz w:val="20"/>
          <w:szCs w:val="20"/>
        </w:rPr>
        <w:t xml:space="preserve"> the </w:t>
      </w:r>
      <w:r w:rsidR="00930DBE" w:rsidRPr="00B07F25">
        <w:rPr>
          <w:rFonts w:ascii="Book Antiqua" w:hAnsi="Book Antiqua" w:cs="Arial"/>
          <w:sz w:val="20"/>
          <w:szCs w:val="20"/>
        </w:rPr>
        <w:t>quality of sup</w:t>
      </w:r>
      <w:r w:rsidR="004C11B6" w:rsidRPr="00B07F25">
        <w:rPr>
          <w:rFonts w:ascii="Book Antiqua" w:hAnsi="Book Antiqua" w:cs="Arial"/>
          <w:sz w:val="20"/>
          <w:szCs w:val="20"/>
        </w:rPr>
        <w:t>port she receives would decline significantly.  I</w:t>
      </w:r>
      <w:r w:rsidR="00930DBE" w:rsidRPr="00B07F25">
        <w:rPr>
          <w:rFonts w:ascii="Book Antiqua" w:hAnsi="Book Antiqua" w:cs="Arial"/>
          <w:sz w:val="20"/>
          <w:szCs w:val="20"/>
        </w:rPr>
        <w:t>n</w:t>
      </w:r>
      <w:r w:rsidR="004C11B6" w:rsidRPr="00B07F25">
        <w:rPr>
          <w:rFonts w:ascii="Book Antiqua" w:hAnsi="Book Antiqua" w:cs="Arial"/>
          <w:sz w:val="20"/>
          <w:szCs w:val="20"/>
        </w:rPr>
        <w:t xml:space="preserve"> addition to this</w:t>
      </w:r>
      <w:r w:rsidR="00930DBE" w:rsidRPr="00B07F25">
        <w:rPr>
          <w:rFonts w:ascii="Book Antiqua" w:hAnsi="Book Antiqua" w:cs="Arial"/>
          <w:sz w:val="20"/>
          <w:szCs w:val="20"/>
        </w:rPr>
        <w:t>,</w:t>
      </w:r>
      <w:r w:rsidR="004C11B6" w:rsidRPr="00B07F25">
        <w:rPr>
          <w:rFonts w:ascii="Book Antiqua" w:hAnsi="Book Antiqua" w:cs="Arial"/>
          <w:sz w:val="20"/>
          <w:szCs w:val="20"/>
        </w:rPr>
        <w:t xml:space="preserve"> any move would </w:t>
      </w:r>
      <w:r w:rsidR="004C11B6" w:rsidRPr="00B07F25">
        <w:rPr>
          <w:rFonts w:ascii="Book Antiqua" w:hAnsi="Book Antiqua" w:cs="Arial"/>
          <w:sz w:val="20"/>
          <w:szCs w:val="20"/>
        </w:rPr>
        <w:lastRenderedPageBreak/>
        <w:t>also end the strong working relati</w:t>
      </w:r>
      <w:r w:rsidR="00930DBE" w:rsidRPr="00B07F25">
        <w:rPr>
          <w:rFonts w:ascii="Book Antiqua" w:hAnsi="Book Antiqua" w:cs="Arial"/>
          <w:sz w:val="20"/>
          <w:szCs w:val="20"/>
        </w:rPr>
        <w:t>onships she has built with her c</w:t>
      </w:r>
      <w:r w:rsidR="004C11B6" w:rsidRPr="00B07F25">
        <w:rPr>
          <w:rFonts w:ascii="Book Antiqua" w:hAnsi="Book Antiqua" w:cs="Arial"/>
          <w:sz w:val="20"/>
          <w:szCs w:val="20"/>
        </w:rPr>
        <w:t xml:space="preserve">lass teachers.  Even when a supply teacher or </w:t>
      </w:r>
      <w:r>
        <w:rPr>
          <w:rFonts w:ascii="Book Antiqua" w:hAnsi="Book Antiqua" w:cs="Arial"/>
          <w:sz w:val="20"/>
          <w:szCs w:val="20"/>
        </w:rPr>
        <w:t>[</w:t>
      </w:r>
      <w:r w:rsidRPr="00B07F25">
        <w:rPr>
          <w:rFonts w:ascii="Book Antiqua" w:hAnsi="Book Antiqua" w:cs="Arial"/>
          <w:sz w:val="20"/>
          <w:szCs w:val="20"/>
        </w:rPr>
        <w:t>L</w:t>
      </w:r>
      <w:r>
        <w:rPr>
          <w:rFonts w:ascii="Book Antiqua" w:hAnsi="Book Antiqua" w:cs="Arial"/>
          <w:sz w:val="20"/>
          <w:szCs w:val="20"/>
        </w:rPr>
        <w:t>Z]</w:t>
      </w:r>
      <w:r w:rsidR="004C11B6" w:rsidRPr="00B07F25">
        <w:rPr>
          <w:rFonts w:ascii="Book Antiqua" w:hAnsi="Book Antiqua" w:cs="Arial"/>
          <w:sz w:val="20"/>
          <w:szCs w:val="20"/>
        </w:rPr>
        <w:t xml:space="preserve"> moves table groups </w:t>
      </w:r>
      <w:r>
        <w:rPr>
          <w:rFonts w:ascii="Book Antiqua" w:hAnsi="Book Antiqua" w:cs="Arial"/>
          <w:sz w:val="20"/>
          <w:szCs w:val="20"/>
        </w:rPr>
        <w:t>[</w:t>
      </w:r>
      <w:r w:rsidRPr="00B07F25">
        <w:rPr>
          <w:rFonts w:ascii="Book Antiqua" w:hAnsi="Book Antiqua" w:cs="Arial"/>
          <w:sz w:val="20"/>
          <w:szCs w:val="20"/>
        </w:rPr>
        <w:t>L</w:t>
      </w:r>
      <w:r>
        <w:rPr>
          <w:rFonts w:ascii="Book Antiqua" w:hAnsi="Book Antiqua" w:cs="Arial"/>
          <w:sz w:val="20"/>
          <w:szCs w:val="20"/>
        </w:rPr>
        <w:t>Z]</w:t>
      </w:r>
      <w:r w:rsidR="004C11B6" w:rsidRPr="00B07F25">
        <w:rPr>
          <w:rFonts w:ascii="Book Antiqua" w:hAnsi="Book Antiqua" w:cs="Arial"/>
          <w:sz w:val="20"/>
          <w:szCs w:val="20"/>
        </w:rPr>
        <w:t xml:space="preserve"> becomes extremely distressed.  </w:t>
      </w:r>
    </w:p>
    <w:p w14:paraId="361D2AE5" w14:textId="77777777" w:rsidR="00930DBE" w:rsidRPr="00B07F25" w:rsidRDefault="00930DBE" w:rsidP="004C11B6">
      <w:pPr>
        <w:ind w:left="1134"/>
        <w:jc w:val="both"/>
        <w:rPr>
          <w:rFonts w:ascii="Book Antiqua" w:hAnsi="Book Antiqua" w:cs="Arial"/>
          <w:sz w:val="20"/>
          <w:szCs w:val="20"/>
        </w:rPr>
      </w:pPr>
    </w:p>
    <w:p w14:paraId="270F9ABC" w14:textId="7385219F" w:rsidR="004C11B6" w:rsidRPr="00B07F25" w:rsidRDefault="004C11B6" w:rsidP="004C11B6">
      <w:pPr>
        <w:ind w:left="1134"/>
        <w:jc w:val="both"/>
        <w:rPr>
          <w:rFonts w:ascii="Book Antiqua" w:hAnsi="Book Antiqua" w:cs="Arial"/>
          <w:sz w:val="20"/>
          <w:szCs w:val="20"/>
        </w:rPr>
      </w:pPr>
      <w:r w:rsidRPr="00B07F25">
        <w:rPr>
          <w:rFonts w:ascii="Book Antiqua" w:hAnsi="Book Antiqua" w:cs="Arial"/>
          <w:sz w:val="20"/>
          <w:szCs w:val="20"/>
        </w:rPr>
        <w:t>As a result of the above paragraph</w:t>
      </w:r>
      <w:r w:rsidR="00930DBE" w:rsidRPr="00B07F25">
        <w:rPr>
          <w:rFonts w:ascii="Book Antiqua" w:hAnsi="Book Antiqua" w:cs="Arial"/>
          <w:sz w:val="20"/>
          <w:szCs w:val="20"/>
        </w:rPr>
        <w:t xml:space="preserve"> our concerns around the destruction</w:t>
      </w:r>
      <w:r w:rsidRPr="00B07F25">
        <w:rPr>
          <w:rFonts w:ascii="Book Antiqua" w:hAnsi="Book Antiqua" w:cs="Arial"/>
          <w:sz w:val="20"/>
          <w:szCs w:val="20"/>
        </w:rPr>
        <w:t xml:space="preserve"> to </w:t>
      </w:r>
      <w:r w:rsidR="002E7954">
        <w:rPr>
          <w:rFonts w:ascii="Book Antiqua" w:hAnsi="Book Antiqua" w:cs="Arial"/>
          <w:sz w:val="20"/>
          <w:szCs w:val="20"/>
        </w:rPr>
        <w:t>[</w:t>
      </w:r>
      <w:r w:rsidR="002E7954" w:rsidRPr="00B07F25">
        <w:rPr>
          <w:rFonts w:ascii="Book Antiqua" w:hAnsi="Book Antiqua" w:cs="Arial"/>
          <w:sz w:val="20"/>
          <w:szCs w:val="20"/>
        </w:rPr>
        <w:t>L</w:t>
      </w:r>
      <w:r w:rsidR="002E7954">
        <w:rPr>
          <w:rFonts w:ascii="Book Antiqua" w:hAnsi="Book Antiqua" w:cs="Arial"/>
          <w:sz w:val="20"/>
          <w:szCs w:val="20"/>
        </w:rPr>
        <w:t>Z]</w:t>
      </w:r>
      <w:r w:rsidRPr="00B07F25">
        <w:rPr>
          <w:rFonts w:ascii="Book Antiqua" w:hAnsi="Book Antiqua" w:cs="Arial"/>
          <w:sz w:val="20"/>
          <w:szCs w:val="20"/>
        </w:rPr>
        <w:t>’s emotiona</w:t>
      </w:r>
      <w:r w:rsidR="00930DBE" w:rsidRPr="00B07F25">
        <w:rPr>
          <w:rFonts w:ascii="Book Antiqua" w:hAnsi="Book Antiqua" w:cs="Arial"/>
          <w:sz w:val="20"/>
          <w:szCs w:val="20"/>
        </w:rPr>
        <w:t>l and educational development if</w:t>
      </w:r>
      <w:r w:rsidRPr="00B07F25">
        <w:rPr>
          <w:rFonts w:ascii="Book Antiqua" w:hAnsi="Book Antiqua" w:cs="Arial"/>
          <w:sz w:val="20"/>
          <w:szCs w:val="20"/>
        </w:rPr>
        <w:t xml:space="preserve"> forced to leave the UK at this stage are: </w:t>
      </w:r>
    </w:p>
    <w:p w14:paraId="46B32836" w14:textId="5145FD37" w:rsidR="004C11B6" w:rsidRPr="00B07F25" w:rsidRDefault="004C11B6" w:rsidP="00930DBE">
      <w:pPr>
        <w:pStyle w:val="ListParagraph"/>
        <w:numPr>
          <w:ilvl w:val="0"/>
          <w:numId w:val="1"/>
        </w:numPr>
        <w:ind w:left="1701" w:hanging="567"/>
        <w:jc w:val="both"/>
        <w:rPr>
          <w:rFonts w:ascii="Book Antiqua" w:hAnsi="Book Antiqua" w:cs="Arial"/>
          <w:sz w:val="20"/>
          <w:szCs w:val="20"/>
        </w:rPr>
      </w:pPr>
      <w:r w:rsidRPr="00B07F25">
        <w:rPr>
          <w:rFonts w:ascii="Book Antiqua" w:hAnsi="Book Antiqua" w:cs="Arial"/>
          <w:sz w:val="20"/>
          <w:szCs w:val="20"/>
        </w:rPr>
        <w:t>Her academic attainment is likely to decrease.</w:t>
      </w:r>
    </w:p>
    <w:p w14:paraId="4F2BCAFA" w14:textId="1604A9F0" w:rsidR="004C11B6" w:rsidRPr="00B07F25" w:rsidRDefault="004C11B6" w:rsidP="00930DBE">
      <w:pPr>
        <w:pStyle w:val="ListParagraph"/>
        <w:numPr>
          <w:ilvl w:val="0"/>
          <w:numId w:val="1"/>
        </w:numPr>
        <w:ind w:left="1701" w:hanging="567"/>
        <w:jc w:val="both"/>
        <w:rPr>
          <w:rFonts w:ascii="Book Antiqua" w:hAnsi="Book Antiqua" w:cs="Arial"/>
          <w:sz w:val="20"/>
          <w:szCs w:val="20"/>
        </w:rPr>
      </w:pPr>
      <w:r w:rsidRPr="00B07F25">
        <w:rPr>
          <w:rFonts w:ascii="Book Antiqua" w:hAnsi="Book Antiqua" w:cs="Arial"/>
          <w:sz w:val="20"/>
          <w:szCs w:val="20"/>
        </w:rPr>
        <w:t>Her academic progress is likely to decrease.</w:t>
      </w:r>
    </w:p>
    <w:p w14:paraId="5304DF3B" w14:textId="4C07EE66" w:rsidR="004C11B6" w:rsidRPr="00B07F25" w:rsidRDefault="00930DBE" w:rsidP="00930DBE">
      <w:pPr>
        <w:pStyle w:val="ListParagraph"/>
        <w:numPr>
          <w:ilvl w:val="0"/>
          <w:numId w:val="1"/>
        </w:numPr>
        <w:ind w:left="1701" w:hanging="567"/>
        <w:jc w:val="both"/>
        <w:rPr>
          <w:rFonts w:ascii="Book Antiqua" w:hAnsi="Book Antiqua" w:cs="Arial"/>
          <w:sz w:val="20"/>
          <w:szCs w:val="20"/>
        </w:rPr>
      </w:pPr>
      <w:r w:rsidRPr="00B07F25">
        <w:rPr>
          <w:rFonts w:ascii="Book Antiqua" w:hAnsi="Book Antiqua" w:cs="Arial"/>
          <w:sz w:val="20"/>
          <w:szCs w:val="20"/>
        </w:rPr>
        <w:t>A</w:t>
      </w:r>
      <w:r w:rsidR="004C11B6" w:rsidRPr="00B07F25">
        <w:rPr>
          <w:rFonts w:ascii="Book Antiqua" w:hAnsi="Book Antiqua" w:cs="Arial"/>
          <w:sz w:val="20"/>
          <w:szCs w:val="20"/>
        </w:rPr>
        <w:t xml:space="preserve"> loss of friendships and stable relationships with her peers and teachers.</w:t>
      </w:r>
    </w:p>
    <w:p w14:paraId="76990D44" w14:textId="5817D053" w:rsidR="004C11B6" w:rsidRPr="00B07F25" w:rsidRDefault="004C11B6" w:rsidP="00930DBE">
      <w:pPr>
        <w:pStyle w:val="ListParagraph"/>
        <w:numPr>
          <w:ilvl w:val="0"/>
          <w:numId w:val="1"/>
        </w:numPr>
        <w:ind w:left="1701" w:hanging="567"/>
        <w:jc w:val="both"/>
        <w:rPr>
          <w:rFonts w:ascii="Book Antiqua" w:hAnsi="Book Antiqua" w:cs="Arial"/>
          <w:sz w:val="20"/>
          <w:szCs w:val="20"/>
        </w:rPr>
      </w:pPr>
      <w:r w:rsidRPr="00B07F25">
        <w:rPr>
          <w:rFonts w:ascii="Book Antiqua" w:hAnsi="Book Antiqua" w:cs="Arial"/>
          <w:sz w:val="20"/>
          <w:szCs w:val="20"/>
        </w:rPr>
        <w:t xml:space="preserve">Increase in </w:t>
      </w:r>
      <w:r w:rsidR="002E7954">
        <w:rPr>
          <w:rFonts w:ascii="Book Antiqua" w:hAnsi="Book Antiqua" w:cs="Arial"/>
          <w:sz w:val="20"/>
          <w:szCs w:val="20"/>
        </w:rPr>
        <w:t>[</w:t>
      </w:r>
      <w:r w:rsidR="002E7954" w:rsidRPr="00B07F25">
        <w:rPr>
          <w:rFonts w:ascii="Book Antiqua" w:hAnsi="Book Antiqua" w:cs="Arial"/>
          <w:sz w:val="20"/>
          <w:szCs w:val="20"/>
        </w:rPr>
        <w:t>L</w:t>
      </w:r>
      <w:r w:rsidR="002E7954">
        <w:rPr>
          <w:rFonts w:ascii="Book Antiqua" w:hAnsi="Book Antiqua" w:cs="Arial"/>
          <w:sz w:val="20"/>
          <w:szCs w:val="20"/>
        </w:rPr>
        <w:t>Z]</w:t>
      </w:r>
      <w:r w:rsidRPr="00B07F25">
        <w:rPr>
          <w:rFonts w:ascii="Book Antiqua" w:hAnsi="Book Antiqua" w:cs="Arial"/>
          <w:sz w:val="20"/>
          <w:szCs w:val="20"/>
        </w:rPr>
        <w:t xml:space="preserve">’s anxiety.  </w:t>
      </w:r>
    </w:p>
    <w:p w14:paraId="0AE5419F" w14:textId="77777777" w:rsidR="004C11B6" w:rsidRPr="00B07F25" w:rsidRDefault="004C11B6" w:rsidP="004C11B6">
      <w:pPr>
        <w:pStyle w:val="ListParagraph"/>
        <w:rPr>
          <w:rFonts w:ascii="Book Antiqua" w:hAnsi="Book Antiqua" w:cs="Arial"/>
          <w:sz w:val="20"/>
          <w:szCs w:val="20"/>
        </w:rPr>
      </w:pPr>
    </w:p>
    <w:p w14:paraId="03EDCBB0" w14:textId="37F2657D" w:rsidR="004C11B6" w:rsidRPr="00B07F25" w:rsidRDefault="004C11B6" w:rsidP="004C11B6">
      <w:pPr>
        <w:ind w:left="1134"/>
        <w:jc w:val="both"/>
        <w:rPr>
          <w:rFonts w:ascii="Book Antiqua" w:hAnsi="Book Antiqua" w:cs="Arial"/>
          <w:sz w:val="20"/>
          <w:szCs w:val="20"/>
        </w:rPr>
      </w:pPr>
      <w:r w:rsidRPr="00B07F25">
        <w:rPr>
          <w:rFonts w:ascii="Book Antiqua" w:hAnsi="Book Antiqua" w:cs="Arial"/>
          <w:sz w:val="20"/>
          <w:szCs w:val="20"/>
        </w:rPr>
        <w:t>For all these reasons</w:t>
      </w:r>
      <w:r w:rsidR="00930DBE" w:rsidRPr="00B07F25">
        <w:rPr>
          <w:rFonts w:ascii="Book Antiqua" w:hAnsi="Book Antiqua" w:cs="Arial"/>
          <w:sz w:val="20"/>
          <w:szCs w:val="20"/>
        </w:rPr>
        <w:t>,</w:t>
      </w:r>
      <w:r w:rsidRPr="00B07F25">
        <w:rPr>
          <w:rFonts w:ascii="Book Antiqua" w:hAnsi="Book Antiqua" w:cs="Arial"/>
          <w:sz w:val="20"/>
          <w:szCs w:val="20"/>
        </w:rPr>
        <w:t xml:space="preserve"> it is essential that the family are not forced to leave the UK at this stage if their wellbeing and education are not to suffer.  </w:t>
      </w:r>
    </w:p>
    <w:p w14:paraId="19BC8D35" w14:textId="4CEF006C" w:rsidR="004C11B6" w:rsidRPr="00B07F25" w:rsidRDefault="004C11B6" w:rsidP="004C11B6">
      <w:pPr>
        <w:ind w:left="567" w:firstLine="567"/>
        <w:jc w:val="both"/>
        <w:rPr>
          <w:rFonts w:ascii="Book Antiqua" w:hAnsi="Book Antiqua" w:cs="Arial"/>
          <w:sz w:val="20"/>
          <w:szCs w:val="20"/>
        </w:rPr>
      </w:pPr>
    </w:p>
    <w:p w14:paraId="07F010F2" w14:textId="602B4D03" w:rsidR="004C11B6" w:rsidRPr="00B07F25" w:rsidRDefault="00930DBE" w:rsidP="004C11B6">
      <w:pPr>
        <w:ind w:left="567" w:firstLine="567"/>
        <w:jc w:val="both"/>
        <w:rPr>
          <w:rFonts w:ascii="Book Antiqua" w:hAnsi="Book Antiqua" w:cs="Arial"/>
          <w:sz w:val="20"/>
          <w:szCs w:val="20"/>
        </w:rPr>
      </w:pPr>
      <w:r w:rsidRPr="00B07F25">
        <w:rPr>
          <w:rFonts w:ascii="Book Antiqua" w:hAnsi="Book Antiqua" w:cs="Arial"/>
          <w:sz w:val="20"/>
          <w:szCs w:val="20"/>
        </w:rPr>
        <w:t>Yours Sincerely,</w:t>
      </w:r>
      <w:r w:rsidR="004C11B6" w:rsidRPr="00B07F25">
        <w:rPr>
          <w:rFonts w:ascii="Book Antiqua" w:hAnsi="Book Antiqua" w:cs="Arial"/>
          <w:sz w:val="20"/>
          <w:szCs w:val="20"/>
        </w:rPr>
        <w:t>”</w:t>
      </w:r>
    </w:p>
    <w:p w14:paraId="770FBD25" w14:textId="25CFD67B" w:rsidR="004C11B6" w:rsidRDefault="004C11B6" w:rsidP="00847259">
      <w:pPr>
        <w:ind w:left="567" w:hanging="567"/>
        <w:jc w:val="both"/>
        <w:rPr>
          <w:rFonts w:ascii="Book Antiqua" w:hAnsi="Book Antiqua" w:cs="Arial"/>
        </w:rPr>
      </w:pPr>
    </w:p>
    <w:p w14:paraId="3163F4C4" w14:textId="5B4627B2" w:rsidR="004C11B6" w:rsidRDefault="00111B20" w:rsidP="00847259">
      <w:pPr>
        <w:ind w:left="567" w:hanging="567"/>
        <w:jc w:val="both"/>
        <w:rPr>
          <w:rFonts w:ascii="Book Antiqua" w:hAnsi="Book Antiqua" w:cs="Arial"/>
        </w:rPr>
      </w:pPr>
      <w:r>
        <w:rPr>
          <w:rFonts w:ascii="Book Antiqua" w:hAnsi="Book Antiqua" w:cs="Arial"/>
        </w:rPr>
        <w:t>6</w:t>
      </w:r>
      <w:r w:rsidR="004C11B6">
        <w:rPr>
          <w:rFonts w:ascii="Book Antiqua" w:hAnsi="Book Antiqua" w:cs="Arial"/>
        </w:rPr>
        <w:t>.</w:t>
      </w:r>
      <w:r w:rsidR="004C11B6">
        <w:rPr>
          <w:rFonts w:ascii="Book Antiqua" w:hAnsi="Book Antiqua" w:cs="Arial"/>
        </w:rPr>
        <w:tab/>
      </w:r>
      <w:r>
        <w:rPr>
          <w:rFonts w:ascii="Book Antiqua" w:hAnsi="Book Antiqua" w:cs="Arial"/>
        </w:rPr>
        <w:t>Ms Smith, for the appellants, points out</w:t>
      </w:r>
      <w:r w:rsidR="00084FDE">
        <w:rPr>
          <w:rFonts w:ascii="Book Antiqua" w:hAnsi="Book Antiqua" w:cs="Arial"/>
        </w:rPr>
        <w:t xml:space="preserve"> that ther</w:t>
      </w:r>
      <w:r>
        <w:rPr>
          <w:rFonts w:ascii="Book Antiqua" w:hAnsi="Book Antiqua" w:cs="Arial"/>
        </w:rPr>
        <w:t>e is no express reference to the</w:t>
      </w:r>
      <w:r w:rsidR="00084FDE">
        <w:rPr>
          <w:rFonts w:ascii="Book Antiqua" w:hAnsi="Book Antiqua" w:cs="Arial"/>
        </w:rPr>
        <w:t xml:space="preserve"> letter </w:t>
      </w:r>
      <w:r w:rsidR="00B47EA9">
        <w:rPr>
          <w:rFonts w:ascii="Book Antiqua" w:hAnsi="Book Antiqua" w:cs="Arial"/>
        </w:rPr>
        <w:t xml:space="preserve">or its content </w:t>
      </w:r>
      <w:r w:rsidR="00084FDE">
        <w:rPr>
          <w:rFonts w:ascii="Book Antiqua" w:hAnsi="Book Antiqua" w:cs="Arial"/>
        </w:rPr>
        <w:t>in the course of the decision.</w:t>
      </w:r>
      <w:r>
        <w:rPr>
          <w:rFonts w:ascii="Book Antiqua" w:hAnsi="Book Antiqua" w:cs="Arial"/>
        </w:rPr>
        <w:t xml:space="preserve">  Paragraph 21, however,</w:t>
      </w:r>
      <w:r w:rsidR="00084FDE">
        <w:rPr>
          <w:rFonts w:ascii="Book Antiqua" w:hAnsi="Book Antiqua" w:cs="Arial"/>
        </w:rPr>
        <w:t xml:space="preserve"> reads as follows: </w:t>
      </w:r>
    </w:p>
    <w:p w14:paraId="2936CCFA" w14:textId="0ECC92EA" w:rsidR="00084FDE" w:rsidRDefault="00084FDE" w:rsidP="00847259">
      <w:pPr>
        <w:ind w:left="567" w:hanging="567"/>
        <w:jc w:val="both"/>
        <w:rPr>
          <w:rFonts w:ascii="Book Antiqua" w:hAnsi="Book Antiqua" w:cs="Arial"/>
        </w:rPr>
      </w:pPr>
    </w:p>
    <w:p w14:paraId="59AD100F" w14:textId="77777777" w:rsidR="00B47EA9" w:rsidRDefault="00084FDE" w:rsidP="00084FDE">
      <w:pPr>
        <w:ind w:left="1134"/>
        <w:jc w:val="both"/>
        <w:rPr>
          <w:rFonts w:ascii="Book Antiqua" w:hAnsi="Book Antiqua" w:cs="Arial"/>
        </w:rPr>
      </w:pPr>
      <w:r>
        <w:rPr>
          <w:rFonts w:ascii="Book Antiqua" w:hAnsi="Book Antiqua" w:cs="Arial"/>
        </w:rPr>
        <w:t>“I have considered all the evidence in this appeal</w:t>
      </w:r>
      <w:r w:rsidR="00930DBE">
        <w:rPr>
          <w:rFonts w:ascii="Book Antiqua" w:hAnsi="Book Antiqua" w:cs="Arial"/>
        </w:rPr>
        <w:t>,</w:t>
      </w:r>
      <w:r>
        <w:rPr>
          <w:rFonts w:ascii="Book Antiqua" w:hAnsi="Book Antiqua" w:cs="Arial"/>
        </w:rPr>
        <w:t xml:space="preserve"> including evidence to which I have not specifically referred.  I have consi</w:t>
      </w:r>
      <w:r w:rsidR="00B47EA9">
        <w:rPr>
          <w:rFonts w:ascii="Book Antiqua" w:hAnsi="Book Antiqua" w:cs="Arial"/>
        </w:rPr>
        <w:t>dered the bundle of 279 pages.”</w:t>
      </w:r>
    </w:p>
    <w:p w14:paraId="49F03995" w14:textId="77777777" w:rsidR="00B47EA9" w:rsidRDefault="00B47EA9" w:rsidP="00B47EA9">
      <w:pPr>
        <w:jc w:val="both"/>
        <w:rPr>
          <w:rFonts w:ascii="Book Antiqua" w:hAnsi="Book Antiqua" w:cs="Arial"/>
        </w:rPr>
      </w:pPr>
    </w:p>
    <w:p w14:paraId="18F5AADF" w14:textId="0ABDC0B9" w:rsidR="00084FDE" w:rsidRDefault="00B47EA9" w:rsidP="00B47EA9">
      <w:pPr>
        <w:ind w:left="567"/>
        <w:jc w:val="both"/>
        <w:rPr>
          <w:rFonts w:ascii="Book Antiqua" w:hAnsi="Book Antiqua" w:cs="Arial"/>
        </w:rPr>
      </w:pPr>
      <w:r>
        <w:rPr>
          <w:rFonts w:ascii="Book Antiqua" w:hAnsi="Book Antiqua" w:cs="Arial"/>
        </w:rPr>
        <w:t>The letter occupies a prominent position at page 3 of this</w:t>
      </w:r>
      <w:r w:rsidR="00084FDE">
        <w:rPr>
          <w:rFonts w:ascii="Book Antiqua" w:hAnsi="Book Antiqua" w:cs="Arial"/>
        </w:rPr>
        <w:t xml:space="preserve"> extensive bundle.</w:t>
      </w:r>
      <w:r>
        <w:rPr>
          <w:rFonts w:ascii="Book Antiqua" w:hAnsi="Book Antiqua" w:cs="Arial"/>
        </w:rPr>
        <w:t xml:space="preserve"> </w:t>
      </w:r>
      <w:r w:rsidR="00111B20">
        <w:rPr>
          <w:rFonts w:ascii="Book Antiqua" w:hAnsi="Book Antiqua" w:cs="Arial"/>
        </w:rPr>
        <w:t>A</w:t>
      </w:r>
      <w:r w:rsidR="00084FDE">
        <w:rPr>
          <w:rFonts w:ascii="Book Antiqua" w:hAnsi="Book Antiqua" w:cs="Arial"/>
        </w:rPr>
        <w:t xml:space="preserve"> </w:t>
      </w:r>
      <w:r>
        <w:rPr>
          <w:rFonts w:ascii="Book Antiqua" w:hAnsi="Book Antiqua" w:cs="Arial"/>
        </w:rPr>
        <w:t xml:space="preserve">detailed </w:t>
      </w:r>
      <w:r w:rsidR="00084FDE">
        <w:rPr>
          <w:rFonts w:ascii="Book Antiqua" w:hAnsi="Book Antiqua" w:cs="Arial"/>
        </w:rPr>
        <w:t xml:space="preserve">skeleton argument </w:t>
      </w:r>
      <w:r>
        <w:rPr>
          <w:rFonts w:ascii="Book Antiqua" w:hAnsi="Book Antiqua" w:cs="Arial"/>
        </w:rPr>
        <w:t>from Ms Smith was before the First-tier Tribunal. It includes clear reference at</w:t>
      </w:r>
      <w:r w:rsidR="00084FDE">
        <w:rPr>
          <w:rFonts w:ascii="Book Antiqua" w:hAnsi="Book Antiqua" w:cs="Arial"/>
        </w:rPr>
        <w:t xml:space="preserve"> paragraph 24 to the letter </w:t>
      </w:r>
      <w:r w:rsidR="00111B20">
        <w:rPr>
          <w:rFonts w:ascii="Book Antiqua" w:hAnsi="Book Antiqua" w:cs="Arial"/>
        </w:rPr>
        <w:t>from which it quotes extensively.</w:t>
      </w:r>
      <w:r w:rsidR="00084FDE">
        <w:rPr>
          <w:rFonts w:ascii="Book Antiqua" w:hAnsi="Book Antiqua" w:cs="Arial"/>
        </w:rPr>
        <w:t xml:space="preserve">   </w:t>
      </w:r>
    </w:p>
    <w:p w14:paraId="676C02A6" w14:textId="77777777" w:rsidR="00084FDE" w:rsidRDefault="00084FDE" w:rsidP="00084FDE">
      <w:pPr>
        <w:jc w:val="both"/>
        <w:rPr>
          <w:rFonts w:ascii="Book Antiqua" w:hAnsi="Book Antiqua" w:cs="Arial"/>
        </w:rPr>
      </w:pPr>
    </w:p>
    <w:p w14:paraId="41AA2824" w14:textId="346026FA" w:rsidR="00961114" w:rsidRDefault="00821F06" w:rsidP="00084FDE">
      <w:pPr>
        <w:ind w:left="567" w:hanging="567"/>
        <w:jc w:val="both"/>
        <w:rPr>
          <w:rFonts w:ascii="Book Antiqua" w:hAnsi="Book Antiqua" w:cs="Arial"/>
        </w:rPr>
      </w:pPr>
      <w:r>
        <w:rPr>
          <w:rFonts w:ascii="Book Antiqua" w:hAnsi="Book Antiqua" w:cs="Arial"/>
        </w:rPr>
        <w:t>7</w:t>
      </w:r>
      <w:r w:rsidR="00084FDE">
        <w:rPr>
          <w:rFonts w:ascii="Book Antiqua" w:hAnsi="Book Antiqua" w:cs="Arial"/>
        </w:rPr>
        <w:t>.</w:t>
      </w:r>
      <w:r w:rsidR="00084FDE">
        <w:rPr>
          <w:rFonts w:ascii="Book Antiqua" w:hAnsi="Book Antiqua" w:cs="Arial"/>
        </w:rPr>
        <w:tab/>
      </w:r>
      <w:r>
        <w:rPr>
          <w:rFonts w:ascii="Book Antiqua" w:hAnsi="Book Antiqua" w:cs="Arial"/>
        </w:rPr>
        <w:t>Lo</w:t>
      </w:r>
      <w:r w:rsidR="00084FDE">
        <w:rPr>
          <w:rFonts w:ascii="Book Antiqua" w:hAnsi="Book Antiqua" w:cs="Arial"/>
        </w:rPr>
        <w:t xml:space="preserve">oking at this decision as </w:t>
      </w:r>
      <w:r>
        <w:rPr>
          <w:rFonts w:ascii="Book Antiqua" w:hAnsi="Book Antiqua" w:cs="Arial"/>
        </w:rPr>
        <w:t>a whole, the content of the letter</w:t>
      </w:r>
      <w:r w:rsidR="00084FDE">
        <w:rPr>
          <w:rFonts w:ascii="Book Antiqua" w:hAnsi="Book Antiqua" w:cs="Arial"/>
        </w:rPr>
        <w:t xml:space="preserve"> must have been</w:t>
      </w:r>
      <w:r w:rsidR="00205940">
        <w:rPr>
          <w:rFonts w:ascii="Book Antiqua" w:hAnsi="Book Antiqua" w:cs="Arial"/>
        </w:rPr>
        <w:t xml:space="preserve"> prominently </w:t>
      </w:r>
      <w:r w:rsidR="00084FDE">
        <w:rPr>
          <w:rFonts w:ascii="Book Antiqua" w:hAnsi="Book Antiqua" w:cs="Arial"/>
        </w:rPr>
        <w:t>within the mind of the jud</w:t>
      </w:r>
      <w:r>
        <w:rPr>
          <w:rFonts w:ascii="Book Antiqua" w:hAnsi="Book Antiqua" w:cs="Arial"/>
        </w:rPr>
        <w:t>ge when the decision was made</w:t>
      </w:r>
      <w:r w:rsidR="00084FDE">
        <w:rPr>
          <w:rFonts w:ascii="Book Antiqua" w:hAnsi="Book Antiqua" w:cs="Arial"/>
        </w:rPr>
        <w:t>.  Criticism is made that the judge does no</w:t>
      </w:r>
      <w:r>
        <w:rPr>
          <w:rFonts w:ascii="Book Antiqua" w:hAnsi="Book Antiqua" w:cs="Arial"/>
        </w:rPr>
        <w:t>t expressly reject the content. B</w:t>
      </w:r>
      <w:r w:rsidR="00084FDE">
        <w:rPr>
          <w:rFonts w:ascii="Book Antiqua" w:hAnsi="Book Antiqua" w:cs="Arial"/>
        </w:rPr>
        <w:t>ut the natural inference from silence is that the evidence has not been rejected but has been</w:t>
      </w:r>
      <w:r w:rsidR="00205940">
        <w:rPr>
          <w:rFonts w:ascii="Book Antiqua" w:hAnsi="Book Antiqua" w:cs="Arial"/>
        </w:rPr>
        <w:t xml:space="preserve"> accepted and</w:t>
      </w:r>
      <w:r w:rsidR="00084FDE">
        <w:rPr>
          <w:rFonts w:ascii="Book Antiqua" w:hAnsi="Book Antiqua" w:cs="Arial"/>
        </w:rPr>
        <w:t xml:space="preserve"> considered in the balance. </w:t>
      </w:r>
      <w:r>
        <w:rPr>
          <w:rFonts w:ascii="Book Antiqua" w:hAnsi="Book Antiqua" w:cs="Arial"/>
        </w:rPr>
        <w:t>Having regard to the totality of the evidence</w:t>
      </w:r>
      <w:r w:rsidR="00A03647">
        <w:rPr>
          <w:rFonts w:ascii="Book Antiqua" w:hAnsi="Book Antiqua" w:cs="Arial"/>
        </w:rPr>
        <w:t>,</w:t>
      </w:r>
      <w:r>
        <w:rPr>
          <w:rFonts w:ascii="Book Antiqua" w:hAnsi="Book Antiqua" w:cs="Arial"/>
        </w:rPr>
        <w:t xml:space="preserve"> the judge</w:t>
      </w:r>
      <w:r w:rsidR="00205940">
        <w:rPr>
          <w:rFonts w:ascii="Book Antiqua" w:hAnsi="Book Antiqua" w:cs="Arial"/>
        </w:rPr>
        <w:t xml:space="preserve">’s </w:t>
      </w:r>
      <w:r w:rsidR="00832CD7">
        <w:rPr>
          <w:rFonts w:ascii="Book Antiqua" w:hAnsi="Book Antiqua" w:cs="Arial"/>
        </w:rPr>
        <w:t>decision</w:t>
      </w:r>
      <w:r w:rsidR="00A03647">
        <w:rPr>
          <w:rFonts w:ascii="Book Antiqua" w:hAnsi="Book Antiqua" w:cs="Arial"/>
        </w:rPr>
        <w:t>s</w:t>
      </w:r>
      <w:r w:rsidR="00832CD7">
        <w:rPr>
          <w:rFonts w:ascii="Book Antiqua" w:hAnsi="Book Antiqua" w:cs="Arial"/>
        </w:rPr>
        <w:t xml:space="preserve"> on </w:t>
      </w:r>
      <w:r w:rsidR="00084FDE">
        <w:rPr>
          <w:rFonts w:ascii="Book Antiqua" w:hAnsi="Book Antiqua" w:cs="Arial"/>
        </w:rPr>
        <w:t>reasonable</w:t>
      </w:r>
      <w:r w:rsidR="00961114">
        <w:rPr>
          <w:rFonts w:ascii="Book Antiqua" w:hAnsi="Book Antiqua" w:cs="Arial"/>
        </w:rPr>
        <w:t>ness and on the application of</w:t>
      </w:r>
      <w:r w:rsidR="00084FDE">
        <w:rPr>
          <w:rFonts w:ascii="Book Antiqua" w:hAnsi="Book Antiqua" w:cs="Arial"/>
        </w:rPr>
        <w:t xml:space="preserve"> Article 8 </w:t>
      </w:r>
      <w:r w:rsidR="00205940">
        <w:rPr>
          <w:rFonts w:ascii="Book Antiqua" w:hAnsi="Book Antiqua" w:cs="Arial"/>
        </w:rPr>
        <w:t xml:space="preserve">were perfectly open to her and are </w:t>
      </w:r>
      <w:r w:rsidR="00961114">
        <w:rPr>
          <w:rFonts w:ascii="Book Antiqua" w:hAnsi="Book Antiqua" w:cs="Arial"/>
        </w:rPr>
        <w:t>sufficiently justified in her reasoning.</w:t>
      </w:r>
    </w:p>
    <w:p w14:paraId="2CB5B094" w14:textId="77777777" w:rsidR="00961114" w:rsidRDefault="00961114" w:rsidP="00084FDE">
      <w:pPr>
        <w:ind w:left="567" w:hanging="567"/>
        <w:jc w:val="both"/>
        <w:rPr>
          <w:rFonts w:ascii="Book Antiqua" w:hAnsi="Book Antiqua" w:cs="Arial"/>
        </w:rPr>
      </w:pPr>
    </w:p>
    <w:p w14:paraId="592CDED1" w14:textId="7AAF5CBF" w:rsidR="00084FDE" w:rsidRDefault="00084FDE" w:rsidP="00084FDE">
      <w:pPr>
        <w:ind w:left="567" w:hanging="567"/>
        <w:jc w:val="both"/>
        <w:rPr>
          <w:rFonts w:ascii="Book Antiqua" w:hAnsi="Book Antiqua" w:cs="Arial"/>
        </w:rPr>
      </w:pPr>
      <w:r>
        <w:rPr>
          <w:rFonts w:ascii="Book Antiqua" w:hAnsi="Book Antiqua" w:cs="Arial"/>
        </w:rPr>
        <w:t xml:space="preserve"> </w:t>
      </w:r>
      <w:r w:rsidR="00961114">
        <w:rPr>
          <w:rFonts w:ascii="Book Antiqua" w:hAnsi="Book Antiqua" w:cs="Arial"/>
        </w:rPr>
        <w:t>8.</w:t>
      </w:r>
      <w:r w:rsidR="00961114">
        <w:rPr>
          <w:rFonts w:ascii="Book Antiqua" w:hAnsi="Book Antiqua" w:cs="Arial"/>
        </w:rPr>
        <w:tab/>
      </w:r>
      <w:r w:rsidR="00CF39A9">
        <w:rPr>
          <w:rFonts w:ascii="Book Antiqua" w:hAnsi="Book Antiqua" w:cs="Arial"/>
        </w:rPr>
        <w:t>Where evidence is not specifically rejected, it can safely be assumed that it has been accepted and properly been taken into account.</w:t>
      </w:r>
      <w:r w:rsidR="00D81402">
        <w:rPr>
          <w:rFonts w:ascii="Book Antiqua" w:hAnsi="Book Antiqua" w:cs="Arial"/>
        </w:rPr>
        <w:t xml:space="preserve"> </w:t>
      </w:r>
      <w:r w:rsidR="00CF39A9">
        <w:rPr>
          <w:rFonts w:ascii="Book Antiqua" w:hAnsi="Book Antiqua" w:cs="Arial"/>
        </w:rPr>
        <w:t xml:space="preserve">I consider that to have been the case here. </w:t>
      </w:r>
      <w:proofErr w:type="spellStart"/>
      <w:r w:rsidR="00CF39A9">
        <w:rPr>
          <w:rFonts w:ascii="Book Antiqua" w:hAnsi="Book Antiqua" w:cs="Arial"/>
        </w:rPr>
        <w:t>W</w:t>
      </w:r>
      <w:r w:rsidR="00D81402">
        <w:rPr>
          <w:rFonts w:ascii="Book Antiqua" w:hAnsi="Book Antiqua" w:cs="Arial"/>
        </w:rPr>
        <w:t>ere</w:t>
      </w:r>
      <w:proofErr w:type="spellEnd"/>
      <w:r w:rsidR="00961114">
        <w:rPr>
          <w:rFonts w:ascii="Book Antiqua" w:hAnsi="Book Antiqua" w:cs="Arial"/>
        </w:rPr>
        <w:t xml:space="preserve"> I to set aside the</w:t>
      </w:r>
      <w:r>
        <w:rPr>
          <w:rFonts w:ascii="Book Antiqua" w:hAnsi="Book Antiqua" w:cs="Arial"/>
        </w:rPr>
        <w:t xml:space="preserve"> decision on </w:t>
      </w:r>
      <w:r w:rsidR="00832CD7">
        <w:rPr>
          <w:rFonts w:ascii="Book Antiqua" w:hAnsi="Book Antiqua" w:cs="Arial"/>
        </w:rPr>
        <w:t xml:space="preserve">the basis </w:t>
      </w:r>
      <w:r>
        <w:rPr>
          <w:rFonts w:ascii="Book Antiqua" w:hAnsi="Book Antiqua" w:cs="Arial"/>
        </w:rPr>
        <w:t>th</w:t>
      </w:r>
      <w:r w:rsidR="00832CD7">
        <w:rPr>
          <w:rFonts w:ascii="Book Antiqua" w:hAnsi="Book Antiqua" w:cs="Arial"/>
        </w:rPr>
        <w:t>a</w:t>
      </w:r>
      <w:r w:rsidR="00961114">
        <w:rPr>
          <w:rFonts w:ascii="Book Antiqua" w:hAnsi="Book Antiqua" w:cs="Arial"/>
        </w:rPr>
        <w:t>t the letter was</w:t>
      </w:r>
      <w:r>
        <w:rPr>
          <w:rFonts w:ascii="Book Antiqua" w:hAnsi="Book Antiqua" w:cs="Arial"/>
        </w:rPr>
        <w:t xml:space="preserve"> not expressly r</w:t>
      </w:r>
      <w:r w:rsidR="00961114">
        <w:rPr>
          <w:rFonts w:ascii="Book Antiqua" w:hAnsi="Book Antiqua" w:cs="Arial"/>
        </w:rPr>
        <w:t xml:space="preserve">eferred to and then </w:t>
      </w:r>
      <w:r>
        <w:rPr>
          <w:rFonts w:ascii="Book Antiqua" w:hAnsi="Book Antiqua" w:cs="Arial"/>
        </w:rPr>
        <w:t>remake the de</w:t>
      </w:r>
      <w:r w:rsidR="00961114">
        <w:rPr>
          <w:rFonts w:ascii="Book Antiqua" w:hAnsi="Book Antiqua" w:cs="Arial"/>
        </w:rPr>
        <w:t xml:space="preserve">cision, </w:t>
      </w:r>
      <w:r>
        <w:rPr>
          <w:rFonts w:ascii="Book Antiqua" w:hAnsi="Book Antiqua" w:cs="Arial"/>
        </w:rPr>
        <w:t xml:space="preserve">I </w:t>
      </w:r>
      <w:r w:rsidR="00961114">
        <w:rPr>
          <w:rFonts w:ascii="Book Antiqua" w:hAnsi="Book Antiqua" w:cs="Arial"/>
        </w:rPr>
        <w:t>would reach exactly the same conclusion</w:t>
      </w:r>
      <w:r w:rsidR="00205940">
        <w:rPr>
          <w:rFonts w:ascii="Book Antiqua" w:hAnsi="Book Antiqua" w:cs="Arial"/>
        </w:rPr>
        <w:t>s</w:t>
      </w:r>
      <w:r w:rsidR="00961114">
        <w:rPr>
          <w:rFonts w:ascii="Book Antiqua" w:hAnsi="Book Antiqua" w:cs="Arial"/>
        </w:rPr>
        <w:t xml:space="preserve"> as did the judge. </w:t>
      </w:r>
      <w:r>
        <w:rPr>
          <w:rFonts w:ascii="Book Antiqua" w:hAnsi="Book Antiqua" w:cs="Arial"/>
        </w:rPr>
        <w:t>There is n</w:t>
      </w:r>
      <w:r w:rsidR="00961114">
        <w:rPr>
          <w:rFonts w:ascii="Book Antiqua" w:hAnsi="Book Antiqua" w:cs="Arial"/>
        </w:rPr>
        <w:t>othing in the letter</w:t>
      </w:r>
      <w:r w:rsidR="00D81402">
        <w:rPr>
          <w:rFonts w:ascii="Book Antiqua" w:hAnsi="Book Antiqua" w:cs="Arial"/>
        </w:rPr>
        <w:t xml:space="preserve"> to suggest that the outcome would be anything other than how it</w:t>
      </w:r>
      <w:r w:rsidR="00CF39A9">
        <w:rPr>
          <w:rFonts w:ascii="Book Antiqua" w:hAnsi="Book Antiqua" w:cs="Arial"/>
        </w:rPr>
        <w:t xml:space="preserve"> was resolved in the First-tier Tribunal</w:t>
      </w:r>
      <w:r>
        <w:rPr>
          <w:rFonts w:ascii="Book Antiqua" w:hAnsi="Book Antiqua" w:cs="Arial"/>
        </w:rPr>
        <w:t>.</w:t>
      </w:r>
      <w:r w:rsidR="00CF39A9">
        <w:rPr>
          <w:rFonts w:ascii="Book Antiqua" w:hAnsi="Book Antiqua" w:cs="Arial"/>
        </w:rPr>
        <w:t xml:space="preserve"> The countervailing features are significant.</w:t>
      </w:r>
      <w:r>
        <w:rPr>
          <w:rFonts w:ascii="Book Antiqua" w:hAnsi="Book Antiqua" w:cs="Arial"/>
        </w:rPr>
        <w:t xml:space="preserve">  </w:t>
      </w:r>
    </w:p>
    <w:p w14:paraId="1C71617A" w14:textId="5E4C8B24" w:rsidR="00084FDE" w:rsidRDefault="00084FDE" w:rsidP="00084FDE">
      <w:pPr>
        <w:ind w:left="567" w:hanging="567"/>
        <w:jc w:val="both"/>
        <w:rPr>
          <w:rFonts w:ascii="Book Antiqua" w:hAnsi="Book Antiqua" w:cs="Arial"/>
        </w:rPr>
      </w:pPr>
    </w:p>
    <w:p w14:paraId="0716B66A" w14:textId="5A04EAD1" w:rsidR="0090194E" w:rsidRDefault="00A03647" w:rsidP="00CF39A9">
      <w:pPr>
        <w:ind w:left="567" w:hanging="567"/>
        <w:jc w:val="both"/>
        <w:rPr>
          <w:rFonts w:ascii="Book Antiqua" w:hAnsi="Book Antiqua" w:cs="Arial"/>
        </w:rPr>
      </w:pPr>
      <w:r>
        <w:rPr>
          <w:rFonts w:ascii="Book Antiqua" w:hAnsi="Book Antiqua" w:cs="Arial"/>
        </w:rPr>
        <w:t>9</w:t>
      </w:r>
      <w:r w:rsidR="00CF39A9">
        <w:rPr>
          <w:rFonts w:ascii="Book Antiqua" w:hAnsi="Book Antiqua" w:cs="Arial"/>
        </w:rPr>
        <w:t>.</w:t>
      </w:r>
      <w:r w:rsidR="00CF39A9">
        <w:rPr>
          <w:rFonts w:ascii="Book Antiqua" w:hAnsi="Book Antiqua" w:cs="Arial"/>
        </w:rPr>
        <w:tab/>
        <w:t xml:space="preserve">The second </w:t>
      </w:r>
      <w:r w:rsidR="00D81402">
        <w:rPr>
          <w:rFonts w:ascii="Book Antiqua" w:hAnsi="Book Antiqua" w:cs="Arial"/>
        </w:rPr>
        <w:t>ground</w:t>
      </w:r>
      <w:r w:rsidR="00084FDE">
        <w:rPr>
          <w:rFonts w:ascii="Book Antiqua" w:hAnsi="Book Antiqua" w:cs="Arial"/>
        </w:rPr>
        <w:t xml:space="preserve"> is that there was no </w:t>
      </w:r>
      <w:r w:rsidR="00832CD7">
        <w:rPr>
          <w:rFonts w:ascii="Book Antiqua" w:hAnsi="Book Antiqua" w:cs="Arial"/>
        </w:rPr>
        <w:t>express</w:t>
      </w:r>
      <w:r w:rsidR="00084FDE">
        <w:rPr>
          <w:rFonts w:ascii="Book Antiqua" w:hAnsi="Book Antiqua" w:cs="Arial"/>
        </w:rPr>
        <w:t xml:space="preserve"> reference in the cou</w:t>
      </w:r>
      <w:r w:rsidR="00CF39A9">
        <w:rPr>
          <w:rFonts w:ascii="Book Antiqua" w:hAnsi="Book Antiqua" w:cs="Arial"/>
        </w:rPr>
        <w:t>rse of the decision to a country expert report from</w:t>
      </w:r>
      <w:r w:rsidR="0090194E">
        <w:rPr>
          <w:rFonts w:ascii="Book Antiqua" w:hAnsi="Book Antiqua" w:cs="Arial"/>
        </w:rPr>
        <w:t xml:space="preserve"> David Seddon</w:t>
      </w:r>
      <w:r w:rsidR="00272E75">
        <w:rPr>
          <w:rFonts w:ascii="Book Antiqua" w:hAnsi="Book Antiqua" w:cs="Arial"/>
        </w:rPr>
        <w:t xml:space="preserve">. Even though this is not an asylum claim, it is said that the report is supportive of the suggestion that the mother’s fear of family reprisal or </w:t>
      </w:r>
      <w:r w:rsidR="0090194E">
        <w:rPr>
          <w:rFonts w:ascii="Book Antiqua" w:hAnsi="Book Antiqua" w:cs="Arial"/>
        </w:rPr>
        <w:t xml:space="preserve">honour violence </w:t>
      </w:r>
      <w:r w:rsidR="00272E75">
        <w:rPr>
          <w:rFonts w:ascii="Book Antiqua" w:hAnsi="Book Antiqua" w:cs="Arial"/>
        </w:rPr>
        <w:t xml:space="preserve">is genuine and subjectively well founded. </w:t>
      </w:r>
      <w:r w:rsidR="0090194E">
        <w:rPr>
          <w:rFonts w:ascii="Book Antiqua" w:hAnsi="Book Antiqua" w:cs="Arial"/>
        </w:rPr>
        <w:t>I do not consider t</w:t>
      </w:r>
      <w:r w:rsidR="00272E75">
        <w:rPr>
          <w:rFonts w:ascii="Book Antiqua" w:hAnsi="Book Antiqua" w:cs="Arial"/>
        </w:rPr>
        <w:t>hat the lack of express reference</w:t>
      </w:r>
      <w:r w:rsidR="0090194E">
        <w:rPr>
          <w:rFonts w:ascii="Book Antiqua" w:hAnsi="Book Antiqua" w:cs="Arial"/>
        </w:rPr>
        <w:t xml:space="preserve"> to th</w:t>
      </w:r>
      <w:r w:rsidR="00272E75">
        <w:rPr>
          <w:rFonts w:ascii="Book Antiqua" w:hAnsi="Book Antiqua" w:cs="Arial"/>
        </w:rPr>
        <w:t xml:space="preserve">e </w:t>
      </w:r>
      <w:r w:rsidR="0090194E">
        <w:rPr>
          <w:rFonts w:ascii="Book Antiqua" w:hAnsi="Book Antiqua" w:cs="Arial"/>
        </w:rPr>
        <w:t xml:space="preserve">report by David Seddon </w:t>
      </w:r>
      <w:r w:rsidR="00272E75">
        <w:rPr>
          <w:rFonts w:ascii="Book Antiqua" w:hAnsi="Book Antiqua" w:cs="Arial"/>
        </w:rPr>
        <w:t>amounts to an error of law</w:t>
      </w:r>
      <w:r w:rsidR="0090194E">
        <w:rPr>
          <w:rFonts w:ascii="Book Antiqua" w:hAnsi="Book Antiqua" w:cs="Arial"/>
        </w:rPr>
        <w:t>.</w:t>
      </w:r>
      <w:r w:rsidR="007447ED">
        <w:rPr>
          <w:rFonts w:ascii="Book Antiqua" w:hAnsi="Book Antiqua" w:cs="Arial"/>
        </w:rPr>
        <w:t xml:space="preserve"> The conclusions which the judge reached were open to her on the </w:t>
      </w:r>
      <w:r w:rsidR="007447ED">
        <w:rPr>
          <w:rFonts w:ascii="Book Antiqua" w:hAnsi="Book Antiqua" w:cs="Arial"/>
        </w:rPr>
        <w:lastRenderedPageBreak/>
        <w:t>evidence.</w:t>
      </w:r>
      <w:r w:rsidR="00205940">
        <w:rPr>
          <w:rFonts w:ascii="Book Antiqua" w:hAnsi="Book Antiqua" w:cs="Arial"/>
        </w:rPr>
        <w:t xml:space="preserve"> At best the expert eviden</w:t>
      </w:r>
      <w:r w:rsidR="00276B97">
        <w:rPr>
          <w:rFonts w:ascii="Book Antiqua" w:hAnsi="Book Antiqua" w:cs="Arial"/>
        </w:rPr>
        <w:t>ce was peripheral and from the tenor of the overall decision, it is apparent</w:t>
      </w:r>
      <w:r w:rsidR="00205940">
        <w:rPr>
          <w:rFonts w:ascii="Book Antiqua" w:hAnsi="Book Antiqua" w:cs="Arial"/>
        </w:rPr>
        <w:t xml:space="preserve"> that it was properly taken onto account by the judge.</w:t>
      </w:r>
    </w:p>
    <w:p w14:paraId="247CDD50" w14:textId="77777777" w:rsidR="0090194E" w:rsidRDefault="0090194E" w:rsidP="00084FDE">
      <w:pPr>
        <w:ind w:left="567" w:hanging="567"/>
        <w:jc w:val="both"/>
        <w:rPr>
          <w:rFonts w:ascii="Book Antiqua" w:hAnsi="Book Antiqua" w:cs="Arial"/>
        </w:rPr>
      </w:pPr>
    </w:p>
    <w:p w14:paraId="54F25FDA" w14:textId="06E36C5C" w:rsidR="00791807" w:rsidRDefault="00276B97" w:rsidP="00084FDE">
      <w:pPr>
        <w:ind w:left="567" w:hanging="567"/>
        <w:jc w:val="both"/>
        <w:rPr>
          <w:rFonts w:ascii="Book Antiqua" w:hAnsi="Book Antiqua" w:cs="Arial"/>
        </w:rPr>
      </w:pPr>
      <w:r>
        <w:rPr>
          <w:rFonts w:ascii="Book Antiqua" w:hAnsi="Book Antiqua" w:cs="Arial"/>
        </w:rPr>
        <w:t>10</w:t>
      </w:r>
      <w:r w:rsidR="007447ED">
        <w:rPr>
          <w:rFonts w:ascii="Book Antiqua" w:hAnsi="Book Antiqua" w:cs="Arial"/>
        </w:rPr>
        <w:t>.</w:t>
      </w:r>
      <w:r w:rsidR="007447ED">
        <w:rPr>
          <w:rFonts w:ascii="Book Antiqua" w:hAnsi="Book Antiqua" w:cs="Arial"/>
        </w:rPr>
        <w:tab/>
      </w:r>
      <w:r w:rsidR="0090194E">
        <w:rPr>
          <w:rFonts w:ascii="Book Antiqua" w:hAnsi="Book Antiqua" w:cs="Arial"/>
        </w:rPr>
        <w:t xml:space="preserve">Ms Smith says that in this case the </w:t>
      </w:r>
      <w:r w:rsidR="007447ED">
        <w:rPr>
          <w:rFonts w:ascii="Book Antiqua" w:hAnsi="Book Antiqua" w:cs="Arial"/>
        </w:rPr>
        <w:t>“</w:t>
      </w:r>
      <w:r w:rsidR="0090194E">
        <w:rPr>
          <w:rFonts w:ascii="Book Antiqua" w:hAnsi="Book Antiqua" w:cs="Arial"/>
        </w:rPr>
        <w:t>catch all</w:t>
      </w:r>
      <w:r w:rsidR="007447ED">
        <w:rPr>
          <w:rFonts w:ascii="Book Antiqua" w:hAnsi="Book Antiqua" w:cs="Arial"/>
        </w:rPr>
        <w:t xml:space="preserve">” recital </w:t>
      </w:r>
      <w:r w:rsidR="00B96622">
        <w:rPr>
          <w:rFonts w:ascii="Book Antiqua" w:hAnsi="Book Antiqua" w:cs="Arial"/>
        </w:rPr>
        <w:t xml:space="preserve">of the evidence </w:t>
      </w:r>
      <w:r w:rsidR="007447ED">
        <w:rPr>
          <w:rFonts w:ascii="Book Antiqua" w:hAnsi="Book Antiqua" w:cs="Arial"/>
        </w:rPr>
        <w:t>at paragraph 21 of the decision is insufficient</w:t>
      </w:r>
      <w:r w:rsidR="00B96622">
        <w:rPr>
          <w:rFonts w:ascii="Book Antiqua" w:hAnsi="Book Antiqua" w:cs="Arial"/>
        </w:rPr>
        <w:t xml:space="preserve"> </w:t>
      </w:r>
      <w:r w:rsidR="0090194E">
        <w:rPr>
          <w:rFonts w:ascii="Book Antiqua" w:hAnsi="Book Antiqua" w:cs="Arial"/>
        </w:rPr>
        <w:t>be</w:t>
      </w:r>
      <w:r w:rsidR="007447ED">
        <w:rPr>
          <w:rFonts w:ascii="Book Antiqua" w:hAnsi="Book Antiqua" w:cs="Arial"/>
        </w:rPr>
        <w:t xml:space="preserve">cause of the centrality and </w:t>
      </w:r>
      <w:r w:rsidR="0090194E">
        <w:rPr>
          <w:rFonts w:ascii="Book Antiqua" w:hAnsi="Book Antiqua" w:cs="Arial"/>
        </w:rPr>
        <w:t>importance of t</w:t>
      </w:r>
      <w:r w:rsidR="007447ED">
        <w:rPr>
          <w:rFonts w:ascii="Book Antiqua" w:hAnsi="Book Antiqua" w:cs="Arial"/>
        </w:rPr>
        <w:t xml:space="preserve">he letter </w:t>
      </w:r>
      <w:r w:rsidR="00816A57">
        <w:rPr>
          <w:rFonts w:ascii="Book Antiqua" w:hAnsi="Book Antiqua" w:cs="Arial"/>
        </w:rPr>
        <w:t>of the assistant headteacher</w:t>
      </w:r>
      <w:r w:rsidR="00B96622">
        <w:rPr>
          <w:rFonts w:ascii="Book Antiqua" w:hAnsi="Book Antiqua" w:cs="Arial"/>
        </w:rPr>
        <w:t>.  I consider that t</w:t>
      </w:r>
      <w:r w:rsidR="00816A57">
        <w:rPr>
          <w:rFonts w:ascii="Book Antiqua" w:hAnsi="Book Antiqua" w:cs="Arial"/>
        </w:rPr>
        <w:t xml:space="preserve">his overstates </w:t>
      </w:r>
      <w:r w:rsidR="0045695A">
        <w:rPr>
          <w:rFonts w:ascii="Book Antiqua" w:hAnsi="Book Antiqua" w:cs="Arial"/>
        </w:rPr>
        <w:t>the position. Whilst i</w:t>
      </w:r>
      <w:r w:rsidR="00816A57">
        <w:rPr>
          <w:rFonts w:ascii="Book Antiqua" w:hAnsi="Book Antiqua" w:cs="Arial"/>
        </w:rPr>
        <w:t>t might have been more prudent</w:t>
      </w:r>
      <w:r w:rsidR="0045695A">
        <w:rPr>
          <w:rFonts w:ascii="Book Antiqua" w:hAnsi="Book Antiqua" w:cs="Arial"/>
        </w:rPr>
        <w:t xml:space="preserve"> for the</w:t>
      </w:r>
      <w:r w:rsidR="00816A57">
        <w:rPr>
          <w:rFonts w:ascii="Book Antiqua" w:hAnsi="Book Antiqua" w:cs="Arial"/>
        </w:rPr>
        <w:t xml:space="preserve"> judge</w:t>
      </w:r>
      <w:r w:rsidR="0090194E">
        <w:rPr>
          <w:rFonts w:ascii="Book Antiqua" w:hAnsi="Book Antiqua" w:cs="Arial"/>
        </w:rPr>
        <w:t xml:space="preserve"> expressl</w:t>
      </w:r>
      <w:r w:rsidR="00816A57">
        <w:rPr>
          <w:rFonts w:ascii="Book Antiqua" w:hAnsi="Book Antiqua" w:cs="Arial"/>
        </w:rPr>
        <w:t>y to have made reference to the letter</w:t>
      </w:r>
      <w:r w:rsidR="00B96622">
        <w:rPr>
          <w:rFonts w:ascii="Book Antiqua" w:hAnsi="Book Antiqua" w:cs="Arial"/>
        </w:rPr>
        <w:t>,</w:t>
      </w:r>
      <w:r w:rsidR="00816A57">
        <w:rPr>
          <w:rFonts w:ascii="Book Antiqua" w:hAnsi="Book Antiqua" w:cs="Arial"/>
        </w:rPr>
        <w:t xml:space="preserve"> and arguably also David </w:t>
      </w:r>
      <w:r w:rsidR="0090194E">
        <w:rPr>
          <w:rFonts w:ascii="Book Antiqua" w:hAnsi="Book Antiqua" w:cs="Arial"/>
        </w:rPr>
        <w:t>Seddon’s report</w:t>
      </w:r>
      <w:r w:rsidR="0045695A">
        <w:rPr>
          <w:rFonts w:ascii="Book Antiqua" w:hAnsi="Book Antiqua" w:cs="Arial"/>
        </w:rPr>
        <w:t xml:space="preserve">, </w:t>
      </w:r>
      <w:r w:rsidR="00B96622">
        <w:rPr>
          <w:rFonts w:ascii="Book Antiqua" w:hAnsi="Book Antiqua" w:cs="Arial"/>
        </w:rPr>
        <w:t>i</w:t>
      </w:r>
      <w:r w:rsidR="00816A57">
        <w:rPr>
          <w:rFonts w:ascii="Book Antiqua" w:hAnsi="Book Antiqua" w:cs="Arial"/>
        </w:rPr>
        <w:t>t would not have resulted in</w:t>
      </w:r>
      <w:r w:rsidR="0090194E">
        <w:rPr>
          <w:rFonts w:ascii="Book Antiqua" w:hAnsi="Book Antiqua" w:cs="Arial"/>
        </w:rPr>
        <w:t xml:space="preserve"> a different outcome</w:t>
      </w:r>
      <w:r w:rsidR="00816A57">
        <w:rPr>
          <w:rFonts w:ascii="Book Antiqua" w:hAnsi="Book Antiqua" w:cs="Arial"/>
        </w:rPr>
        <w:t>. It is implici</w:t>
      </w:r>
      <w:r w:rsidR="00791807">
        <w:rPr>
          <w:rFonts w:ascii="Book Antiqua" w:hAnsi="Book Antiqua" w:cs="Arial"/>
        </w:rPr>
        <w:t>t from the decision that there has been a careful evaluation and weighing of the evi</w:t>
      </w:r>
      <w:r>
        <w:rPr>
          <w:rFonts w:ascii="Book Antiqua" w:hAnsi="Book Antiqua" w:cs="Arial"/>
        </w:rPr>
        <w:t>dence. The reasoning is sufficient and</w:t>
      </w:r>
      <w:r w:rsidR="00791807">
        <w:rPr>
          <w:rFonts w:ascii="Book Antiqua" w:hAnsi="Book Antiqua" w:cs="Arial"/>
        </w:rPr>
        <w:t xml:space="preserve"> clear.</w:t>
      </w:r>
    </w:p>
    <w:p w14:paraId="43D5AF97" w14:textId="77777777" w:rsidR="00791807" w:rsidRDefault="00791807" w:rsidP="00084FDE">
      <w:pPr>
        <w:ind w:left="567" w:hanging="567"/>
        <w:jc w:val="both"/>
        <w:rPr>
          <w:rFonts w:ascii="Book Antiqua" w:hAnsi="Book Antiqua" w:cs="Arial"/>
        </w:rPr>
      </w:pPr>
    </w:p>
    <w:p w14:paraId="3982D598" w14:textId="2C6D6C57" w:rsidR="00084FDE" w:rsidRPr="00AE6DDE" w:rsidRDefault="0090194E" w:rsidP="00084FDE">
      <w:pPr>
        <w:ind w:left="567" w:hanging="567"/>
        <w:jc w:val="both"/>
        <w:rPr>
          <w:rFonts w:ascii="Book Antiqua" w:hAnsi="Book Antiqua" w:cs="Arial"/>
        </w:rPr>
      </w:pPr>
      <w:r>
        <w:rPr>
          <w:rFonts w:ascii="Book Antiqua" w:hAnsi="Book Antiqua" w:cs="Arial"/>
        </w:rPr>
        <w:t xml:space="preserve"> </w:t>
      </w:r>
      <w:r w:rsidR="00276B97">
        <w:rPr>
          <w:rFonts w:ascii="Book Antiqua" w:hAnsi="Book Antiqua" w:cs="Arial"/>
        </w:rPr>
        <w:t>11</w:t>
      </w:r>
      <w:r w:rsidR="00FA309A">
        <w:rPr>
          <w:rFonts w:ascii="Book Antiqua" w:hAnsi="Book Antiqua" w:cs="Arial"/>
        </w:rPr>
        <w:t>.</w:t>
      </w:r>
      <w:r w:rsidR="00FA309A">
        <w:rPr>
          <w:rFonts w:ascii="Book Antiqua" w:hAnsi="Book Antiqua" w:cs="Arial"/>
        </w:rPr>
        <w:tab/>
        <w:t>It al</w:t>
      </w:r>
      <w:r w:rsidR="00872112">
        <w:rPr>
          <w:rFonts w:ascii="Book Antiqua" w:hAnsi="Book Antiqua" w:cs="Arial"/>
        </w:rPr>
        <w:t xml:space="preserve">l the circumstances, not least the inevitable outcome </w:t>
      </w:r>
      <w:proofErr w:type="gramStart"/>
      <w:r w:rsidR="00872112">
        <w:rPr>
          <w:rFonts w:ascii="Book Antiqua" w:hAnsi="Book Antiqua" w:cs="Arial"/>
        </w:rPr>
        <w:t>were</w:t>
      </w:r>
      <w:proofErr w:type="gramEnd"/>
      <w:r w:rsidR="00872112">
        <w:rPr>
          <w:rFonts w:ascii="Book Antiqua" w:hAnsi="Book Antiqua" w:cs="Arial"/>
        </w:rPr>
        <w:t xml:space="preserve"> the decision to be</w:t>
      </w:r>
      <w:r w:rsidR="00FA309A">
        <w:rPr>
          <w:rFonts w:ascii="Book Antiqua" w:hAnsi="Book Antiqua" w:cs="Arial"/>
        </w:rPr>
        <w:t xml:space="preserve"> remade, it </w:t>
      </w:r>
      <w:r>
        <w:rPr>
          <w:rFonts w:ascii="Book Antiqua" w:hAnsi="Book Antiqua" w:cs="Arial"/>
        </w:rPr>
        <w:t>would not</w:t>
      </w:r>
      <w:r w:rsidR="00872112">
        <w:rPr>
          <w:rFonts w:ascii="Book Antiqua" w:hAnsi="Book Antiqua" w:cs="Arial"/>
        </w:rPr>
        <w:t xml:space="preserve"> be appropriate </w:t>
      </w:r>
      <w:r>
        <w:rPr>
          <w:rFonts w:ascii="Book Antiqua" w:hAnsi="Book Antiqua" w:cs="Arial"/>
        </w:rPr>
        <w:t>to set aside the First-tier Tribunal</w:t>
      </w:r>
      <w:r w:rsidR="00FA309A">
        <w:rPr>
          <w:rFonts w:ascii="Book Antiqua" w:hAnsi="Book Antiqua" w:cs="Arial"/>
        </w:rPr>
        <w:t>’s decision. For the</w:t>
      </w:r>
      <w:r>
        <w:rPr>
          <w:rFonts w:ascii="Book Antiqua" w:hAnsi="Book Antiqua" w:cs="Arial"/>
        </w:rPr>
        <w:t>se reasons</w:t>
      </w:r>
      <w:r w:rsidR="00FA309A">
        <w:rPr>
          <w:rFonts w:ascii="Book Antiqua" w:hAnsi="Book Antiqua" w:cs="Arial"/>
        </w:rPr>
        <w:t>,</w:t>
      </w:r>
      <w:r>
        <w:rPr>
          <w:rFonts w:ascii="Book Antiqua" w:hAnsi="Book Antiqua" w:cs="Arial"/>
        </w:rPr>
        <w:t xml:space="preserve"> this appeal is dismissed.</w:t>
      </w:r>
    </w:p>
    <w:p w14:paraId="4B782B42" w14:textId="77777777" w:rsidR="0045695A" w:rsidRDefault="0045695A" w:rsidP="00847259">
      <w:pPr>
        <w:jc w:val="both"/>
        <w:rPr>
          <w:rFonts w:ascii="Book Antiqua" w:hAnsi="Book Antiqua" w:cs="Arial"/>
        </w:rPr>
      </w:pPr>
    </w:p>
    <w:p w14:paraId="72E63F16" w14:textId="77777777" w:rsidR="00FA309A" w:rsidRPr="00FA309A" w:rsidRDefault="00FA309A" w:rsidP="00847259">
      <w:pPr>
        <w:jc w:val="both"/>
        <w:rPr>
          <w:rFonts w:ascii="Book Antiqua" w:hAnsi="Book Antiqua" w:cs="Arial"/>
          <w:b/>
          <w:u w:val="single"/>
        </w:rPr>
      </w:pPr>
      <w:r w:rsidRPr="00FA309A">
        <w:rPr>
          <w:rFonts w:ascii="Book Antiqua" w:hAnsi="Book Antiqua" w:cs="Arial"/>
          <w:b/>
          <w:u w:val="single"/>
        </w:rPr>
        <w:t>Notice of Decision</w:t>
      </w:r>
    </w:p>
    <w:p w14:paraId="2F9A912C" w14:textId="7C5DA502" w:rsidR="00FA309A" w:rsidRPr="00FA309A" w:rsidRDefault="00FA309A" w:rsidP="002E7954">
      <w:pPr>
        <w:pStyle w:val="ListParagraph"/>
        <w:numPr>
          <w:ilvl w:val="0"/>
          <w:numId w:val="2"/>
        </w:numPr>
        <w:spacing w:before="240"/>
        <w:ind w:left="714" w:hanging="357"/>
        <w:contextualSpacing w:val="0"/>
        <w:jc w:val="both"/>
        <w:rPr>
          <w:rFonts w:ascii="Book Antiqua" w:hAnsi="Book Antiqua" w:cs="Arial"/>
          <w:b/>
          <w:u w:val="single"/>
        </w:rPr>
      </w:pPr>
      <w:r>
        <w:rPr>
          <w:rFonts w:ascii="Book Antiqua" w:hAnsi="Book Antiqua" w:cs="Arial"/>
        </w:rPr>
        <w:t>Appeal dismissed.</w:t>
      </w:r>
    </w:p>
    <w:p w14:paraId="336A2A22" w14:textId="57C003C6" w:rsidR="00847259" w:rsidRPr="00FA309A" w:rsidRDefault="00847259" w:rsidP="002E7954">
      <w:pPr>
        <w:pStyle w:val="ListParagraph"/>
        <w:numPr>
          <w:ilvl w:val="0"/>
          <w:numId w:val="2"/>
        </w:numPr>
        <w:spacing w:before="240"/>
        <w:ind w:left="714" w:hanging="357"/>
        <w:contextualSpacing w:val="0"/>
        <w:jc w:val="both"/>
        <w:rPr>
          <w:rFonts w:ascii="Book Antiqua" w:hAnsi="Book Antiqua" w:cs="Arial"/>
          <w:b/>
          <w:u w:val="single"/>
        </w:rPr>
      </w:pPr>
      <w:r w:rsidRPr="00FA309A">
        <w:rPr>
          <w:rFonts w:ascii="Book Antiqua" w:hAnsi="Book Antiqua" w:cs="Arial"/>
        </w:rPr>
        <w:t>No anonymity direction is made.</w:t>
      </w:r>
    </w:p>
    <w:p w14:paraId="0ADF2F79" w14:textId="77777777" w:rsidR="00847259" w:rsidRDefault="00847259" w:rsidP="00847259">
      <w:pPr>
        <w:jc w:val="both"/>
        <w:rPr>
          <w:rFonts w:ascii="Book Antiqua" w:hAnsi="Book Antiqua" w:cs="Arial"/>
        </w:rPr>
      </w:pPr>
    </w:p>
    <w:p w14:paraId="52AA519B" w14:textId="77777777" w:rsidR="001F2716" w:rsidRPr="00AE6DDE" w:rsidRDefault="001F2716" w:rsidP="00847259">
      <w:pPr>
        <w:jc w:val="both"/>
        <w:rPr>
          <w:rFonts w:ascii="Book Antiqua" w:hAnsi="Book Antiqua" w:cs="Arial"/>
        </w:rPr>
      </w:pPr>
    </w:p>
    <w:p w14:paraId="6B099B85" w14:textId="77777777" w:rsidR="00A509FA" w:rsidRPr="00AE6DDE" w:rsidRDefault="00A509FA" w:rsidP="00847259">
      <w:pPr>
        <w:jc w:val="both"/>
        <w:rPr>
          <w:rFonts w:ascii="Book Antiqua" w:hAnsi="Book Antiqua" w:cs="Arial"/>
        </w:rPr>
      </w:pPr>
    </w:p>
    <w:p w14:paraId="6AA032F4" w14:textId="522D4721" w:rsidR="001F2716" w:rsidRPr="00AE6DDE" w:rsidRDefault="00FA309A" w:rsidP="00847259">
      <w:pPr>
        <w:jc w:val="both"/>
        <w:rPr>
          <w:rFonts w:ascii="Book Antiqua" w:hAnsi="Book Antiqua" w:cs="Arial"/>
        </w:rPr>
      </w:pPr>
      <w:r>
        <w:rPr>
          <w:rFonts w:ascii="Book Antiqua" w:hAnsi="Book Antiqua" w:cs="Arial"/>
        </w:rPr>
        <w:t>Signed</w:t>
      </w:r>
      <w:r w:rsidR="009E5381">
        <w:rPr>
          <w:rFonts w:ascii="Book Antiqua" w:hAnsi="Book Antiqua" w:cs="Arial"/>
        </w:rPr>
        <w:t xml:space="preserve">:  </w:t>
      </w:r>
      <w:r>
        <w:rPr>
          <w:rFonts w:ascii="Book Antiqua" w:hAnsi="Book Antiqua" w:cs="Arial"/>
          <w:i/>
        </w:rPr>
        <w:t xml:space="preserve">Mark Hill </w:t>
      </w:r>
      <w:r w:rsidR="00780F86" w:rsidRPr="00AE6DDE">
        <w:rPr>
          <w:rFonts w:ascii="Book Antiqua" w:hAnsi="Book Antiqua" w:cs="Arial"/>
        </w:rPr>
        <w:tab/>
      </w:r>
      <w:r w:rsidR="00780F86" w:rsidRPr="00AE6DDE">
        <w:rPr>
          <w:rFonts w:ascii="Book Antiqua" w:hAnsi="Book Antiqua" w:cs="Arial"/>
        </w:rPr>
        <w:tab/>
      </w:r>
      <w:r w:rsidR="00780F86" w:rsidRPr="00AE6DDE">
        <w:rPr>
          <w:rFonts w:ascii="Book Antiqua" w:hAnsi="Book Antiqua" w:cs="Arial"/>
        </w:rPr>
        <w:tab/>
      </w:r>
      <w:r w:rsidR="00780F86" w:rsidRPr="00AE6DDE">
        <w:rPr>
          <w:rFonts w:ascii="Book Antiqua" w:hAnsi="Book Antiqua" w:cs="Arial"/>
        </w:rPr>
        <w:tab/>
      </w:r>
      <w:r w:rsidR="00780F86" w:rsidRPr="00AE6DDE">
        <w:rPr>
          <w:rFonts w:ascii="Book Antiqua" w:hAnsi="Book Antiqua" w:cs="Arial"/>
        </w:rPr>
        <w:tab/>
      </w:r>
      <w:r w:rsidR="009E5381">
        <w:rPr>
          <w:rFonts w:ascii="Book Antiqua" w:hAnsi="Book Antiqua" w:cs="Arial"/>
        </w:rPr>
        <w:tab/>
      </w:r>
      <w:r w:rsidR="009E5381">
        <w:rPr>
          <w:rFonts w:ascii="Book Antiqua" w:hAnsi="Book Antiqua" w:cs="Arial"/>
        </w:rPr>
        <w:tab/>
      </w:r>
      <w:r w:rsidR="009E5381">
        <w:rPr>
          <w:rFonts w:ascii="Book Antiqua" w:hAnsi="Book Antiqua" w:cs="Arial"/>
        </w:rPr>
        <w:tab/>
      </w:r>
      <w:r w:rsidR="009E5381">
        <w:rPr>
          <w:rFonts w:ascii="Book Antiqua" w:hAnsi="Book Antiqua" w:cs="Arial"/>
        </w:rPr>
        <w:tab/>
      </w:r>
      <w:r w:rsidR="001F2716" w:rsidRPr="00AE6DDE">
        <w:rPr>
          <w:rFonts w:ascii="Book Antiqua" w:hAnsi="Book Antiqua" w:cs="Arial"/>
        </w:rPr>
        <w:t>Date</w:t>
      </w:r>
      <w:r w:rsidR="009E5381">
        <w:rPr>
          <w:rFonts w:ascii="Book Antiqua" w:hAnsi="Book Antiqua" w:cs="Arial"/>
        </w:rPr>
        <w:t>:</w:t>
      </w:r>
      <w:r w:rsidR="009E5381">
        <w:rPr>
          <w:rFonts w:ascii="Book Antiqua" w:hAnsi="Book Antiqua" w:cs="Arial"/>
        </w:rPr>
        <w:tab/>
        <w:t xml:space="preserve"> </w:t>
      </w:r>
      <w:r>
        <w:rPr>
          <w:rFonts w:ascii="Book Antiqua" w:hAnsi="Book Antiqua" w:cs="Arial"/>
        </w:rPr>
        <w:t>7 September 2018</w:t>
      </w:r>
    </w:p>
    <w:p w14:paraId="75DA359F" w14:textId="15E2CFEC" w:rsidR="00832CD7" w:rsidRDefault="00347A9C" w:rsidP="00832CD7">
      <w:pPr>
        <w:jc w:val="both"/>
        <w:rPr>
          <w:rFonts w:ascii="Book Antiqua" w:hAnsi="Book Antiqua" w:cs="Arial"/>
          <w:color w:val="000000"/>
        </w:rPr>
      </w:pPr>
      <w:r>
        <w:rPr>
          <w:rFonts w:ascii="Book Antiqua" w:hAnsi="Book Antiqua" w:cs="Arial"/>
          <w:color w:val="000000"/>
        </w:rPr>
        <w:t xml:space="preserve">Deputy Upper Tribunal Judge </w:t>
      </w:r>
      <w:r w:rsidR="00143A28">
        <w:rPr>
          <w:rFonts w:ascii="Book Antiqua" w:hAnsi="Book Antiqua" w:cs="Arial"/>
          <w:color w:val="000000"/>
        </w:rPr>
        <w:t>Hill QC</w:t>
      </w:r>
      <w:r w:rsidR="005E761F">
        <w:rPr>
          <w:rFonts w:ascii="Book Antiqua" w:hAnsi="Book Antiqua" w:cs="Arial"/>
          <w:color w:val="000000"/>
        </w:rPr>
        <w:t xml:space="preserve"> </w:t>
      </w:r>
    </w:p>
    <w:p w14:paraId="6EC2E239"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B3F88" w14:textId="77777777" w:rsidR="00BC31CE" w:rsidRDefault="00BC31CE">
      <w:r>
        <w:separator/>
      </w:r>
    </w:p>
  </w:endnote>
  <w:endnote w:type="continuationSeparator" w:id="0">
    <w:p w14:paraId="43257001" w14:textId="77777777" w:rsidR="00BC31CE" w:rsidRDefault="00BC3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01F7F" w14:textId="4826393B"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EC0DE2">
      <w:rPr>
        <w:rStyle w:val="PageNumber"/>
        <w:rFonts w:ascii="Book Antiqua" w:hAnsi="Book Antiqua" w:cs="Arial"/>
        <w:noProof/>
        <w:sz w:val="16"/>
        <w:szCs w:val="16"/>
      </w:rPr>
      <w:t>4</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944F7"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B95DA" w14:textId="77777777" w:rsidR="00BC31CE" w:rsidRDefault="00BC31CE">
      <w:r>
        <w:separator/>
      </w:r>
    </w:p>
  </w:footnote>
  <w:footnote w:type="continuationSeparator" w:id="0">
    <w:p w14:paraId="796E7D31" w14:textId="77777777" w:rsidR="00BC31CE" w:rsidRDefault="00BC3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D56DC" w14:textId="0A2AD5B6" w:rsidR="0097497A" w:rsidRPr="00464DB3" w:rsidRDefault="00CD3634" w:rsidP="0097497A">
    <w:pPr>
      <w:tabs>
        <w:tab w:val="right" w:pos="9720"/>
      </w:tabs>
      <w:ind w:right="-82"/>
      <w:jc w:val="right"/>
      <w:rPr>
        <w:rFonts w:ascii="Book Antiqua" w:hAnsi="Book Antiqua" w:cs="Arial"/>
        <w:caps/>
        <w:color w:val="000000"/>
        <w:sz w:val="16"/>
        <w:szCs w:val="16"/>
      </w:rPr>
    </w:pPr>
    <w:r w:rsidRPr="00464DB3">
      <w:rPr>
        <w:rFonts w:ascii="Book Antiqua" w:hAnsi="Book Antiqua" w:cs="Arial"/>
        <w:sz w:val="16"/>
        <w:szCs w:val="16"/>
      </w:rPr>
      <w:t>Appeal Number</w:t>
    </w:r>
    <w:r w:rsidR="00464DB3">
      <w:rPr>
        <w:rFonts w:ascii="Book Antiqua" w:hAnsi="Book Antiqua" w:cs="Arial"/>
        <w:sz w:val="16"/>
        <w:szCs w:val="16"/>
      </w:rPr>
      <w:t>s</w:t>
    </w:r>
    <w:r w:rsidRPr="00464DB3">
      <w:rPr>
        <w:rFonts w:ascii="Book Antiqua" w:hAnsi="Book Antiqua" w:cs="Arial"/>
        <w:sz w:val="16"/>
        <w:szCs w:val="16"/>
      </w:rPr>
      <w:t xml:space="preserve">: </w:t>
    </w:r>
    <w:r w:rsidR="0097497A" w:rsidRPr="00464DB3">
      <w:rPr>
        <w:rFonts w:ascii="Book Antiqua" w:hAnsi="Book Antiqua" w:cs="Arial"/>
        <w:caps/>
        <w:color w:val="000000"/>
        <w:sz w:val="16"/>
        <w:szCs w:val="16"/>
      </w:rPr>
      <w:t>HU/21671/2016</w:t>
    </w:r>
  </w:p>
  <w:p w14:paraId="68131280" w14:textId="4E447EA6" w:rsidR="00464DB3" w:rsidRPr="00464DB3" w:rsidRDefault="00464DB3" w:rsidP="00464DB3">
    <w:pPr>
      <w:tabs>
        <w:tab w:val="right" w:pos="9720"/>
      </w:tabs>
      <w:ind w:right="-82"/>
      <w:jc w:val="right"/>
      <w:rPr>
        <w:rFonts w:ascii="Book Antiqua" w:hAnsi="Book Antiqua" w:cs="Arial"/>
        <w:caps/>
        <w:color w:val="000000"/>
        <w:sz w:val="16"/>
        <w:szCs w:val="16"/>
      </w:rPr>
    </w:pPr>
    <w:r w:rsidRPr="00464DB3">
      <w:rPr>
        <w:rFonts w:ascii="Book Antiqua" w:hAnsi="Book Antiqua" w:cs="Arial"/>
        <w:caps/>
        <w:color w:val="000000"/>
        <w:sz w:val="16"/>
        <w:szCs w:val="16"/>
      </w:rPr>
      <w:t>HU/22512/2016</w:t>
    </w:r>
  </w:p>
  <w:p w14:paraId="72019053" w14:textId="77777777" w:rsidR="00464DB3" w:rsidRPr="00464DB3" w:rsidRDefault="00464DB3" w:rsidP="00464DB3">
    <w:pPr>
      <w:tabs>
        <w:tab w:val="right" w:pos="9720"/>
      </w:tabs>
      <w:ind w:right="-82"/>
      <w:jc w:val="right"/>
      <w:rPr>
        <w:rFonts w:ascii="Book Antiqua" w:hAnsi="Book Antiqua" w:cs="Arial"/>
        <w:caps/>
        <w:color w:val="000000"/>
        <w:sz w:val="16"/>
        <w:szCs w:val="16"/>
      </w:rPr>
    </w:pPr>
    <w:r w:rsidRPr="00464DB3">
      <w:rPr>
        <w:rFonts w:ascii="Book Antiqua" w:hAnsi="Book Antiqua" w:cs="Arial"/>
        <w:caps/>
        <w:color w:val="000000"/>
        <w:sz w:val="16"/>
        <w:szCs w:val="16"/>
      </w:rPr>
      <w:t>HU/22496/2016</w:t>
    </w:r>
  </w:p>
  <w:p w14:paraId="410AB078" w14:textId="63FF9B60" w:rsidR="00464DB3" w:rsidRDefault="00464DB3" w:rsidP="00464DB3">
    <w:pPr>
      <w:tabs>
        <w:tab w:val="right" w:pos="9720"/>
      </w:tabs>
      <w:ind w:right="-82"/>
      <w:jc w:val="right"/>
      <w:rPr>
        <w:rFonts w:ascii="Book Antiqua" w:hAnsi="Book Antiqua" w:cs="Arial"/>
        <w:caps/>
        <w:color w:val="000000"/>
        <w:sz w:val="16"/>
        <w:szCs w:val="16"/>
      </w:rPr>
    </w:pPr>
    <w:r w:rsidRPr="00464DB3">
      <w:rPr>
        <w:rFonts w:ascii="Book Antiqua" w:hAnsi="Book Antiqua" w:cs="Arial"/>
        <w:caps/>
        <w:color w:val="000000"/>
        <w:sz w:val="16"/>
        <w:szCs w:val="16"/>
      </w:rPr>
      <w:t>HU/22506/2016</w:t>
    </w:r>
  </w:p>
  <w:p w14:paraId="5FF8954E" w14:textId="77777777" w:rsidR="0090194E" w:rsidRPr="00464DB3" w:rsidRDefault="0090194E" w:rsidP="00464DB3">
    <w:pPr>
      <w:tabs>
        <w:tab w:val="right" w:pos="9720"/>
      </w:tabs>
      <w:ind w:right="-82"/>
      <w:jc w:val="right"/>
      <w:rPr>
        <w:rFonts w:ascii="Book Antiqua" w:hAnsi="Book Antiqua" w:cs="Arial"/>
        <w:color w:val="000000"/>
        <w:sz w:val="16"/>
        <w:szCs w:val="16"/>
      </w:rPr>
    </w:pPr>
  </w:p>
  <w:p w14:paraId="5F3782DD" w14:textId="77777777" w:rsidR="00CD3634" w:rsidRPr="00AE6DDE" w:rsidRDefault="00CD363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B2DB5" w14:textId="7501AF9C"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B3151"/>
    <w:multiLevelType w:val="hybridMultilevel"/>
    <w:tmpl w:val="2A50AFC2"/>
    <w:lvl w:ilvl="0" w:tplc="1BFA9268">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DC08DA"/>
    <w:multiLevelType w:val="hybridMultilevel"/>
    <w:tmpl w:val="1E88C822"/>
    <w:lvl w:ilvl="0" w:tplc="59825652">
      <w:start w:val="4"/>
      <w:numFmt w:val="bullet"/>
      <w:lvlText w:val="•"/>
      <w:lvlJc w:val="left"/>
      <w:pPr>
        <w:ind w:left="1494" w:hanging="360"/>
      </w:pPr>
      <w:rPr>
        <w:rFonts w:ascii="Book Antiqua" w:eastAsia="Times New Roman" w:hAnsi="Book Antiqua" w:cs="Aria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64"/>
    <w:rsid w:val="00000621"/>
    <w:rsid w:val="000036C2"/>
    <w:rsid w:val="00033D3D"/>
    <w:rsid w:val="00036302"/>
    <w:rsid w:val="00062F02"/>
    <w:rsid w:val="00071A7E"/>
    <w:rsid w:val="000746C0"/>
    <w:rsid w:val="00074D1D"/>
    <w:rsid w:val="00084FDE"/>
    <w:rsid w:val="00092580"/>
    <w:rsid w:val="00093D4D"/>
    <w:rsid w:val="000B24F7"/>
    <w:rsid w:val="000C4CC2"/>
    <w:rsid w:val="000D5D94"/>
    <w:rsid w:val="000F1A0E"/>
    <w:rsid w:val="00111B20"/>
    <w:rsid w:val="001156C7"/>
    <w:rsid w:val="001165A7"/>
    <w:rsid w:val="00140067"/>
    <w:rsid w:val="00143A28"/>
    <w:rsid w:val="00167D3A"/>
    <w:rsid w:val="00173946"/>
    <w:rsid w:val="00173A2D"/>
    <w:rsid w:val="001A3082"/>
    <w:rsid w:val="001B186A"/>
    <w:rsid w:val="001B2F75"/>
    <w:rsid w:val="001F2716"/>
    <w:rsid w:val="00205940"/>
    <w:rsid w:val="00207617"/>
    <w:rsid w:val="00224D49"/>
    <w:rsid w:val="0023134B"/>
    <w:rsid w:val="002376E5"/>
    <w:rsid w:val="00252EB7"/>
    <w:rsid w:val="00253D70"/>
    <w:rsid w:val="00254DBC"/>
    <w:rsid w:val="00272E75"/>
    <w:rsid w:val="00276B97"/>
    <w:rsid w:val="00283659"/>
    <w:rsid w:val="00297621"/>
    <w:rsid w:val="002C6BD4"/>
    <w:rsid w:val="002D083B"/>
    <w:rsid w:val="002D68BF"/>
    <w:rsid w:val="002E7954"/>
    <w:rsid w:val="002F6B98"/>
    <w:rsid w:val="003133AE"/>
    <w:rsid w:val="00335D5A"/>
    <w:rsid w:val="00336CBF"/>
    <w:rsid w:val="00343FE3"/>
    <w:rsid w:val="00347A9C"/>
    <w:rsid w:val="0035354A"/>
    <w:rsid w:val="003546C8"/>
    <w:rsid w:val="00360529"/>
    <w:rsid w:val="003A0375"/>
    <w:rsid w:val="003A7CF2"/>
    <w:rsid w:val="003C5CE5"/>
    <w:rsid w:val="003E267B"/>
    <w:rsid w:val="003E7CD1"/>
    <w:rsid w:val="003F4C61"/>
    <w:rsid w:val="00402B9E"/>
    <w:rsid w:val="004249CB"/>
    <w:rsid w:val="0044127D"/>
    <w:rsid w:val="004448DB"/>
    <w:rsid w:val="00446C9A"/>
    <w:rsid w:val="00447988"/>
    <w:rsid w:val="00452F2B"/>
    <w:rsid w:val="0045695A"/>
    <w:rsid w:val="00464DB3"/>
    <w:rsid w:val="00471E3C"/>
    <w:rsid w:val="00477193"/>
    <w:rsid w:val="004A0254"/>
    <w:rsid w:val="004A1848"/>
    <w:rsid w:val="004A6F4A"/>
    <w:rsid w:val="004B139B"/>
    <w:rsid w:val="004C11B6"/>
    <w:rsid w:val="004E1F64"/>
    <w:rsid w:val="004E4717"/>
    <w:rsid w:val="004F672C"/>
    <w:rsid w:val="0050388A"/>
    <w:rsid w:val="00507FEC"/>
    <w:rsid w:val="00510F0E"/>
    <w:rsid w:val="005420FD"/>
    <w:rsid w:val="005473D4"/>
    <w:rsid w:val="005479E1"/>
    <w:rsid w:val="00553E0A"/>
    <w:rsid w:val="005570FD"/>
    <w:rsid w:val="005575EA"/>
    <w:rsid w:val="0057790C"/>
    <w:rsid w:val="00593795"/>
    <w:rsid w:val="00596130"/>
    <w:rsid w:val="005A75FF"/>
    <w:rsid w:val="005C2B9C"/>
    <w:rsid w:val="005D10AB"/>
    <w:rsid w:val="005E3B61"/>
    <w:rsid w:val="005E761F"/>
    <w:rsid w:val="00601D8F"/>
    <w:rsid w:val="0062078F"/>
    <w:rsid w:val="006412BF"/>
    <w:rsid w:val="00653E97"/>
    <w:rsid w:val="00684A74"/>
    <w:rsid w:val="00686A35"/>
    <w:rsid w:val="00690B8A"/>
    <w:rsid w:val="006E47C4"/>
    <w:rsid w:val="006F2CF1"/>
    <w:rsid w:val="00703184"/>
    <w:rsid w:val="007038ED"/>
    <w:rsid w:val="00703BC3"/>
    <w:rsid w:val="00704B61"/>
    <w:rsid w:val="0073193D"/>
    <w:rsid w:val="007447ED"/>
    <w:rsid w:val="007552A9"/>
    <w:rsid w:val="00761858"/>
    <w:rsid w:val="00761CA7"/>
    <w:rsid w:val="00767D59"/>
    <w:rsid w:val="00776E97"/>
    <w:rsid w:val="00780F86"/>
    <w:rsid w:val="007912AD"/>
    <w:rsid w:val="00791807"/>
    <w:rsid w:val="007A0794"/>
    <w:rsid w:val="007A63E3"/>
    <w:rsid w:val="007B0824"/>
    <w:rsid w:val="007B5D3C"/>
    <w:rsid w:val="00816A57"/>
    <w:rsid w:val="00821B72"/>
    <w:rsid w:val="00821F06"/>
    <w:rsid w:val="00823EF2"/>
    <w:rsid w:val="00827025"/>
    <w:rsid w:val="008303B8"/>
    <w:rsid w:val="00832CD7"/>
    <w:rsid w:val="00833DCE"/>
    <w:rsid w:val="008453BF"/>
    <w:rsid w:val="00847259"/>
    <w:rsid w:val="008478F6"/>
    <w:rsid w:val="00854534"/>
    <w:rsid w:val="00871D34"/>
    <w:rsid w:val="00872112"/>
    <w:rsid w:val="00874D45"/>
    <w:rsid w:val="008B270C"/>
    <w:rsid w:val="008B5078"/>
    <w:rsid w:val="008C3D3D"/>
    <w:rsid w:val="008D0BCD"/>
    <w:rsid w:val="008D4131"/>
    <w:rsid w:val="008F1932"/>
    <w:rsid w:val="0090194E"/>
    <w:rsid w:val="00921062"/>
    <w:rsid w:val="00930DBE"/>
    <w:rsid w:val="00942BEE"/>
    <w:rsid w:val="00947565"/>
    <w:rsid w:val="00961114"/>
    <w:rsid w:val="009722BC"/>
    <w:rsid w:val="009727A3"/>
    <w:rsid w:val="0097497A"/>
    <w:rsid w:val="00984E64"/>
    <w:rsid w:val="00987774"/>
    <w:rsid w:val="00987F36"/>
    <w:rsid w:val="009A11E8"/>
    <w:rsid w:val="009A500E"/>
    <w:rsid w:val="009B443B"/>
    <w:rsid w:val="009D1EA3"/>
    <w:rsid w:val="009E5381"/>
    <w:rsid w:val="009F5220"/>
    <w:rsid w:val="009F6BAB"/>
    <w:rsid w:val="00A03647"/>
    <w:rsid w:val="00A15234"/>
    <w:rsid w:val="00A201AB"/>
    <w:rsid w:val="00A31C8B"/>
    <w:rsid w:val="00A509FA"/>
    <w:rsid w:val="00A57B5D"/>
    <w:rsid w:val="00A845DC"/>
    <w:rsid w:val="00A92942"/>
    <w:rsid w:val="00AD30EF"/>
    <w:rsid w:val="00AD5231"/>
    <w:rsid w:val="00AE6DDE"/>
    <w:rsid w:val="00AE7D4D"/>
    <w:rsid w:val="00B07F25"/>
    <w:rsid w:val="00B26AA2"/>
    <w:rsid w:val="00B3524D"/>
    <w:rsid w:val="00B40F69"/>
    <w:rsid w:val="00B46616"/>
    <w:rsid w:val="00B47EA9"/>
    <w:rsid w:val="00B55BD0"/>
    <w:rsid w:val="00B7040A"/>
    <w:rsid w:val="00B83029"/>
    <w:rsid w:val="00B83391"/>
    <w:rsid w:val="00B87C01"/>
    <w:rsid w:val="00B95326"/>
    <w:rsid w:val="00B96622"/>
    <w:rsid w:val="00BA3238"/>
    <w:rsid w:val="00BC31CE"/>
    <w:rsid w:val="00BD4196"/>
    <w:rsid w:val="00BE6840"/>
    <w:rsid w:val="00BF22CA"/>
    <w:rsid w:val="00BF23BB"/>
    <w:rsid w:val="00C26032"/>
    <w:rsid w:val="00C345E1"/>
    <w:rsid w:val="00C43BFD"/>
    <w:rsid w:val="00C520FF"/>
    <w:rsid w:val="00C5271A"/>
    <w:rsid w:val="00C53074"/>
    <w:rsid w:val="00C612EB"/>
    <w:rsid w:val="00C85305"/>
    <w:rsid w:val="00CB6E35"/>
    <w:rsid w:val="00CD3634"/>
    <w:rsid w:val="00CD58CE"/>
    <w:rsid w:val="00CD59AC"/>
    <w:rsid w:val="00CE1A46"/>
    <w:rsid w:val="00CF39A9"/>
    <w:rsid w:val="00D20757"/>
    <w:rsid w:val="00D22636"/>
    <w:rsid w:val="00D36D7D"/>
    <w:rsid w:val="00D40DDC"/>
    <w:rsid w:val="00D40F2A"/>
    <w:rsid w:val="00D40FD9"/>
    <w:rsid w:val="00D45631"/>
    <w:rsid w:val="00D53769"/>
    <w:rsid w:val="00D76573"/>
    <w:rsid w:val="00D81402"/>
    <w:rsid w:val="00D85C13"/>
    <w:rsid w:val="00D87AF7"/>
    <w:rsid w:val="00D9111A"/>
    <w:rsid w:val="00D91BE3"/>
    <w:rsid w:val="00D94AFC"/>
    <w:rsid w:val="00DB70AE"/>
    <w:rsid w:val="00DD1BBC"/>
    <w:rsid w:val="00DD5071"/>
    <w:rsid w:val="00DD5C39"/>
    <w:rsid w:val="00DE7DB7"/>
    <w:rsid w:val="00DF09E9"/>
    <w:rsid w:val="00E00973"/>
    <w:rsid w:val="00E00A0A"/>
    <w:rsid w:val="00E066DE"/>
    <w:rsid w:val="00E07F57"/>
    <w:rsid w:val="00E238B7"/>
    <w:rsid w:val="00E30683"/>
    <w:rsid w:val="00E331F2"/>
    <w:rsid w:val="00E429B1"/>
    <w:rsid w:val="00E453D8"/>
    <w:rsid w:val="00E50BCE"/>
    <w:rsid w:val="00E574BF"/>
    <w:rsid w:val="00E61292"/>
    <w:rsid w:val="00E67616"/>
    <w:rsid w:val="00E77C4D"/>
    <w:rsid w:val="00E81D01"/>
    <w:rsid w:val="00E845A5"/>
    <w:rsid w:val="00EC0DE2"/>
    <w:rsid w:val="00EE45D8"/>
    <w:rsid w:val="00F22EDA"/>
    <w:rsid w:val="00F23941"/>
    <w:rsid w:val="00F731FB"/>
    <w:rsid w:val="00F74FA7"/>
    <w:rsid w:val="00FA309A"/>
    <w:rsid w:val="00FB0ECD"/>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8193"/>
    <o:shapelayout v:ext="edit">
      <o:idmap v:ext="edit" data="1"/>
    </o:shapelayout>
  </w:shapeDefaults>
  <w:decimalSymbol w:val="."/>
  <w:listSeparator w:val=","/>
  <w14:docId w14:val="7E00A4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7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1295</Words>
  <Characters>6517</Characters>
  <Application>Microsoft Office Word</Application>
  <DocSecurity>0</DocSecurity>
  <Lines>54</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2018-09-27T15:39:00Z</dcterms:created>
  <dcterms:modified xsi:type="dcterms:W3CDTF">2018-09-27T15:39:00Z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