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D95EC" w14:textId="77777777" w:rsidR="008A6059" w:rsidRPr="009B7433" w:rsidRDefault="000F6B18" w:rsidP="008A6059">
      <w:pPr>
        <w:jc w:val="center"/>
        <w:rPr>
          <w:rFonts w:ascii="Book Antiqua" w:hAnsi="Book Antiqua" w:cs="Arial"/>
          <w:caps/>
          <w:color w:val="000000"/>
          <w:sz w:val="16"/>
          <w:szCs w:val="16"/>
        </w:rPr>
      </w:pPr>
      <w:r>
        <w:rPr>
          <w:noProof/>
          <w:lang w:val="en-US" w:eastAsia="en-US"/>
        </w:rPr>
        <w:drawing>
          <wp:inline distT="0" distB="0" distL="0" distR="0" wp14:anchorId="3C20D49C" wp14:editId="52892B2E">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15ED4E29" w14:textId="732230FF" w:rsidR="00D94AFC" w:rsidRPr="009B7433" w:rsidRDefault="00D94AFC">
      <w:pPr>
        <w:rPr>
          <w:rFonts w:ascii="Book Antiqua" w:hAnsi="Book Antiqua" w:cs="Arial"/>
          <w:color w:val="000000"/>
          <w:sz w:val="16"/>
          <w:szCs w:val="16"/>
        </w:rPr>
      </w:pPr>
    </w:p>
    <w:p w14:paraId="5C05207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BBC4249"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C30298">
        <w:rPr>
          <w:rFonts w:ascii="Book Antiqua" w:hAnsi="Book Antiqua" w:cs="Arial"/>
          <w:caps/>
          <w:color w:val="000000"/>
        </w:rPr>
        <w:t>HU/21731/2016</w:t>
      </w:r>
      <w:bookmarkEnd w:id="0"/>
    </w:p>
    <w:p w14:paraId="1047D36C" w14:textId="77777777" w:rsidR="00C345E1" w:rsidRPr="009B7433" w:rsidRDefault="00C345E1" w:rsidP="00C345E1">
      <w:pPr>
        <w:jc w:val="center"/>
        <w:rPr>
          <w:rFonts w:ascii="Book Antiqua" w:hAnsi="Book Antiqua" w:cs="Arial"/>
          <w:color w:val="000000"/>
        </w:rPr>
      </w:pPr>
    </w:p>
    <w:p w14:paraId="2E86951A" w14:textId="77777777" w:rsidR="00C345E1" w:rsidRPr="009B7433" w:rsidRDefault="00C345E1" w:rsidP="00C345E1">
      <w:pPr>
        <w:jc w:val="center"/>
        <w:rPr>
          <w:rFonts w:ascii="Book Antiqua" w:hAnsi="Book Antiqua" w:cs="Arial"/>
          <w:color w:val="000000"/>
        </w:rPr>
      </w:pPr>
    </w:p>
    <w:p w14:paraId="7C12C92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7BAEA26" w14:textId="77777777" w:rsidR="00C345E1" w:rsidRPr="009B7433" w:rsidRDefault="00C345E1" w:rsidP="00C345E1">
      <w:pPr>
        <w:jc w:val="center"/>
        <w:rPr>
          <w:rFonts w:ascii="Book Antiqua" w:hAnsi="Book Antiqua" w:cs="Arial"/>
          <w:b/>
          <w:u w:val="single"/>
        </w:rPr>
      </w:pPr>
    </w:p>
    <w:p w14:paraId="58B5BB0D"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04D2C98" w14:textId="77777777" w:rsidTr="00D949B7">
        <w:tc>
          <w:tcPr>
            <w:tcW w:w="6048" w:type="dxa"/>
          </w:tcPr>
          <w:p w14:paraId="4ED5B651"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30298">
              <w:rPr>
                <w:rFonts w:ascii="Book Antiqua" w:hAnsi="Book Antiqua" w:cs="Arial"/>
                <w:b/>
              </w:rPr>
              <w:t>Field House</w:t>
            </w:r>
          </w:p>
        </w:tc>
        <w:tc>
          <w:tcPr>
            <w:tcW w:w="3960" w:type="dxa"/>
          </w:tcPr>
          <w:p w14:paraId="77C01E09"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7D2877C1" w14:textId="77777777" w:rsidTr="00D949B7">
        <w:tc>
          <w:tcPr>
            <w:tcW w:w="6048" w:type="dxa"/>
          </w:tcPr>
          <w:p w14:paraId="4BB4774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30298">
              <w:rPr>
                <w:rFonts w:ascii="Book Antiqua" w:hAnsi="Book Antiqua" w:cs="Arial"/>
                <w:b/>
              </w:rPr>
              <w:t>2 August 2018</w:t>
            </w:r>
          </w:p>
        </w:tc>
        <w:tc>
          <w:tcPr>
            <w:tcW w:w="3960" w:type="dxa"/>
          </w:tcPr>
          <w:p w14:paraId="65515B4D" w14:textId="2DE53562" w:rsidR="00D22636" w:rsidRPr="009B7433" w:rsidRDefault="001575BD" w:rsidP="004A1848">
            <w:pPr>
              <w:jc w:val="both"/>
              <w:rPr>
                <w:rFonts w:ascii="Book Antiqua" w:hAnsi="Book Antiqua" w:cs="Arial"/>
                <w:b/>
              </w:rPr>
            </w:pPr>
            <w:r>
              <w:rPr>
                <w:rFonts w:ascii="Book Antiqua" w:hAnsi="Book Antiqua" w:cs="Arial"/>
                <w:b/>
              </w:rPr>
              <w:t>29 August 2018</w:t>
            </w:r>
          </w:p>
        </w:tc>
      </w:tr>
      <w:tr w:rsidR="00D22636" w:rsidRPr="009B7433" w14:paraId="1CC6A70C" w14:textId="77777777" w:rsidTr="00D949B7">
        <w:tc>
          <w:tcPr>
            <w:tcW w:w="6048" w:type="dxa"/>
          </w:tcPr>
          <w:p w14:paraId="14871EB4" w14:textId="77777777" w:rsidR="00D22636" w:rsidRPr="009B7433" w:rsidRDefault="00D22636" w:rsidP="004A1848">
            <w:pPr>
              <w:jc w:val="both"/>
              <w:rPr>
                <w:rFonts w:ascii="Book Antiqua" w:hAnsi="Book Antiqua" w:cs="Arial"/>
                <w:b/>
              </w:rPr>
            </w:pPr>
          </w:p>
        </w:tc>
        <w:tc>
          <w:tcPr>
            <w:tcW w:w="3960" w:type="dxa"/>
          </w:tcPr>
          <w:p w14:paraId="1EB18EF9" w14:textId="30B7284B" w:rsidR="00D22636" w:rsidRPr="009B7433" w:rsidRDefault="00D22636" w:rsidP="004A1848">
            <w:pPr>
              <w:jc w:val="both"/>
              <w:rPr>
                <w:rFonts w:ascii="Book Antiqua" w:hAnsi="Book Antiqua" w:cs="Arial"/>
                <w:b/>
              </w:rPr>
            </w:pPr>
          </w:p>
        </w:tc>
      </w:tr>
    </w:tbl>
    <w:p w14:paraId="73DC3F64" w14:textId="77777777" w:rsidR="00A15234" w:rsidRPr="009B7433" w:rsidRDefault="00A15234" w:rsidP="00A15234">
      <w:pPr>
        <w:jc w:val="center"/>
        <w:rPr>
          <w:rFonts w:ascii="Book Antiqua" w:hAnsi="Book Antiqua" w:cs="Arial"/>
        </w:rPr>
      </w:pPr>
    </w:p>
    <w:p w14:paraId="6378C8C0"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BBA5D78" w14:textId="77777777" w:rsidR="00A15234" w:rsidRPr="009B7433" w:rsidRDefault="00A15234" w:rsidP="00A15234">
      <w:pPr>
        <w:jc w:val="center"/>
        <w:rPr>
          <w:rFonts w:ascii="Book Antiqua" w:hAnsi="Book Antiqua" w:cs="Arial"/>
          <w:b/>
        </w:rPr>
      </w:pPr>
    </w:p>
    <w:p w14:paraId="27A097C4"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56EB0581" w14:textId="61A99B73" w:rsidR="00D20757" w:rsidRDefault="00D20757" w:rsidP="00A15234">
      <w:pPr>
        <w:jc w:val="center"/>
        <w:rPr>
          <w:rFonts w:ascii="Book Antiqua" w:hAnsi="Book Antiqua" w:cs="Arial"/>
          <w:b/>
        </w:rPr>
      </w:pPr>
    </w:p>
    <w:p w14:paraId="42BD6CEF" w14:textId="77777777" w:rsidR="00801F15" w:rsidRPr="009B7433" w:rsidRDefault="00801F15" w:rsidP="00A15234">
      <w:pPr>
        <w:jc w:val="center"/>
        <w:rPr>
          <w:rFonts w:ascii="Book Antiqua" w:hAnsi="Book Antiqua" w:cs="Arial"/>
          <w:b/>
        </w:rPr>
      </w:pPr>
    </w:p>
    <w:p w14:paraId="113F14C3"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C0C29B9" w14:textId="77777777" w:rsidR="00A845DC" w:rsidRPr="009B7433" w:rsidRDefault="00A845DC" w:rsidP="00A15234">
      <w:pPr>
        <w:jc w:val="center"/>
        <w:rPr>
          <w:rFonts w:ascii="Book Antiqua" w:hAnsi="Book Antiqua" w:cs="Arial"/>
          <w:b/>
        </w:rPr>
      </w:pPr>
    </w:p>
    <w:p w14:paraId="39A9707B" w14:textId="77777777" w:rsidR="00704B61" w:rsidRPr="009B7433" w:rsidRDefault="00A1161B" w:rsidP="00A15234">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344CE318"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04B0E358"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110E4F5C" w14:textId="77777777" w:rsidR="00DD5071" w:rsidRPr="009B7433" w:rsidRDefault="00DD5071" w:rsidP="00A1161B">
      <w:pPr>
        <w:rPr>
          <w:rFonts w:ascii="Book Antiqua" w:hAnsi="Book Antiqua" w:cs="Arial"/>
          <w:b/>
        </w:rPr>
      </w:pPr>
    </w:p>
    <w:p w14:paraId="6D072C39" w14:textId="77777777" w:rsidR="00A1161B" w:rsidRDefault="00A1161B" w:rsidP="00A1161B">
      <w:pPr>
        <w:jc w:val="center"/>
        <w:rPr>
          <w:rFonts w:ascii="Book Antiqua" w:hAnsi="Book Antiqua" w:cs="Arial"/>
          <w:b/>
          <w:caps/>
        </w:rPr>
      </w:pPr>
      <w:r>
        <w:rPr>
          <w:rFonts w:ascii="Book Antiqua" w:hAnsi="Book Antiqua" w:cs="Arial"/>
          <w:b/>
          <w:caps/>
        </w:rPr>
        <w:t>Mr asif muhammad</w:t>
      </w:r>
    </w:p>
    <w:p w14:paraId="47388290" w14:textId="77777777" w:rsidR="00DD5071" w:rsidRPr="00FD0D0A" w:rsidRDefault="00A1161B" w:rsidP="00A1161B">
      <w:pPr>
        <w:jc w:val="center"/>
        <w:rPr>
          <w:rFonts w:ascii="Book Antiqua" w:hAnsi="Book Antiqua" w:cs="Arial"/>
          <w:b/>
          <w:caps/>
          <w:sz w:val="22"/>
        </w:rPr>
      </w:pPr>
      <w:r w:rsidRPr="00FD0D0A">
        <w:rPr>
          <w:rFonts w:ascii="Book Antiqua" w:hAnsi="Book Antiqua" w:cs="Arial"/>
          <w:b/>
          <w:caps/>
          <w:sz w:val="22"/>
        </w:rPr>
        <w:t>(ANONYMITY DIRECTION not made)</w:t>
      </w:r>
    </w:p>
    <w:p w14:paraId="5DF5B1E4"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35B66107" w14:textId="77777777" w:rsidR="00DD5071" w:rsidRPr="009B7433" w:rsidRDefault="00DD5071" w:rsidP="00DD5071">
      <w:pPr>
        <w:rPr>
          <w:rFonts w:ascii="Book Antiqua" w:hAnsi="Book Antiqua" w:cs="Arial"/>
          <w:u w:val="single"/>
        </w:rPr>
      </w:pPr>
    </w:p>
    <w:p w14:paraId="30B52448" w14:textId="77777777" w:rsidR="00DD5071" w:rsidRPr="009B7433" w:rsidRDefault="00DD5071" w:rsidP="00DD5071">
      <w:pPr>
        <w:rPr>
          <w:rFonts w:ascii="Book Antiqua" w:hAnsi="Book Antiqua" w:cs="Arial"/>
          <w:u w:val="single"/>
        </w:rPr>
      </w:pPr>
    </w:p>
    <w:p w14:paraId="303DB6B9"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6B53EF3"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1161B">
        <w:rPr>
          <w:rFonts w:ascii="Book Antiqua" w:hAnsi="Book Antiqua" w:cs="Arial"/>
        </w:rPr>
        <w:t>Mr T Melvin, Senior Home Office Presenting Officer</w:t>
      </w:r>
    </w:p>
    <w:p w14:paraId="623CB822"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1161B">
        <w:rPr>
          <w:rFonts w:ascii="Book Antiqua" w:hAnsi="Book Antiqua" w:cs="Arial"/>
        </w:rPr>
        <w:t>Mr A Khan, Counsel, instructed by Thompson and Co</w:t>
      </w:r>
    </w:p>
    <w:p w14:paraId="4E70D19C" w14:textId="77777777" w:rsidR="00DE7DB7" w:rsidRPr="009B7433" w:rsidRDefault="00DE7DB7" w:rsidP="00D609F4">
      <w:pPr>
        <w:jc w:val="center"/>
        <w:rPr>
          <w:rFonts w:ascii="Book Antiqua" w:hAnsi="Book Antiqua" w:cs="Arial"/>
        </w:rPr>
      </w:pPr>
    </w:p>
    <w:p w14:paraId="59261EAB" w14:textId="77777777" w:rsidR="00DE7DB7" w:rsidRPr="009B7433" w:rsidRDefault="00DE7DB7" w:rsidP="00402B9E">
      <w:pPr>
        <w:tabs>
          <w:tab w:val="left" w:pos="2520"/>
        </w:tabs>
        <w:jc w:val="center"/>
        <w:rPr>
          <w:rFonts w:ascii="Book Antiqua" w:hAnsi="Book Antiqua" w:cs="Arial"/>
        </w:rPr>
      </w:pPr>
    </w:p>
    <w:p w14:paraId="26736D86"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53D7AA2" w14:textId="77777777" w:rsidR="00D9601E" w:rsidRDefault="00D9601E" w:rsidP="00FD0D0A">
      <w:pPr>
        <w:numPr>
          <w:ilvl w:val="0"/>
          <w:numId w:val="1"/>
        </w:numPr>
        <w:tabs>
          <w:tab w:val="clear" w:pos="567"/>
        </w:tabs>
        <w:spacing w:before="160"/>
        <w:jc w:val="both"/>
        <w:rPr>
          <w:rFonts w:ascii="Book Antiqua" w:hAnsi="Book Antiqua" w:cs="Arial"/>
        </w:rPr>
      </w:pPr>
      <w:r>
        <w:rPr>
          <w:rFonts w:ascii="Book Antiqua" w:hAnsi="Book Antiqua" w:cs="Arial"/>
        </w:rPr>
        <w:t>I shall refer to the parties as they were before the First-tier Tribunal.  Therefore, the Secretary of State is once more the Respondent and Mr Muhammad is the Appellant.</w:t>
      </w:r>
    </w:p>
    <w:p w14:paraId="1296613C" w14:textId="77777777" w:rsidR="00D609F4" w:rsidRDefault="00C30298" w:rsidP="00FD0D0A">
      <w:pPr>
        <w:numPr>
          <w:ilvl w:val="0"/>
          <w:numId w:val="1"/>
        </w:numPr>
        <w:tabs>
          <w:tab w:val="clear" w:pos="567"/>
        </w:tabs>
        <w:spacing w:before="160"/>
        <w:jc w:val="both"/>
        <w:rPr>
          <w:rFonts w:ascii="Book Antiqua" w:hAnsi="Book Antiqua" w:cs="Arial"/>
        </w:rPr>
      </w:pPr>
      <w:r>
        <w:rPr>
          <w:rFonts w:ascii="Book Antiqua" w:hAnsi="Book Antiqua" w:cs="Arial"/>
        </w:rPr>
        <w:t>This is a challenge by the Respondent to the decision of First-tier Tribunal Judge S Taylor (the judge)</w:t>
      </w:r>
      <w:r w:rsidR="00A1161B">
        <w:rPr>
          <w:rFonts w:ascii="Book Antiqua" w:hAnsi="Book Antiqua" w:cs="Arial"/>
        </w:rPr>
        <w:t>,</w:t>
      </w:r>
      <w:r>
        <w:rPr>
          <w:rFonts w:ascii="Book Antiqua" w:hAnsi="Book Antiqua" w:cs="Arial"/>
        </w:rPr>
        <w:t xml:space="preserve"> promulgated on 2 February 2018</w:t>
      </w:r>
      <w:r w:rsidR="00A1161B">
        <w:rPr>
          <w:rFonts w:ascii="Book Antiqua" w:hAnsi="Book Antiqua" w:cs="Arial"/>
        </w:rPr>
        <w:t>,</w:t>
      </w:r>
      <w:r>
        <w:rPr>
          <w:rFonts w:ascii="Book Antiqua" w:hAnsi="Book Antiqua" w:cs="Arial"/>
        </w:rPr>
        <w:t xml:space="preserve"> in which he allowed the Appellant’s appeal against the Respondent’s decision of 31 August 2016, refusing his human rights claim.  The Appellant had arrived in the United Kingdom in 2004 as a </w:t>
      </w:r>
      <w:r>
        <w:rPr>
          <w:rFonts w:ascii="Book Antiqua" w:hAnsi="Book Antiqua" w:cs="Arial"/>
        </w:rPr>
        <w:lastRenderedPageBreak/>
        <w:t>result of his relationship with a British citizen and the couple’s British citizen child (born in 2009)</w:t>
      </w:r>
      <w:r w:rsidR="00A1161B">
        <w:rPr>
          <w:rFonts w:ascii="Book Antiqua" w:hAnsi="Book Antiqua" w:cs="Arial"/>
        </w:rPr>
        <w:t>,</w:t>
      </w:r>
      <w:r>
        <w:rPr>
          <w:rFonts w:ascii="Book Antiqua" w:hAnsi="Book Antiqua" w:cs="Arial"/>
        </w:rPr>
        <w:t xml:space="preserve"> the Appellant being granted discretionary leave between 2010 and 2016.</w:t>
      </w:r>
    </w:p>
    <w:p w14:paraId="2999E653" w14:textId="77777777" w:rsidR="00C30298" w:rsidRDefault="00A1161B" w:rsidP="00FD0D0A">
      <w:pPr>
        <w:spacing w:before="160"/>
        <w:jc w:val="both"/>
        <w:rPr>
          <w:rFonts w:ascii="Book Antiqua" w:hAnsi="Book Antiqua" w:cs="Arial"/>
        </w:rPr>
      </w:pPr>
      <w:r>
        <w:rPr>
          <w:rFonts w:ascii="Book Antiqua" w:hAnsi="Book Antiqua" w:cs="Arial"/>
          <w:b/>
          <w:u w:val="single"/>
        </w:rPr>
        <w:t>The judge’s d</w:t>
      </w:r>
      <w:r w:rsidR="00C30298">
        <w:rPr>
          <w:rFonts w:ascii="Book Antiqua" w:hAnsi="Book Antiqua" w:cs="Arial"/>
          <w:b/>
          <w:u w:val="single"/>
        </w:rPr>
        <w:t>ecision</w:t>
      </w:r>
    </w:p>
    <w:p w14:paraId="1025C1D1" w14:textId="77777777" w:rsidR="00A1161B" w:rsidRDefault="00C30298" w:rsidP="00FD0D0A">
      <w:pPr>
        <w:numPr>
          <w:ilvl w:val="0"/>
          <w:numId w:val="1"/>
        </w:numPr>
        <w:tabs>
          <w:tab w:val="clear" w:pos="567"/>
        </w:tabs>
        <w:spacing w:before="160"/>
        <w:jc w:val="both"/>
        <w:rPr>
          <w:rFonts w:ascii="Book Antiqua" w:hAnsi="Book Antiqua" w:cs="Arial"/>
        </w:rPr>
      </w:pPr>
      <w:r>
        <w:rPr>
          <w:rFonts w:ascii="Book Antiqua" w:hAnsi="Book Antiqua" w:cs="Arial"/>
        </w:rPr>
        <w:t>There was no Presenting Officer at the hearing before the judge.  One of the issues in the appeal was whether or not the Appellant had fraudulently obtained an English language test certificate in 2012</w:t>
      </w:r>
      <w:r w:rsidR="00A1161B">
        <w:rPr>
          <w:rFonts w:ascii="Book Antiqua" w:hAnsi="Book Antiqua" w:cs="Arial"/>
        </w:rPr>
        <w:t xml:space="preserve"> (the not uncommon “ETS issue”)</w:t>
      </w:r>
      <w:r>
        <w:rPr>
          <w:rFonts w:ascii="Book Antiqua" w:hAnsi="Book Antiqua" w:cs="Arial"/>
        </w:rPr>
        <w:t>.  Having regard to the evidence as a whole and the explanation put forward by the Appellan</w:t>
      </w:r>
      <w:r w:rsidR="00A1161B">
        <w:rPr>
          <w:rFonts w:ascii="Book Antiqua" w:hAnsi="Book Antiqua" w:cs="Arial"/>
        </w:rPr>
        <w:t>t, the judge found at [</w:t>
      </w:r>
      <w:r>
        <w:rPr>
          <w:rFonts w:ascii="Book Antiqua" w:hAnsi="Book Antiqua" w:cs="Arial"/>
        </w:rPr>
        <w:t>15</w:t>
      </w:r>
      <w:r w:rsidR="00A1161B">
        <w:rPr>
          <w:rFonts w:ascii="Book Antiqua" w:hAnsi="Book Antiqua" w:cs="Arial"/>
        </w:rPr>
        <w:t>]</w:t>
      </w:r>
      <w:r>
        <w:rPr>
          <w:rFonts w:ascii="Book Antiqua" w:hAnsi="Book Antiqua" w:cs="Arial"/>
        </w:rPr>
        <w:t xml:space="preserve"> that the Appellant had indeed obtained the certificate in question on a fra</w:t>
      </w:r>
      <w:r w:rsidR="00A1161B">
        <w:rPr>
          <w:rFonts w:ascii="Book Antiqua" w:hAnsi="Book Antiqua" w:cs="Arial"/>
        </w:rPr>
        <w:t>udulent basis.  That said</w:t>
      </w:r>
      <w:r>
        <w:rPr>
          <w:rFonts w:ascii="Book Antiqua" w:hAnsi="Book Antiqua" w:cs="Arial"/>
        </w:rPr>
        <w:t>, the judge also found that this certificate had not been used by the Appellant in respect of any application to the Respondent.  In light of this the judge conclude</w:t>
      </w:r>
      <w:r w:rsidR="00A1161B">
        <w:rPr>
          <w:rFonts w:ascii="Book Antiqua" w:hAnsi="Book Antiqua" w:cs="Arial"/>
        </w:rPr>
        <w:t>d that paragraph 322(5) of the r</w:t>
      </w:r>
      <w:r>
        <w:rPr>
          <w:rFonts w:ascii="Book Antiqua" w:hAnsi="Book Antiqua" w:cs="Arial"/>
        </w:rPr>
        <w:t xml:space="preserve">ules applied.  </w:t>
      </w:r>
    </w:p>
    <w:p w14:paraId="1389233B" w14:textId="77777777" w:rsidR="00C30298" w:rsidRDefault="00C30298" w:rsidP="00FD0D0A">
      <w:pPr>
        <w:numPr>
          <w:ilvl w:val="0"/>
          <w:numId w:val="1"/>
        </w:numPr>
        <w:tabs>
          <w:tab w:val="clear" w:pos="567"/>
        </w:tabs>
        <w:spacing w:before="160"/>
        <w:jc w:val="both"/>
        <w:rPr>
          <w:rFonts w:ascii="Book Antiqua" w:hAnsi="Book Antiqua" w:cs="Arial"/>
        </w:rPr>
      </w:pPr>
      <w:r>
        <w:rPr>
          <w:rFonts w:ascii="Book Antiqua" w:hAnsi="Book Antiqua" w:cs="Arial"/>
        </w:rPr>
        <w:t xml:space="preserve">The judge then went on to consider </w:t>
      </w:r>
      <w:r w:rsidR="00A1161B">
        <w:rPr>
          <w:rFonts w:ascii="Book Antiqua" w:hAnsi="Book Antiqua" w:cs="Arial"/>
        </w:rPr>
        <w:t>other issues in respect of the a</w:t>
      </w:r>
      <w:r>
        <w:rPr>
          <w:rFonts w:ascii="Book Antiqua" w:hAnsi="Book Antiqua" w:cs="Arial"/>
        </w:rPr>
        <w:t xml:space="preserve">rticle 8 claim.  He noted the nationality of the Appellant’s partner and in particular </w:t>
      </w:r>
      <w:r w:rsidR="00A1161B">
        <w:rPr>
          <w:rFonts w:ascii="Book Antiqua" w:hAnsi="Book Antiqua" w:cs="Arial"/>
        </w:rPr>
        <w:t xml:space="preserve">that of </w:t>
      </w:r>
      <w:r>
        <w:rPr>
          <w:rFonts w:ascii="Book Antiqua" w:hAnsi="Book Antiqua" w:cs="Arial"/>
        </w:rPr>
        <w:t>their</w:t>
      </w:r>
      <w:r w:rsidR="00A1161B">
        <w:rPr>
          <w:rFonts w:ascii="Book Antiqua" w:hAnsi="Book Antiqua" w:cs="Arial"/>
        </w:rPr>
        <w:t xml:space="preserve"> child.  He makes reference to s</w:t>
      </w:r>
      <w:r>
        <w:rPr>
          <w:rFonts w:ascii="Book Antiqua" w:hAnsi="Book Antiqua" w:cs="Arial"/>
        </w:rPr>
        <w:t xml:space="preserve">ection 117B(6) of the </w:t>
      </w:r>
      <w:r w:rsidR="00A1161B">
        <w:rPr>
          <w:rFonts w:ascii="Book Antiqua" w:hAnsi="Book Antiqua" w:cs="Arial"/>
        </w:rPr>
        <w:t>NIAA 2002</w:t>
      </w:r>
      <w:r>
        <w:rPr>
          <w:rFonts w:ascii="Book Antiqua" w:hAnsi="Book Antiqua" w:cs="Arial"/>
        </w:rPr>
        <w:t xml:space="preserve"> and the leading authority of </w:t>
      </w:r>
      <w:r w:rsidR="002C45C5">
        <w:rPr>
          <w:rFonts w:ascii="Book Antiqua" w:hAnsi="Book Antiqua" w:cs="Arial"/>
          <w:u w:val="single"/>
        </w:rPr>
        <w:t>MA (Pakistan)</w:t>
      </w:r>
      <w:r w:rsidR="002C45C5">
        <w:rPr>
          <w:rFonts w:ascii="Book Antiqua" w:hAnsi="Book Antiqua" w:cs="Arial"/>
        </w:rPr>
        <w:t xml:space="preserve"> [20</w:t>
      </w:r>
      <w:r w:rsidR="00A1161B">
        <w:rPr>
          <w:rFonts w:ascii="Book Antiqua" w:hAnsi="Book Antiqua" w:cs="Arial"/>
        </w:rPr>
        <w:t>16] EWCA Civ 705.  At [</w:t>
      </w:r>
      <w:r w:rsidR="002C45C5">
        <w:rPr>
          <w:rFonts w:ascii="Book Antiqua" w:hAnsi="Book Antiqua" w:cs="Arial"/>
        </w:rPr>
        <w:t>16</w:t>
      </w:r>
      <w:r w:rsidR="00A1161B">
        <w:rPr>
          <w:rFonts w:ascii="Book Antiqua" w:hAnsi="Book Antiqua" w:cs="Arial"/>
        </w:rPr>
        <w:t>]</w:t>
      </w:r>
      <w:r w:rsidR="002C45C5">
        <w:rPr>
          <w:rFonts w:ascii="Book Antiqua" w:hAnsi="Book Antiqua" w:cs="Arial"/>
        </w:rPr>
        <w:t xml:space="preserve"> the judge says as follows:</w:t>
      </w:r>
    </w:p>
    <w:p w14:paraId="0F1939AC" w14:textId="77777777" w:rsidR="002C45C5" w:rsidRPr="00FD0D0A" w:rsidRDefault="002C45C5" w:rsidP="00FD0D0A">
      <w:pPr>
        <w:spacing w:before="120"/>
        <w:ind w:left="1134" w:right="567"/>
        <w:jc w:val="both"/>
        <w:rPr>
          <w:rFonts w:ascii="Book Antiqua" w:hAnsi="Book Antiqua" w:cs="Arial"/>
          <w:sz w:val="22"/>
        </w:rPr>
      </w:pPr>
      <w:r w:rsidRPr="00FD0D0A">
        <w:rPr>
          <w:rFonts w:ascii="Book Antiqua" w:hAnsi="Book Antiqua" w:cs="Arial"/>
          <w:sz w:val="22"/>
        </w:rPr>
        <w:t>“T</w:t>
      </w:r>
      <w:r w:rsidR="00A1161B" w:rsidRPr="00FD0D0A">
        <w:rPr>
          <w:rFonts w:ascii="Book Antiqua" w:hAnsi="Book Antiqua" w:cs="Arial"/>
          <w:sz w:val="22"/>
        </w:rPr>
        <w:t>he judgment advised that under s</w:t>
      </w:r>
      <w:r w:rsidRPr="00FD0D0A">
        <w:rPr>
          <w:rFonts w:ascii="Book Antiqua" w:hAnsi="Book Antiqua" w:cs="Arial"/>
          <w:sz w:val="22"/>
        </w:rPr>
        <w:t xml:space="preserve">ection 117B(6) reasonableness did not include an assessment of the conduct and immigration history of the parents.  </w:t>
      </w:r>
      <w:r w:rsidRPr="00FD0D0A">
        <w:rPr>
          <w:rFonts w:ascii="Book Antiqua" w:hAnsi="Book Antiqua" w:cs="Arial"/>
          <w:sz w:val="22"/>
          <w:u w:val="single"/>
        </w:rPr>
        <w:t>MA</w:t>
      </w:r>
      <w:r w:rsidRPr="00FD0D0A">
        <w:rPr>
          <w:rFonts w:ascii="Book Antiqua" w:hAnsi="Book Antiqua" w:cs="Arial"/>
          <w:sz w:val="22"/>
        </w:rPr>
        <w:t xml:space="preserve"> was authority </w:t>
      </w:r>
      <w:r w:rsidR="00802B26" w:rsidRPr="00FD0D0A">
        <w:rPr>
          <w:rFonts w:ascii="Book Antiqua" w:hAnsi="Book Antiqua" w:cs="Arial"/>
          <w:sz w:val="22"/>
        </w:rPr>
        <w:t>that</w:t>
      </w:r>
      <w:r w:rsidRPr="00FD0D0A">
        <w:rPr>
          <w:rFonts w:ascii="Book Antiqua" w:hAnsi="Book Antiqua" w:cs="Arial"/>
          <w:sz w:val="22"/>
        </w:rPr>
        <w:t xml:space="preserve"> in the case of children, seven years’ residence should be taken as the starting point that leave should be granted unless there were powerful reasons to the contrary.”</w:t>
      </w:r>
    </w:p>
    <w:p w14:paraId="55C6278B" w14:textId="77777777" w:rsidR="002C45C5" w:rsidRPr="009002EC" w:rsidRDefault="002C45C5" w:rsidP="00FD0D0A">
      <w:pPr>
        <w:pStyle w:val="ListParagraph"/>
        <w:numPr>
          <w:ilvl w:val="0"/>
          <w:numId w:val="1"/>
        </w:numPr>
        <w:spacing w:before="160"/>
        <w:contextualSpacing w:val="0"/>
        <w:jc w:val="both"/>
        <w:rPr>
          <w:rFonts w:ascii="Book Antiqua" w:hAnsi="Book Antiqua" w:cs="Arial"/>
        </w:rPr>
      </w:pPr>
      <w:r w:rsidRPr="009002EC">
        <w:rPr>
          <w:rFonts w:ascii="Book Antiqua" w:hAnsi="Book Antiqua" w:cs="Arial"/>
        </w:rPr>
        <w:t>The judge goes on to conclude that it would not be reasonable for the Appellant and child to leave the United Kingdom the appeal was duly allowed.</w:t>
      </w:r>
    </w:p>
    <w:p w14:paraId="316A16D9" w14:textId="77777777" w:rsidR="002C45C5" w:rsidRDefault="002C45C5" w:rsidP="00FD0D0A">
      <w:pPr>
        <w:spacing w:before="160"/>
        <w:jc w:val="both"/>
        <w:rPr>
          <w:rFonts w:ascii="Book Antiqua" w:hAnsi="Book Antiqua" w:cs="Arial"/>
        </w:rPr>
      </w:pPr>
      <w:r>
        <w:rPr>
          <w:rFonts w:ascii="Book Antiqua" w:hAnsi="Book Antiqua" w:cs="Arial"/>
          <w:b/>
          <w:u w:val="single"/>
        </w:rPr>
        <w:t xml:space="preserve">The </w:t>
      </w:r>
      <w:r w:rsidR="00A1161B">
        <w:rPr>
          <w:rFonts w:ascii="Book Antiqua" w:hAnsi="Book Antiqua" w:cs="Arial"/>
          <w:b/>
          <w:u w:val="single"/>
        </w:rPr>
        <w:t>grounds of appeal and grant of p</w:t>
      </w:r>
      <w:r>
        <w:rPr>
          <w:rFonts w:ascii="Book Antiqua" w:hAnsi="Book Antiqua" w:cs="Arial"/>
          <w:b/>
          <w:u w:val="single"/>
        </w:rPr>
        <w:t>ermission</w:t>
      </w:r>
    </w:p>
    <w:p w14:paraId="4DFB5255" w14:textId="77777777" w:rsidR="009002EC" w:rsidRDefault="002C45C5" w:rsidP="00FD0D0A">
      <w:pPr>
        <w:numPr>
          <w:ilvl w:val="0"/>
          <w:numId w:val="1"/>
        </w:numPr>
        <w:tabs>
          <w:tab w:val="clear" w:pos="567"/>
        </w:tabs>
        <w:spacing w:before="160"/>
        <w:jc w:val="both"/>
        <w:rPr>
          <w:rFonts w:ascii="Book Antiqua" w:hAnsi="Book Antiqua" w:cs="Arial"/>
        </w:rPr>
      </w:pPr>
      <w:r>
        <w:rPr>
          <w:rFonts w:ascii="Book Antiqua" w:hAnsi="Book Antiqua" w:cs="Arial"/>
        </w:rPr>
        <w:t xml:space="preserve">The grounds contend that the judge misdirected himself in relation to </w:t>
      </w:r>
      <w:r>
        <w:rPr>
          <w:rFonts w:ascii="Book Antiqua" w:hAnsi="Book Antiqua" w:cs="Arial"/>
          <w:u w:val="single"/>
        </w:rPr>
        <w:t>MA (Pakistan)</w:t>
      </w:r>
      <w:r w:rsidR="009002EC">
        <w:rPr>
          <w:rFonts w:ascii="Book Antiqua" w:hAnsi="Book Antiqua" w:cs="Arial"/>
        </w:rPr>
        <w:t>.  It is</w:t>
      </w:r>
      <w:r>
        <w:rPr>
          <w:rFonts w:ascii="Book Antiqua" w:hAnsi="Book Antiqua" w:cs="Arial"/>
        </w:rPr>
        <w:t xml:space="preserve"> said that the judge “</w:t>
      </w:r>
      <w:r w:rsidR="00802B26">
        <w:rPr>
          <w:rFonts w:ascii="Book Antiqua" w:hAnsi="Book Antiqua" w:cs="Arial"/>
        </w:rPr>
        <w:t>f</w:t>
      </w:r>
      <w:r>
        <w:rPr>
          <w:rFonts w:ascii="Book Antiqua" w:hAnsi="Book Antiqua" w:cs="Arial"/>
        </w:rPr>
        <w:t>ailed to adequately consider that the Appellant has a poor immigration history”</w:t>
      </w:r>
      <w:r w:rsidR="009002EC">
        <w:rPr>
          <w:rFonts w:ascii="Book Antiqua" w:hAnsi="Book Antiqua" w:cs="Arial"/>
        </w:rPr>
        <w:t>,</w:t>
      </w:r>
      <w:r>
        <w:rPr>
          <w:rFonts w:ascii="Book Antiqua" w:hAnsi="Book Antiqua" w:cs="Arial"/>
        </w:rPr>
        <w:t xml:space="preserve"> particularly in light of the alleged finding that “deception had been used”.  It is then said that</w:t>
      </w:r>
      <w:r w:rsidR="009002EC">
        <w:rPr>
          <w:rFonts w:ascii="Book Antiqua" w:hAnsi="Book Antiqua" w:cs="Arial"/>
        </w:rPr>
        <w:t>:</w:t>
      </w:r>
    </w:p>
    <w:p w14:paraId="3D925601" w14:textId="77777777" w:rsidR="009002EC" w:rsidRPr="00FD0D0A" w:rsidRDefault="009002EC" w:rsidP="00FD0D0A">
      <w:pPr>
        <w:pStyle w:val="ListParagraph"/>
        <w:spacing w:before="120"/>
        <w:ind w:left="1134" w:right="567"/>
        <w:contextualSpacing w:val="0"/>
        <w:jc w:val="both"/>
        <w:rPr>
          <w:rFonts w:ascii="Book Antiqua" w:hAnsi="Book Antiqua" w:cs="Arial"/>
          <w:sz w:val="22"/>
        </w:rPr>
      </w:pPr>
      <w:r w:rsidRPr="00FD0D0A">
        <w:rPr>
          <w:rFonts w:ascii="Book Antiqua" w:hAnsi="Book Antiqua" w:cs="Arial"/>
          <w:sz w:val="22"/>
        </w:rPr>
        <w:t xml:space="preserve">“Obtaining leave to remain by deception is a criminal offence and there is evidence of criminality, even if there is no conviction as yet.  Accordingly, there are powerful reasons in this case to render it reasonable for family life to continue abroad.  Had the judge not misdirected himself in law, he would have come to a different conclusion.”  </w:t>
      </w:r>
    </w:p>
    <w:p w14:paraId="671D2EFA" w14:textId="77777777" w:rsidR="009002EC" w:rsidRDefault="009002EC" w:rsidP="00FD0D0A">
      <w:pPr>
        <w:numPr>
          <w:ilvl w:val="0"/>
          <w:numId w:val="1"/>
        </w:numPr>
        <w:tabs>
          <w:tab w:val="clear" w:pos="567"/>
        </w:tabs>
        <w:spacing w:before="160"/>
        <w:jc w:val="both"/>
        <w:rPr>
          <w:rFonts w:ascii="Book Antiqua" w:hAnsi="Book Antiqua" w:cs="Arial"/>
        </w:rPr>
      </w:pPr>
      <w:r w:rsidRPr="009002EC">
        <w:rPr>
          <w:rFonts w:ascii="Book Antiqua" w:hAnsi="Book Antiqua" w:cs="Arial"/>
        </w:rPr>
        <w:t xml:space="preserve">It is then said that the judge failed to consider the possibility of the Appellant being able to return to Pakistan alone and make an entry clearance application.  </w:t>
      </w:r>
    </w:p>
    <w:p w14:paraId="65A01232" w14:textId="77777777" w:rsidR="009002EC" w:rsidRPr="009002EC" w:rsidRDefault="009002EC" w:rsidP="00FD0D0A">
      <w:pPr>
        <w:numPr>
          <w:ilvl w:val="0"/>
          <w:numId w:val="1"/>
        </w:numPr>
        <w:tabs>
          <w:tab w:val="clear" w:pos="567"/>
        </w:tabs>
        <w:spacing w:before="160"/>
        <w:jc w:val="both"/>
        <w:rPr>
          <w:rFonts w:ascii="Book Antiqua" w:hAnsi="Book Antiqua" w:cs="Arial"/>
        </w:rPr>
      </w:pPr>
      <w:r w:rsidRPr="009002EC">
        <w:rPr>
          <w:rFonts w:ascii="Book Antiqua" w:hAnsi="Book Antiqua" w:cs="Arial"/>
        </w:rPr>
        <w:t>Permission to appeal was granted by First-tier Tribunal Judge Pickup on 21 May 2018.</w:t>
      </w:r>
    </w:p>
    <w:p w14:paraId="60D73FBA" w14:textId="77777777" w:rsidR="002C45C5" w:rsidRDefault="009002EC" w:rsidP="00FD0D0A">
      <w:pPr>
        <w:spacing w:before="160"/>
        <w:jc w:val="both"/>
        <w:rPr>
          <w:rFonts w:ascii="Book Antiqua" w:hAnsi="Book Antiqua" w:cs="Arial"/>
        </w:rPr>
      </w:pPr>
      <w:r>
        <w:rPr>
          <w:rFonts w:ascii="Book Antiqua" w:hAnsi="Book Antiqua" w:cs="Arial"/>
          <w:b/>
          <w:u w:val="single"/>
        </w:rPr>
        <w:t>The hearing before m</w:t>
      </w:r>
      <w:r w:rsidR="002C45C5">
        <w:rPr>
          <w:rFonts w:ascii="Book Antiqua" w:hAnsi="Book Antiqua" w:cs="Arial"/>
          <w:b/>
          <w:u w:val="single"/>
        </w:rPr>
        <w:t>e</w:t>
      </w:r>
    </w:p>
    <w:p w14:paraId="3CB4A421" w14:textId="77777777" w:rsidR="009002EC" w:rsidRDefault="009002EC" w:rsidP="00FD0D0A">
      <w:pPr>
        <w:numPr>
          <w:ilvl w:val="0"/>
          <w:numId w:val="1"/>
        </w:numPr>
        <w:tabs>
          <w:tab w:val="clear" w:pos="567"/>
        </w:tabs>
        <w:spacing w:before="160"/>
        <w:jc w:val="both"/>
        <w:rPr>
          <w:rFonts w:ascii="Book Antiqua" w:hAnsi="Book Antiqua" w:cs="Arial"/>
        </w:rPr>
      </w:pPr>
      <w:r>
        <w:rPr>
          <w:rFonts w:ascii="Book Antiqua" w:hAnsi="Book Antiqua" w:cs="Arial"/>
        </w:rPr>
        <w:t>A brief r</w:t>
      </w:r>
      <w:r w:rsidR="002C45C5">
        <w:rPr>
          <w:rFonts w:ascii="Book Antiqua" w:hAnsi="Book Antiqua" w:cs="Arial"/>
        </w:rPr>
        <w:t xml:space="preserve">ule 24 reply from the Appellant was provided.  </w:t>
      </w:r>
    </w:p>
    <w:p w14:paraId="79094C7E" w14:textId="77777777" w:rsidR="009002EC" w:rsidRDefault="002C45C5" w:rsidP="00FD0D0A">
      <w:pPr>
        <w:numPr>
          <w:ilvl w:val="0"/>
          <w:numId w:val="1"/>
        </w:numPr>
        <w:tabs>
          <w:tab w:val="clear" w:pos="567"/>
        </w:tabs>
        <w:spacing w:before="160"/>
        <w:jc w:val="both"/>
        <w:rPr>
          <w:rFonts w:ascii="Book Antiqua" w:hAnsi="Book Antiqua" w:cs="Arial"/>
        </w:rPr>
      </w:pPr>
      <w:r>
        <w:rPr>
          <w:rFonts w:ascii="Book Antiqua" w:hAnsi="Book Antiqua" w:cs="Arial"/>
        </w:rPr>
        <w:t>At the outset Mr Melvin accepted that whilst the judge had fo</w:t>
      </w:r>
      <w:r w:rsidR="009002EC">
        <w:rPr>
          <w:rFonts w:ascii="Book Antiqua" w:hAnsi="Book Antiqua" w:cs="Arial"/>
        </w:rPr>
        <w:t>und the Appellant had ob</w:t>
      </w:r>
      <w:r>
        <w:rPr>
          <w:rFonts w:ascii="Book Antiqua" w:hAnsi="Book Antiqua" w:cs="Arial"/>
        </w:rPr>
        <w:t xml:space="preserve">tained the English language </w:t>
      </w:r>
      <w:r w:rsidR="00802B26">
        <w:rPr>
          <w:rFonts w:ascii="Book Antiqua" w:hAnsi="Book Antiqua" w:cs="Arial"/>
        </w:rPr>
        <w:t xml:space="preserve">certificate </w:t>
      </w:r>
      <w:r>
        <w:rPr>
          <w:rFonts w:ascii="Book Antiqua" w:hAnsi="Book Antiqua" w:cs="Arial"/>
        </w:rPr>
        <w:t>fraudulently, he had also found that the Appellant had not in fact used deception to obtain any grant of leave.  Mr Melvin submitted that notwithstanding this</w:t>
      </w:r>
      <w:r w:rsidR="009002EC">
        <w:rPr>
          <w:rFonts w:ascii="Book Antiqua" w:hAnsi="Book Antiqua" w:cs="Arial"/>
        </w:rPr>
        <w:t>,</w:t>
      </w:r>
      <w:r>
        <w:rPr>
          <w:rFonts w:ascii="Book Antiqua" w:hAnsi="Book Antiqua" w:cs="Arial"/>
        </w:rPr>
        <w:t xml:space="preserve"> the Appellant had still committed fraud and this </w:t>
      </w:r>
      <w:r>
        <w:rPr>
          <w:rFonts w:ascii="Book Antiqua" w:hAnsi="Book Antiqua" w:cs="Arial"/>
        </w:rPr>
        <w:lastRenderedPageBreak/>
        <w:t xml:space="preserve">was significant.  Whether the alleged misdirection as to </w:t>
      </w:r>
      <w:r>
        <w:rPr>
          <w:rFonts w:ascii="Book Antiqua" w:hAnsi="Book Antiqua" w:cs="Arial"/>
          <w:u w:val="single"/>
        </w:rPr>
        <w:t>MA (Pakistan)</w:t>
      </w:r>
      <w:r>
        <w:rPr>
          <w:rFonts w:ascii="Book Antiqua" w:hAnsi="Book Antiqua" w:cs="Arial"/>
        </w:rPr>
        <w:t xml:space="preserve"> w</w:t>
      </w:r>
      <w:r w:rsidR="007372BF">
        <w:rPr>
          <w:rFonts w:ascii="Book Antiqua" w:hAnsi="Book Antiqua" w:cs="Arial"/>
        </w:rPr>
        <w:t>a</w:t>
      </w:r>
      <w:r>
        <w:rPr>
          <w:rFonts w:ascii="Book Antiqua" w:hAnsi="Book Antiqua" w:cs="Arial"/>
        </w:rPr>
        <w:t>s material or not w</w:t>
      </w:r>
      <w:r w:rsidR="007372BF">
        <w:rPr>
          <w:rFonts w:ascii="Book Antiqua" w:hAnsi="Book Antiqua" w:cs="Arial"/>
        </w:rPr>
        <w:t>a</w:t>
      </w:r>
      <w:r w:rsidR="009002EC">
        <w:rPr>
          <w:rFonts w:ascii="Book Antiqua" w:hAnsi="Book Antiqua" w:cs="Arial"/>
        </w:rPr>
        <w:t>s a matter for me</w:t>
      </w:r>
      <w:r>
        <w:rPr>
          <w:rFonts w:ascii="Book Antiqua" w:hAnsi="Book Antiqua" w:cs="Arial"/>
        </w:rPr>
        <w:t>.</w:t>
      </w:r>
      <w:r w:rsidR="00501554">
        <w:rPr>
          <w:rFonts w:ascii="Book Antiqua" w:hAnsi="Book Antiqua" w:cs="Arial"/>
        </w:rPr>
        <w:t xml:space="preserve">  </w:t>
      </w:r>
    </w:p>
    <w:p w14:paraId="74C87B0D" w14:textId="0DEFD77F" w:rsidR="008A18FE" w:rsidRDefault="00501554" w:rsidP="00FD0D0A">
      <w:pPr>
        <w:numPr>
          <w:ilvl w:val="0"/>
          <w:numId w:val="1"/>
        </w:numPr>
        <w:tabs>
          <w:tab w:val="clear" w:pos="567"/>
        </w:tabs>
        <w:spacing w:before="160"/>
        <w:jc w:val="both"/>
        <w:rPr>
          <w:rFonts w:ascii="Book Antiqua" w:hAnsi="Book Antiqua" w:cs="Arial"/>
        </w:rPr>
      </w:pPr>
      <w:r>
        <w:rPr>
          <w:rFonts w:ascii="Book Antiqua" w:hAnsi="Book Antiqua" w:cs="Arial"/>
        </w:rPr>
        <w:t>I raised a couple of points with Mr Melvin in relation to the way in which the Respondent’s case was being put in this appeal.  I referred Mr Melvin to the Respondent’s own guidance</w:t>
      </w:r>
      <w:r w:rsidR="009002EC">
        <w:rPr>
          <w:rFonts w:ascii="Book Antiqua" w:hAnsi="Book Antiqua" w:cs="Arial"/>
        </w:rPr>
        <w:t xml:space="preserve"> of February 2018</w:t>
      </w:r>
      <w:r>
        <w:rPr>
          <w:rFonts w:ascii="Book Antiqua" w:hAnsi="Book Antiqua" w:cs="Arial"/>
        </w:rPr>
        <w:t xml:space="preserve"> on the question of whether it was reasonable to expect British citizen children to leave the United </w:t>
      </w:r>
      <w:r w:rsidR="009002EC">
        <w:rPr>
          <w:rFonts w:ascii="Book Antiqua" w:hAnsi="Book Antiqua" w:cs="Arial"/>
        </w:rPr>
        <w:t>Kingdom</w:t>
      </w:r>
      <w:r>
        <w:rPr>
          <w:rFonts w:ascii="Book Antiqua" w:hAnsi="Book Antiqua" w:cs="Arial"/>
        </w:rPr>
        <w:t xml:space="preserve"> and the relevance of such guidance to decision-making by the Tribunal as confirmed in </w:t>
      </w:r>
      <w:r w:rsidR="009002EC" w:rsidRPr="009002EC">
        <w:rPr>
          <w:rFonts w:ascii="Book Antiqua" w:hAnsi="Book Antiqua" w:cs="Arial"/>
          <w:color w:val="000000"/>
          <w:u w:val="single"/>
        </w:rPr>
        <w:t>SF and others (Guidance, post–2014 Act) Albania</w:t>
      </w:r>
      <w:r w:rsidR="009002EC">
        <w:rPr>
          <w:rFonts w:ascii="Book Antiqua" w:hAnsi="Book Antiqua" w:cs="Arial"/>
          <w:color w:val="000000"/>
        </w:rPr>
        <w:t xml:space="preserve"> [2017] UKUT 00120 (IAC)</w:t>
      </w:r>
      <w:r>
        <w:rPr>
          <w:rFonts w:ascii="Book Antiqua" w:hAnsi="Book Antiqua" w:cs="Arial"/>
        </w:rPr>
        <w:t xml:space="preserve">.  Mr Melvin seemed to suggest that the question of whether the child would leave the United Kingdom was a matter of </w:t>
      </w:r>
      <w:r w:rsidR="008A18FE">
        <w:rPr>
          <w:rFonts w:ascii="Book Antiqua" w:hAnsi="Book Antiqua" w:cs="Arial"/>
        </w:rPr>
        <w:t>“</w:t>
      </w:r>
      <w:r>
        <w:rPr>
          <w:rFonts w:ascii="Book Antiqua" w:hAnsi="Book Antiqua" w:cs="Arial"/>
        </w:rPr>
        <w:t>choice</w:t>
      </w:r>
      <w:r w:rsidR="008A18FE">
        <w:rPr>
          <w:rFonts w:ascii="Book Antiqua" w:hAnsi="Book Antiqua" w:cs="Arial"/>
        </w:rPr>
        <w:t>” for his parents and h</w:t>
      </w:r>
      <w:r>
        <w:rPr>
          <w:rFonts w:ascii="Book Antiqua" w:hAnsi="Book Antiqua" w:cs="Arial"/>
        </w:rPr>
        <w:t xml:space="preserve">e referred me to the Court of Appeal judgments in </w:t>
      </w:r>
      <w:r w:rsidRPr="00802B26">
        <w:rPr>
          <w:rFonts w:ascii="Book Antiqua" w:hAnsi="Book Antiqua" w:cs="Arial"/>
          <w:u w:val="single"/>
        </w:rPr>
        <w:t>FZ</w:t>
      </w:r>
      <w:r w:rsidR="008A18FE">
        <w:rPr>
          <w:rFonts w:ascii="Book Antiqua" w:hAnsi="Book Antiqua" w:cs="Arial"/>
          <w:u w:val="single"/>
        </w:rPr>
        <w:t xml:space="preserve"> (China)</w:t>
      </w:r>
      <w:r w:rsidR="008A18FE">
        <w:rPr>
          <w:rFonts w:ascii="Book Antiqua" w:hAnsi="Book Antiqua" w:cs="Arial"/>
        </w:rPr>
        <w:t xml:space="preserve"> [2015] EWCA </w:t>
      </w:r>
      <w:proofErr w:type="spellStart"/>
      <w:r w:rsidR="008A18FE">
        <w:rPr>
          <w:rFonts w:ascii="Book Antiqua" w:hAnsi="Book Antiqua" w:cs="Arial"/>
        </w:rPr>
        <w:t>Civ</w:t>
      </w:r>
      <w:proofErr w:type="spellEnd"/>
      <w:r w:rsidR="008A18FE">
        <w:rPr>
          <w:rFonts w:ascii="Book Antiqua" w:hAnsi="Book Antiqua" w:cs="Arial"/>
        </w:rPr>
        <w:t xml:space="preserve"> 550</w:t>
      </w:r>
      <w:r w:rsidRPr="00802B26">
        <w:rPr>
          <w:rFonts w:ascii="Book Antiqua" w:hAnsi="Book Antiqua" w:cs="Arial"/>
        </w:rPr>
        <w:t xml:space="preserve"> and </w:t>
      </w:r>
      <w:r w:rsidRPr="00802B26">
        <w:rPr>
          <w:rFonts w:ascii="Book Antiqua" w:hAnsi="Book Antiqua" w:cs="Arial"/>
          <w:u w:val="single"/>
        </w:rPr>
        <w:t>VM</w:t>
      </w:r>
      <w:r w:rsidR="008A18FE">
        <w:rPr>
          <w:rFonts w:ascii="Book Antiqua" w:hAnsi="Book Antiqua" w:cs="Arial"/>
          <w:u w:val="single"/>
        </w:rPr>
        <w:t xml:space="preserve"> (</w:t>
      </w:r>
      <w:r w:rsidR="00FD0D0A">
        <w:rPr>
          <w:rFonts w:ascii="Book Antiqua" w:hAnsi="Book Antiqua" w:cs="Arial"/>
          <w:u w:val="single"/>
        </w:rPr>
        <w:t>Jamaica</w:t>
      </w:r>
      <w:r w:rsidR="008A18FE">
        <w:rPr>
          <w:rFonts w:ascii="Book Antiqua" w:hAnsi="Book Antiqua" w:cs="Arial"/>
          <w:u w:val="single"/>
        </w:rPr>
        <w:t>)</w:t>
      </w:r>
      <w:r w:rsidR="008A18FE">
        <w:rPr>
          <w:rFonts w:ascii="Book Antiqua" w:hAnsi="Book Antiqua" w:cs="Arial"/>
        </w:rPr>
        <w:t xml:space="preserve"> [2017] EWCA </w:t>
      </w:r>
      <w:proofErr w:type="spellStart"/>
      <w:r w:rsidR="008A18FE">
        <w:rPr>
          <w:rFonts w:ascii="Book Antiqua" w:hAnsi="Book Antiqua" w:cs="Arial"/>
        </w:rPr>
        <w:t>Civ</w:t>
      </w:r>
      <w:proofErr w:type="spellEnd"/>
      <w:r w:rsidR="008A18FE">
        <w:rPr>
          <w:rFonts w:ascii="Book Antiqua" w:hAnsi="Book Antiqua" w:cs="Arial"/>
        </w:rPr>
        <w:t xml:space="preserve"> 255</w:t>
      </w:r>
      <w:r>
        <w:rPr>
          <w:rFonts w:ascii="Book Antiqua" w:hAnsi="Book Antiqua" w:cs="Arial"/>
        </w:rPr>
        <w:t xml:space="preserve">.  He indicated that although these cases were concerned with the </w:t>
      </w:r>
      <w:r>
        <w:rPr>
          <w:rFonts w:ascii="Book Antiqua" w:hAnsi="Book Antiqua" w:cs="Arial"/>
          <w:u w:val="single"/>
        </w:rPr>
        <w:t>Zambrano</w:t>
      </w:r>
      <w:r>
        <w:rPr>
          <w:rFonts w:ascii="Book Antiqua" w:hAnsi="Book Antiqua" w:cs="Arial"/>
        </w:rPr>
        <w:t xml:space="preserve"> principle and EU law, the Respondent’s guidance was predicated upon this and there</w:t>
      </w:r>
      <w:r w:rsidR="0016492C">
        <w:rPr>
          <w:rFonts w:ascii="Book Antiqua" w:hAnsi="Book Antiqua" w:cs="Arial"/>
        </w:rPr>
        <w:t>fore</w:t>
      </w:r>
      <w:r>
        <w:rPr>
          <w:rFonts w:ascii="Book Antiqua" w:hAnsi="Book Antiqua" w:cs="Arial"/>
        </w:rPr>
        <w:t xml:space="preserve"> these two judgment</w:t>
      </w:r>
      <w:r w:rsidR="007372BF">
        <w:rPr>
          <w:rFonts w:ascii="Book Antiqua" w:hAnsi="Book Antiqua" w:cs="Arial"/>
        </w:rPr>
        <w:t>s</w:t>
      </w:r>
      <w:r>
        <w:rPr>
          <w:rFonts w:ascii="Book Antiqua" w:hAnsi="Book Antiqua" w:cs="Arial"/>
        </w:rPr>
        <w:t xml:space="preserve"> were relevant.  </w:t>
      </w:r>
    </w:p>
    <w:p w14:paraId="4A259689" w14:textId="77777777" w:rsidR="008A18FE" w:rsidRDefault="00501554" w:rsidP="00FD0D0A">
      <w:pPr>
        <w:numPr>
          <w:ilvl w:val="0"/>
          <w:numId w:val="1"/>
        </w:numPr>
        <w:tabs>
          <w:tab w:val="clear" w:pos="567"/>
        </w:tabs>
        <w:spacing w:before="160"/>
        <w:jc w:val="both"/>
        <w:rPr>
          <w:rFonts w:ascii="Book Antiqua" w:hAnsi="Book Antiqua" w:cs="Arial"/>
        </w:rPr>
      </w:pPr>
      <w:r>
        <w:rPr>
          <w:rFonts w:ascii="Book Antiqua" w:hAnsi="Book Antiqua" w:cs="Arial"/>
        </w:rPr>
        <w:t xml:space="preserve">I then asked Mr Melvin whether the issue of an entry clearance application even arose given that </w:t>
      </w:r>
      <w:r>
        <w:rPr>
          <w:rFonts w:ascii="Book Antiqua" w:hAnsi="Book Antiqua" w:cs="Arial"/>
          <w:u w:val="single"/>
        </w:rPr>
        <w:t>MA (Pakistan)</w:t>
      </w:r>
      <w:r w:rsidR="008A18FE">
        <w:rPr>
          <w:rFonts w:ascii="Book Antiqua" w:hAnsi="Book Antiqua" w:cs="Arial"/>
        </w:rPr>
        <w:t xml:space="preserve"> indicated that an appellant</w:t>
      </w:r>
      <w:r>
        <w:rPr>
          <w:rFonts w:ascii="Book Antiqua" w:hAnsi="Book Antiqua" w:cs="Arial"/>
        </w:rPr>
        <w:t xml:space="preserve"> would succeed </w:t>
      </w:r>
      <w:r w:rsidR="008A18FE">
        <w:rPr>
          <w:rFonts w:ascii="Book Antiqua" w:hAnsi="Book Antiqua" w:cs="Arial"/>
        </w:rPr>
        <w:t>in their article 8 claim if the provisions of 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6) were met</w:t>
      </w:r>
      <w:r w:rsidR="008A18FE">
        <w:rPr>
          <w:rFonts w:ascii="Book Antiqua" w:hAnsi="Book Antiqua" w:cs="Arial"/>
        </w:rPr>
        <w:t>. H</w:t>
      </w:r>
      <w:r>
        <w:rPr>
          <w:rFonts w:ascii="Book Antiqua" w:hAnsi="Book Antiqua" w:cs="Arial"/>
        </w:rPr>
        <w:t xml:space="preserve">e did not provide a response to this point.  </w:t>
      </w:r>
    </w:p>
    <w:p w14:paraId="1F0CE681" w14:textId="77777777" w:rsidR="008A18FE" w:rsidRDefault="008A18FE" w:rsidP="00FD0D0A">
      <w:pPr>
        <w:numPr>
          <w:ilvl w:val="0"/>
          <w:numId w:val="1"/>
        </w:numPr>
        <w:tabs>
          <w:tab w:val="clear" w:pos="567"/>
        </w:tabs>
        <w:spacing w:before="160"/>
        <w:jc w:val="both"/>
        <w:rPr>
          <w:rFonts w:ascii="Book Antiqua" w:hAnsi="Book Antiqua" w:cs="Arial"/>
        </w:rPr>
      </w:pPr>
      <w:r>
        <w:rPr>
          <w:rFonts w:ascii="Book Antiqua" w:hAnsi="Book Antiqua" w:cs="Arial"/>
        </w:rPr>
        <w:t>In relation to any potential entry clearance</w:t>
      </w:r>
      <w:r w:rsidR="00501554">
        <w:rPr>
          <w:rFonts w:ascii="Book Antiqua" w:hAnsi="Book Antiqua" w:cs="Arial"/>
        </w:rPr>
        <w:t xml:space="preserve"> application, I </w:t>
      </w:r>
      <w:r>
        <w:rPr>
          <w:rFonts w:ascii="Book Antiqua" w:hAnsi="Book Antiqua" w:cs="Arial"/>
        </w:rPr>
        <w:t>also highlighted the judgment</w:t>
      </w:r>
      <w:r w:rsidR="00501554">
        <w:rPr>
          <w:rFonts w:ascii="Book Antiqua" w:hAnsi="Book Antiqua" w:cs="Arial"/>
        </w:rPr>
        <w:t xml:space="preserve"> of the Court of Appeal judgment in </w:t>
      </w:r>
      <w:r w:rsidR="007372BF" w:rsidRPr="00FD0D0A">
        <w:rPr>
          <w:rFonts w:ascii="Book Antiqua" w:hAnsi="Book Antiqua" w:cs="Arial"/>
          <w:u w:val="single"/>
        </w:rPr>
        <w:t>T</w:t>
      </w:r>
      <w:r w:rsidR="00501554" w:rsidRPr="00FD0D0A">
        <w:rPr>
          <w:rFonts w:ascii="Book Antiqua" w:hAnsi="Book Antiqua" w:cs="Arial"/>
          <w:u w:val="single"/>
        </w:rPr>
        <w:t>ikka</w:t>
      </w:r>
      <w:r w:rsidR="00501554">
        <w:rPr>
          <w:rFonts w:ascii="Book Antiqua" w:hAnsi="Book Antiqua" w:cs="Arial"/>
        </w:rPr>
        <w:t xml:space="preserve"> [2018]</w:t>
      </w:r>
      <w:r>
        <w:rPr>
          <w:rFonts w:ascii="Book Antiqua" w:hAnsi="Book Antiqua" w:cs="Arial"/>
        </w:rPr>
        <w:t xml:space="preserve"> EWCA </w:t>
      </w:r>
      <w:proofErr w:type="spellStart"/>
      <w:r>
        <w:rPr>
          <w:rFonts w:ascii="Book Antiqua" w:hAnsi="Book Antiqua" w:cs="Arial"/>
        </w:rPr>
        <w:t>Civ</w:t>
      </w:r>
      <w:proofErr w:type="spellEnd"/>
      <w:r>
        <w:rPr>
          <w:rFonts w:ascii="Book Antiqua" w:hAnsi="Book Antiqua" w:cs="Arial"/>
        </w:rPr>
        <w:t xml:space="preserve"> 642</w:t>
      </w:r>
      <w:r w:rsidR="00501554">
        <w:rPr>
          <w:rFonts w:ascii="Book Antiqua" w:hAnsi="Book Antiqua" w:cs="Arial"/>
        </w:rPr>
        <w:t xml:space="preserve">.  That case, also involving an individual to whom paragraph 322(5) applied, suggested that any application from abroad would be refused on the very same grounds as it had been refused in-country and therefore it would be futile </w:t>
      </w:r>
      <w:r>
        <w:rPr>
          <w:rFonts w:ascii="Book Antiqua" w:hAnsi="Book Antiqua" w:cs="Arial"/>
        </w:rPr>
        <w:t>for the Appellant</w:t>
      </w:r>
      <w:r w:rsidR="00501554">
        <w:rPr>
          <w:rFonts w:ascii="Book Antiqua" w:hAnsi="Book Antiqua" w:cs="Arial"/>
        </w:rPr>
        <w:t xml:space="preserve"> to go abroad and seek entry clearance.  In response Mr Melvin submitted</w:t>
      </w:r>
      <w:r>
        <w:rPr>
          <w:rFonts w:ascii="Book Antiqua" w:hAnsi="Book Antiqua" w:cs="Arial"/>
        </w:rPr>
        <w:t xml:space="preserve"> that paragraph 320(7C) of the r</w:t>
      </w:r>
      <w:r w:rsidR="00501554">
        <w:rPr>
          <w:rFonts w:ascii="Book Antiqua" w:hAnsi="Book Antiqua" w:cs="Arial"/>
        </w:rPr>
        <w:t>ules would assist any entry clearance application.  On reflection</w:t>
      </w:r>
      <w:r>
        <w:rPr>
          <w:rFonts w:ascii="Book Antiqua" w:hAnsi="Book Antiqua" w:cs="Arial"/>
        </w:rPr>
        <w:t>,</w:t>
      </w:r>
      <w:r w:rsidR="00501554">
        <w:rPr>
          <w:rFonts w:ascii="Book Antiqua" w:hAnsi="Book Antiqua" w:cs="Arial"/>
        </w:rPr>
        <w:t xml:space="preserve"> Mr Melvin </w:t>
      </w:r>
      <w:r>
        <w:rPr>
          <w:rFonts w:ascii="Book Antiqua" w:hAnsi="Book Antiqua" w:cs="Arial"/>
        </w:rPr>
        <w:t xml:space="preserve">then </w:t>
      </w:r>
      <w:r w:rsidR="00501554">
        <w:rPr>
          <w:rFonts w:ascii="Book Antiqua" w:hAnsi="Book Antiqua" w:cs="Arial"/>
        </w:rPr>
        <w:t>accepted that he was wrong about th</w:t>
      </w:r>
      <w:r w:rsidR="007372BF">
        <w:rPr>
          <w:rFonts w:ascii="Book Antiqua" w:hAnsi="Book Antiqua" w:cs="Arial"/>
        </w:rPr>
        <w:t>a</w:t>
      </w:r>
      <w:r w:rsidR="00501554">
        <w:rPr>
          <w:rFonts w:ascii="Book Antiqua" w:hAnsi="Book Antiqua" w:cs="Arial"/>
        </w:rPr>
        <w:t>t as this provision has been deleted</w:t>
      </w:r>
      <w:r>
        <w:rPr>
          <w:rFonts w:ascii="Book Antiqua" w:hAnsi="Book Antiqua" w:cs="Arial"/>
        </w:rPr>
        <w:t xml:space="preserve"> from the rules</w:t>
      </w:r>
      <w:r w:rsidR="00501554">
        <w:rPr>
          <w:rFonts w:ascii="Book Antiqua" w:hAnsi="Book Antiqua" w:cs="Arial"/>
        </w:rPr>
        <w:t xml:space="preserve">.  </w:t>
      </w:r>
    </w:p>
    <w:p w14:paraId="4CF3A972" w14:textId="77777777" w:rsidR="008A18FE" w:rsidRDefault="00501554" w:rsidP="00FD0D0A">
      <w:pPr>
        <w:numPr>
          <w:ilvl w:val="0"/>
          <w:numId w:val="1"/>
        </w:numPr>
        <w:tabs>
          <w:tab w:val="clear" w:pos="567"/>
        </w:tabs>
        <w:spacing w:before="160"/>
        <w:jc w:val="both"/>
        <w:rPr>
          <w:rFonts w:ascii="Book Antiqua" w:hAnsi="Book Antiqua" w:cs="Arial"/>
        </w:rPr>
      </w:pPr>
      <w:r>
        <w:rPr>
          <w:rFonts w:ascii="Book Antiqua" w:hAnsi="Book Antiqua" w:cs="Arial"/>
        </w:rPr>
        <w:t>Mr Khan submitted that even taking into account the fraud, the fact that the Appellant had a British citizen child outweighed this</w:t>
      </w:r>
      <w:r w:rsidR="008A18FE">
        <w:rPr>
          <w:rFonts w:ascii="Book Antiqua" w:hAnsi="Book Antiqua" w:cs="Arial"/>
        </w:rPr>
        <w:t xml:space="preserve"> misconduct</w:t>
      </w:r>
      <w:r>
        <w:rPr>
          <w:rFonts w:ascii="Book Antiqua" w:hAnsi="Book Antiqua" w:cs="Arial"/>
        </w:rPr>
        <w:t xml:space="preserve">.  </w:t>
      </w:r>
    </w:p>
    <w:p w14:paraId="3AB8584D" w14:textId="77777777" w:rsidR="002C45C5" w:rsidRDefault="00501554" w:rsidP="00FD0D0A">
      <w:pPr>
        <w:numPr>
          <w:ilvl w:val="0"/>
          <w:numId w:val="1"/>
        </w:numPr>
        <w:tabs>
          <w:tab w:val="clear" w:pos="567"/>
        </w:tabs>
        <w:spacing w:before="160"/>
        <w:jc w:val="both"/>
        <w:rPr>
          <w:rFonts w:ascii="Book Antiqua" w:hAnsi="Book Antiqua" w:cs="Arial"/>
        </w:rPr>
      </w:pPr>
      <w:r>
        <w:rPr>
          <w:rFonts w:ascii="Book Antiqua" w:hAnsi="Book Antiqua" w:cs="Arial"/>
        </w:rPr>
        <w:t>Mr Melvin had nothing further to add.</w:t>
      </w:r>
    </w:p>
    <w:p w14:paraId="6B1C0701" w14:textId="77777777" w:rsidR="00501554" w:rsidRDefault="00501554" w:rsidP="00FD0D0A">
      <w:pPr>
        <w:spacing w:before="160"/>
        <w:jc w:val="both"/>
        <w:rPr>
          <w:rFonts w:ascii="Book Antiqua" w:hAnsi="Book Antiqua" w:cs="Arial"/>
        </w:rPr>
      </w:pPr>
      <w:r>
        <w:rPr>
          <w:rFonts w:ascii="Book Antiqua" w:hAnsi="Book Antiqua" w:cs="Arial"/>
          <w:b/>
          <w:u w:val="single"/>
        </w:rPr>
        <w:t>Decis</w:t>
      </w:r>
      <w:r w:rsidR="008A18FE">
        <w:rPr>
          <w:rFonts w:ascii="Book Antiqua" w:hAnsi="Book Antiqua" w:cs="Arial"/>
          <w:b/>
          <w:u w:val="single"/>
        </w:rPr>
        <w:t>ion on error of l</w:t>
      </w:r>
      <w:r>
        <w:rPr>
          <w:rFonts w:ascii="Book Antiqua" w:hAnsi="Book Antiqua" w:cs="Arial"/>
          <w:b/>
          <w:u w:val="single"/>
        </w:rPr>
        <w:t>aw</w:t>
      </w:r>
    </w:p>
    <w:p w14:paraId="2D4593D2" w14:textId="77777777" w:rsidR="004952B7" w:rsidRDefault="00501554" w:rsidP="00FD0D0A">
      <w:pPr>
        <w:numPr>
          <w:ilvl w:val="0"/>
          <w:numId w:val="1"/>
        </w:numPr>
        <w:tabs>
          <w:tab w:val="clear" w:pos="567"/>
        </w:tabs>
        <w:spacing w:before="160"/>
        <w:jc w:val="both"/>
        <w:rPr>
          <w:rFonts w:ascii="Book Antiqua" w:hAnsi="Book Antiqua" w:cs="Arial"/>
        </w:rPr>
      </w:pPr>
      <w:r>
        <w:rPr>
          <w:rFonts w:ascii="Book Antiqua" w:hAnsi="Book Antiqua" w:cs="Arial"/>
        </w:rPr>
        <w:t xml:space="preserve">I conclude that </w:t>
      </w:r>
      <w:r w:rsidR="0016492C">
        <w:rPr>
          <w:rFonts w:ascii="Book Antiqua" w:hAnsi="Book Antiqua" w:cs="Arial"/>
        </w:rPr>
        <w:t xml:space="preserve">whilst </w:t>
      </w:r>
      <w:r>
        <w:rPr>
          <w:rFonts w:ascii="Book Antiqua" w:hAnsi="Book Antiqua" w:cs="Arial"/>
        </w:rPr>
        <w:t>the judge erred in respect of this statement of</w:t>
      </w:r>
      <w:r w:rsidR="004952B7">
        <w:rPr>
          <w:rFonts w:ascii="Book Antiqua" w:hAnsi="Book Antiqua" w:cs="Arial"/>
        </w:rPr>
        <w:t xml:space="preserve"> the</w:t>
      </w:r>
      <w:r>
        <w:rPr>
          <w:rFonts w:ascii="Book Antiqua" w:hAnsi="Book Antiqua" w:cs="Arial"/>
        </w:rPr>
        <w:t xml:space="preserve"> reasonableness test to be applied under </w:t>
      </w:r>
      <w:r>
        <w:rPr>
          <w:rFonts w:ascii="Book Antiqua" w:hAnsi="Book Antiqua" w:cs="Arial"/>
          <w:u w:val="single"/>
        </w:rPr>
        <w:t>MA (Pakistan)</w:t>
      </w:r>
      <w:r>
        <w:rPr>
          <w:rFonts w:ascii="Book Antiqua" w:hAnsi="Book Antiqua" w:cs="Arial"/>
        </w:rPr>
        <w:t>, this was not a material error and I should not exercise my discretion t</w:t>
      </w:r>
      <w:r w:rsidR="004952B7">
        <w:rPr>
          <w:rFonts w:ascii="Book Antiqua" w:hAnsi="Book Antiqua" w:cs="Arial"/>
        </w:rPr>
        <w:t>o set the decision aside under s</w:t>
      </w:r>
      <w:r>
        <w:rPr>
          <w:rFonts w:ascii="Book Antiqua" w:hAnsi="Book Antiqua" w:cs="Arial"/>
        </w:rPr>
        <w:t>ection 12(2)</w:t>
      </w:r>
      <w:r w:rsidR="004952B7">
        <w:rPr>
          <w:rFonts w:ascii="Book Antiqua" w:hAnsi="Book Antiqua" w:cs="Arial"/>
        </w:rPr>
        <w:t>(a)</w:t>
      </w:r>
      <w:r>
        <w:rPr>
          <w:rFonts w:ascii="Book Antiqua" w:hAnsi="Book Antiqua" w:cs="Arial"/>
        </w:rPr>
        <w:t xml:space="preserve"> of the Tribunals, Courts and Enforcement Act 2007.</w:t>
      </w:r>
    </w:p>
    <w:p w14:paraId="6144ACD7" w14:textId="77777777" w:rsidR="004952B7" w:rsidRDefault="00501554" w:rsidP="00FD0D0A">
      <w:pPr>
        <w:numPr>
          <w:ilvl w:val="0"/>
          <w:numId w:val="1"/>
        </w:numPr>
        <w:tabs>
          <w:tab w:val="clear" w:pos="567"/>
        </w:tabs>
        <w:spacing w:before="160"/>
        <w:jc w:val="both"/>
        <w:rPr>
          <w:rFonts w:ascii="Book Antiqua" w:hAnsi="Book Antiqua" w:cs="Arial"/>
        </w:rPr>
      </w:pPr>
      <w:r w:rsidRPr="004952B7">
        <w:rPr>
          <w:rFonts w:ascii="Book Antiqua" w:hAnsi="Book Antiqua" w:cs="Arial"/>
        </w:rPr>
        <w:t xml:space="preserve">It is obvious </w:t>
      </w:r>
      <w:r w:rsidR="004952B7">
        <w:rPr>
          <w:rFonts w:ascii="Book Antiqua" w:hAnsi="Book Antiqua" w:cs="Arial"/>
        </w:rPr>
        <w:t xml:space="preserve">from the judge’s decision and the evidence in general </w:t>
      </w:r>
      <w:r w:rsidRPr="004952B7">
        <w:rPr>
          <w:rFonts w:ascii="Book Antiqua" w:hAnsi="Book Antiqua" w:cs="Arial"/>
        </w:rPr>
        <w:t>that the Appellant had a genuine and subsisting parent</w:t>
      </w:r>
      <w:r w:rsidR="004952B7">
        <w:rPr>
          <w:rFonts w:ascii="Book Antiqua" w:hAnsi="Book Antiqua" w:cs="Arial"/>
        </w:rPr>
        <w:t>al relationship with his child. I</w:t>
      </w:r>
      <w:r w:rsidRPr="004952B7">
        <w:rPr>
          <w:rFonts w:ascii="Book Antiqua" w:hAnsi="Book Antiqua" w:cs="Arial"/>
        </w:rPr>
        <w:t>t is equally clear that the child was at all material times a qualifying child, being a British Citizen</w:t>
      </w:r>
      <w:r w:rsidR="00531BFE" w:rsidRPr="004952B7">
        <w:rPr>
          <w:rFonts w:ascii="Book Antiqua" w:hAnsi="Book Antiqua" w:cs="Arial"/>
        </w:rPr>
        <w:t>.  The judge was clearly wrong to</w:t>
      </w:r>
      <w:r w:rsidR="007372BF" w:rsidRPr="004952B7">
        <w:rPr>
          <w:rFonts w:ascii="Book Antiqua" w:hAnsi="Book Antiqua" w:cs="Arial"/>
        </w:rPr>
        <w:t xml:space="preserve"> </w:t>
      </w:r>
      <w:r w:rsidR="00531BFE" w:rsidRPr="004952B7">
        <w:rPr>
          <w:rFonts w:ascii="Book Antiqua" w:hAnsi="Book Antiqua" w:cs="Arial"/>
        </w:rPr>
        <w:t xml:space="preserve">have said that </w:t>
      </w:r>
      <w:r w:rsidR="00531BFE" w:rsidRPr="004952B7">
        <w:rPr>
          <w:rFonts w:ascii="Book Antiqua" w:hAnsi="Book Antiqua" w:cs="Arial"/>
          <w:u w:val="single"/>
        </w:rPr>
        <w:t>MA (Pakistan)</w:t>
      </w:r>
      <w:r w:rsidR="00531BFE" w:rsidRPr="004952B7">
        <w:rPr>
          <w:rFonts w:ascii="Book Antiqua" w:hAnsi="Book Antiqua" w:cs="Arial"/>
        </w:rPr>
        <w:t xml:space="preserve"> stipulates that the reasonableness assessment does </w:t>
      </w:r>
      <w:r w:rsidR="00531BFE" w:rsidRPr="004952B7">
        <w:rPr>
          <w:rFonts w:ascii="Book Antiqua" w:hAnsi="Book Antiqua" w:cs="Arial"/>
          <w:i/>
        </w:rPr>
        <w:t>not</w:t>
      </w:r>
      <w:r w:rsidR="00531BFE" w:rsidRPr="004952B7">
        <w:rPr>
          <w:rFonts w:ascii="Book Antiqua" w:hAnsi="Book Antiqua" w:cs="Arial"/>
        </w:rPr>
        <w:t xml:space="preserve"> include an assessment of the conduct and immigration history of the parents of </w:t>
      </w:r>
      <w:r w:rsidR="0016492C" w:rsidRPr="004952B7">
        <w:rPr>
          <w:rFonts w:ascii="Book Antiqua" w:hAnsi="Book Antiqua" w:cs="Arial"/>
        </w:rPr>
        <w:t>a</w:t>
      </w:r>
      <w:r w:rsidR="004952B7">
        <w:rPr>
          <w:rFonts w:ascii="Book Antiqua" w:hAnsi="Book Antiqua" w:cs="Arial"/>
        </w:rPr>
        <w:t xml:space="preserve"> qualifying child: this</w:t>
      </w:r>
      <w:r w:rsidR="00531BFE" w:rsidRPr="004952B7">
        <w:rPr>
          <w:rFonts w:ascii="Book Antiqua" w:hAnsi="Book Antiqua" w:cs="Arial"/>
        </w:rPr>
        <w:t xml:space="preserve"> assessment does </w:t>
      </w:r>
      <w:r w:rsidR="004952B7">
        <w:rPr>
          <w:rFonts w:ascii="Book Antiqua" w:hAnsi="Book Antiqua" w:cs="Arial"/>
        </w:rPr>
        <w:t xml:space="preserve">indeed </w:t>
      </w:r>
      <w:r w:rsidR="004952B7">
        <w:rPr>
          <w:rFonts w:ascii="Book Antiqua" w:hAnsi="Book Antiqua" w:cs="Arial"/>
        </w:rPr>
        <w:lastRenderedPageBreak/>
        <w:t>include wider public interest</w:t>
      </w:r>
      <w:r w:rsidR="00531BFE" w:rsidRPr="004952B7">
        <w:rPr>
          <w:rFonts w:ascii="Book Antiqua" w:hAnsi="Book Antiqua" w:cs="Arial"/>
        </w:rPr>
        <w:t xml:space="preserve"> consideration</w:t>
      </w:r>
      <w:r w:rsidR="004952B7">
        <w:rPr>
          <w:rFonts w:ascii="Book Antiqua" w:hAnsi="Book Antiqua" w:cs="Arial"/>
        </w:rPr>
        <w:t>s</w:t>
      </w:r>
      <w:r w:rsidR="00531BFE" w:rsidRPr="004952B7">
        <w:rPr>
          <w:rFonts w:ascii="Book Antiqua" w:hAnsi="Book Antiqua" w:cs="Arial"/>
        </w:rPr>
        <w:t xml:space="preserve">.  The issue that is to be assessed in isolation </w:t>
      </w:r>
      <w:r w:rsidR="004952B7">
        <w:rPr>
          <w:rFonts w:ascii="Book Antiqua" w:hAnsi="Book Antiqua" w:cs="Arial"/>
        </w:rPr>
        <w:t xml:space="preserve">of such considerations </w:t>
      </w:r>
      <w:r w:rsidR="00531BFE" w:rsidRPr="004952B7">
        <w:rPr>
          <w:rFonts w:ascii="Book Antiqua" w:hAnsi="Book Antiqua" w:cs="Arial"/>
        </w:rPr>
        <w:t>is that of the child’s bes</w:t>
      </w:r>
      <w:r w:rsidR="004952B7">
        <w:rPr>
          <w:rFonts w:ascii="Book Antiqua" w:hAnsi="Book Antiqua" w:cs="Arial"/>
        </w:rPr>
        <w:t xml:space="preserve">t interests.  </w:t>
      </w:r>
    </w:p>
    <w:p w14:paraId="22A78DDF" w14:textId="1F748FDB" w:rsidR="00BC778B" w:rsidRDefault="004952B7" w:rsidP="00FD0D0A">
      <w:pPr>
        <w:numPr>
          <w:ilvl w:val="0"/>
          <w:numId w:val="1"/>
        </w:numPr>
        <w:tabs>
          <w:tab w:val="clear" w:pos="567"/>
        </w:tabs>
        <w:spacing w:before="160"/>
        <w:jc w:val="both"/>
        <w:rPr>
          <w:rFonts w:ascii="Book Antiqua" w:hAnsi="Book Antiqua" w:cs="Arial"/>
        </w:rPr>
      </w:pPr>
      <w:r>
        <w:rPr>
          <w:rFonts w:ascii="Book Antiqua" w:hAnsi="Book Antiqua" w:cs="Arial"/>
        </w:rPr>
        <w:t>I conclude</w:t>
      </w:r>
      <w:r w:rsidR="00531BFE" w:rsidRPr="004952B7">
        <w:rPr>
          <w:rFonts w:ascii="Book Antiqua" w:hAnsi="Book Antiqua" w:cs="Arial"/>
        </w:rPr>
        <w:t xml:space="preserve"> that </w:t>
      </w:r>
      <w:r>
        <w:rPr>
          <w:rFonts w:ascii="Book Antiqua" w:hAnsi="Book Antiqua" w:cs="Arial"/>
        </w:rPr>
        <w:t>the judge’s misdirection</w:t>
      </w:r>
      <w:r w:rsidR="00531BFE" w:rsidRPr="004952B7">
        <w:rPr>
          <w:rFonts w:ascii="Book Antiqua" w:hAnsi="Book Antiqua" w:cs="Arial"/>
        </w:rPr>
        <w:t xml:space="preserve"> </w:t>
      </w:r>
      <w:r>
        <w:rPr>
          <w:rFonts w:ascii="Book Antiqua" w:hAnsi="Book Antiqua" w:cs="Arial"/>
        </w:rPr>
        <w:t>is not material to the outcome of the appeal.  It is quite clear, as</w:t>
      </w:r>
      <w:r w:rsidR="00531BFE" w:rsidRPr="004952B7">
        <w:rPr>
          <w:rFonts w:ascii="Book Antiqua" w:hAnsi="Book Antiqua" w:cs="Arial"/>
        </w:rPr>
        <w:t xml:space="preserve"> indeed the judge correctly states</w:t>
      </w:r>
      <w:r>
        <w:rPr>
          <w:rFonts w:ascii="Book Antiqua" w:hAnsi="Book Antiqua" w:cs="Arial"/>
        </w:rPr>
        <w:t xml:space="preserve"> at [16],</w:t>
      </w:r>
      <w:r w:rsidR="00531BFE" w:rsidRPr="004952B7">
        <w:rPr>
          <w:rFonts w:ascii="Book Antiqua" w:hAnsi="Book Antiqua" w:cs="Arial"/>
        </w:rPr>
        <w:t xml:space="preserve"> that once the thre</w:t>
      </w:r>
      <w:r>
        <w:rPr>
          <w:rFonts w:ascii="Book Antiqua" w:hAnsi="Book Antiqua" w:cs="Arial"/>
        </w:rPr>
        <w:t>shold questions in relation to s</w:t>
      </w:r>
      <w:r w:rsidR="00531BFE" w:rsidRPr="004952B7">
        <w:rPr>
          <w:rFonts w:ascii="Book Antiqua" w:hAnsi="Book Antiqua" w:cs="Arial"/>
        </w:rPr>
        <w:t>ection 117B(6) are answered in the Appellant’s favour (namely whether he had parental relationship with the child and the child was qualified)</w:t>
      </w:r>
      <w:r w:rsidR="0016492C" w:rsidRPr="004952B7">
        <w:rPr>
          <w:rFonts w:ascii="Book Antiqua" w:hAnsi="Book Antiqua" w:cs="Arial"/>
        </w:rPr>
        <w:t>,</w:t>
      </w:r>
      <w:r>
        <w:rPr>
          <w:rFonts w:ascii="Book Antiqua" w:hAnsi="Book Antiqua" w:cs="Arial"/>
        </w:rPr>
        <w:t xml:space="preserve"> “powerful reasons” are required to be shown in order to</w:t>
      </w:r>
      <w:r w:rsidR="00531BFE" w:rsidRPr="004952B7">
        <w:rPr>
          <w:rFonts w:ascii="Book Antiqua" w:hAnsi="Book Antiqua" w:cs="Arial"/>
        </w:rPr>
        <w:t xml:space="preserve"> outweigh the significant factor of the child’s status (see paragraph 46 of </w:t>
      </w:r>
      <w:r w:rsidR="00531BFE" w:rsidRPr="004952B7">
        <w:rPr>
          <w:rFonts w:ascii="Book Antiqua" w:hAnsi="Book Antiqua" w:cs="Arial"/>
          <w:u w:val="single"/>
        </w:rPr>
        <w:t>MA (Pakistan)</w:t>
      </w:r>
      <w:r w:rsidR="00FD0D0A">
        <w:rPr>
          <w:rFonts w:ascii="Book Antiqua" w:hAnsi="Book Antiqua" w:cs="Arial"/>
        </w:rPr>
        <w:t>)</w:t>
      </w:r>
      <w:r w:rsidR="00531BFE" w:rsidRPr="004952B7">
        <w:rPr>
          <w:rFonts w:ascii="Book Antiqua" w:hAnsi="Book Antiqua" w:cs="Arial"/>
        </w:rPr>
        <w:t xml:space="preserve"> and the recent decision of the president in</w:t>
      </w:r>
      <w:r w:rsidR="00BC778B">
        <w:rPr>
          <w:rFonts w:ascii="Book Antiqua" w:hAnsi="Book Antiqua" w:cs="Arial"/>
        </w:rPr>
        <w:t xml:space="preserve"> </w:t>
      </w:r>
      <w:r w:rsidR="00BC778B" w:rsidRPr="00BC778B">
        <w:rPr>
          <w:rFonts w:ascii="Book Antiqua" w:hAnsi="Book Antiqua" w:cs="Arial"/>
          <w:color w:val="000000"/>
          <w:u w:val="single"/>
        </w:rPr>
        <w:t xml:space="preserve">MT and ET (child’s best interests; </w:t>
      </w:r>
      <w:r w:rsidR="00BC778B" w:rsidRPr="00BC778B">
        <w:rPr>
          <w:rFonts w:ascii="Book Antiqua" w:hAnsi="Book Antiqua" w:cs="Arial"/>
          <w:i/>
          <w:color w:val="000000"/>
          <w:u w:val="single"/>
        </w:rPr>
        <w:t>ex tempore</w:t>
      </w:r>
      <w:r w:rsidR="00BC778B" w:rsidRPr="00BC778B">
        <w:rPr>
          <w:rFonts w:ascii="Book Antiqua" w:hAnsi="Book Antiqua" w:cs="Arial"/>
          <w:color w:val="000000"/>
          <w:u w:val="single"/>
        </w:rPr>
        <w:t xml:space="preserve"> pilot) Nigeria</w:t>
      </w:r>
      <w:r w:rsidR="00BC778B" w:rsidRPr="00B5497F">
        <w:rPr>
          <w:rFonts w:ascii="Book Antiqua" w:hAnsi="Book Antiqua" w:cs="Arial"/>
          <w:color w:val="000000"/>
        </w:rPr>
        <w:t xml:space="preserve"> [2018] UKUT </w:t>
      </w:r>
      <w:r w:rsidR="00BC778B">
        <w:rPr>
          <w:rFonts w:ascii="Book Antiqua" w:hAnsi="Book Antiqua" w:cs="Arial"/>
          <w:color w:val="000000"/>
        </w:rPr>
        <w:t xml:space="preserve">00088 </w:t>
      </w:r>
      <w:r w:rsidR="00BC778B" w:rsidRPr="00B5497F">
        <w:rPr>
          <w:rFonts w:ascii="Book Antiqua" w:hAnsi="Book Antiqua" w:cs="Arial"/>
          <w:color w:val="000000"/>
        </w:rPr>
        <w:t>(IAC</w:t>
      </w:r>
      <w:r w:rsidR="00BC778B">
        <w:rPr>
          <w:rFonts w:ascii="Book Antiqua" w:hAnsi="Book Antiqua" w:cs="Arial"/>
          <w:color w:val="000000"/>
        </w:rPr>
        <w:t>), at paragraph 33)</w:t>
      </w:r>
      <w:r w:rsidR="00531BFE" w:rsidRPr="004952B7">
        <w:rPr>
          <w:rFonts w:ascii="Book Antiqua" w:hAnsi="Book Antiqua" w:cs="Arial"/>
        </w:rPr>
        <w:t xml:space="preserve">.  </w:t>
      </w:r>
    </w:p>
    <w:p w14:paraId="10FA6EB8" w14:textId="77777777" w:rsidR="00BC778B" w:rsidRDefault="00531BFE" w:rsidP="00FD0D0A">
      <w:pPr>
        <w:numPr>
          <w:ilvl w:val="0"/>
          <w:numId w:val="1"/>
        </w:numPr>
        <w:tabs>
          <w:tab w:val="clear" w:pos="567"/>
        </w:tabs>
        <w:spacing w:before="160"/>
        <w:jc w:val="both"/>
        <w:rPr>
          <w:rFonts w:ascii="Book Antiqua" w:hAnsi="Book Antiqua" w:cs="Arial"/>
        </w:rPr>
      </w:pPr>
      <w:r w:rsidRPr="004952B7">
        <w:rPr>
          <w:rFonts w:ascii="Book Antiqua" w:hAnsi="Book Antiqua" w:cs="Arial"/>
        </w:rPr>
        <w:t>Mr Melvin has suggested that the Appellant has a sufficiently bad immigration history as to constitute a powerful reason.  In my view the judge was entitled to conclude, at least implicitly, that this was not the case</w:t>
      </w:r>
      <w:r w:rsidR="00C02BD7" w:rsidRPr="004952B7">
        <w:rPr>
          <w:rFonts w:ascii="Book Antiqua" w:hAnsi="Book Antiqua" w:cs="Arial"/>
        </w:rPr>
        <w:t>.  A</w:t>
      </w:r>
      <w:r w:rsidRPr="004952B7">
        <w:rPr>
          <w:rFonts w:ascii="Book Antiqua" w:hAnsi="Book Antiqua" w:cs="Arial"/>
        </w:rPr>
        <w:t>lthough it had been fo</w:t>
      </w:r>
      <w:r w:rsidR="00596168" w:rsidRPr="004952B7">
        <w:rPr>
          <w:rFonts w:ascii="Book Antiqua" w:hAnsi="Book Antiqua" w:cs="Arial"/>
        </w:rPr>
        <w:t>u</w:t>
      </w:r>
      <w:r w:rsidRPr="004952B7">
        <w:rPr>
          <w:rFonts w:ascii="Book Antiqua" w:hAnsi="Book Antiqua" w:cs="Arial"/>
        </w:rPr>
        <w:t>nd th</w:t>
      </w:r>
      <w:r w:rsidR="00596168" w:rsidRPr="004952B7">
        <w:rPr>
          <w:rFonts w:ascii="Book Antiqua" w:hAnsi="Book Antiqua" w:cs="Arial"/>
        </w:rPr>
        <w:t>a</w:t>
      </w:r>
      <w:r w:rsidRPr="004952B7">
        <w:rPr>
          <w:rFonts w:ascii="Book Antiqua" w:hAnsi="Book Antiqua" w:cs="Arial"/>
        </w:rPr>
        <w:t>t the Appellant had fraudulently obtained the English language test certificate</w:t>
      </w:r>
      <w:r w:rsidR="00BC778B">
        <w:rPr>
          <w:rFonts w:ascii="Book Antiqua" w:hAnsi="Book Antiqua" w:cs="Arial"/>
        </w:rPr>
        <w:t>,</w:t>
      </w:r>
      <w:r w:rsidRPr="004952B7">
        <w:rPr>
          <w:rFonts w:ascii="Book Antiqua" w:hAnsi="Book Antiqua" w:cs="Arial"/>
        </w:rPr>
        <w:t xml:space="preserve"> he had not used it in any application.  To this extent the Respondent’s grounds of appeal are inaccurate: deception had not been </w:t>
      </w:r>
      <w:r w:rsidR="00BC778B">
        <w:rPr>
          <w:rFonts w:ascii="Book Antiqua" w:hAnsi="Book Antiqua" w:cs="Arial"/>
        </w:rPr>
        <w:t>“</w:t>
      </w:r>
      <w:r w:rsidRPr="004952B7">
        <w:rPr>
          <w:rFonts w:ascii="Book Antiqua" w:hAnsi="Book Antiqua" w:cs="Arial"/>
        </w:rPr>
        <w:t>used</w:t>
      </w:r>
      <w:r w:rsidR="00BC778B">
        <w:rPr>
          <w:rFonts w:ascii="Book Antiqua" w:hAnsi="Book Antiqua" w:cs="Arial"/>
        </w:rPr>
        <w:t>”</w:t>
      </w:r>
      <w:r w:rsidRPr="004952B7">
        <w:rPr>
          <w:rFonts w:ascii="Book Antiqua" w:hAnsi="Book Antiqua" w:cs="Arial"/>
        </w:rPr>
        <w:t xml:space="preserve"> in respect of the Appellant’s interaction with the Respondent.  It is also </w:t>
      </w:r>
      <w:r w:rsidR="00C02BD7" w:rsidRPr="004952B7">
        <w:rPr>
          <w:rFonts w:ascii="Book Antiqua" w:hAnsi="Book Antiqua" w:cs="Arial"/>
        </w:rPr>
        <w:t>the</w:t>
      </w:r>
      <w:r w:rsidRPr="004952B7">
        <w:rPr>
          <w:rFonts w:ascii="Book Antiqua" w:hAnsi="Book Antiqua" w:cs="Arial"/>
        </w:rPr>
        <w:t xml:space="preserve"> case </w:t>
      </w:r>
      <w:r w:rsidR="00C02BD7" w:rsidRPr="004952B7">
        <w:rPr>
          <w:rFonts w:ascii="Book Antiqua" w:hAnsi="Book Antiqua" w:cs="Arial"/>
        </w:rPr>
        <w:t xml:space="preserve">that </w:t>
      </w:r>
      <w:r w:rsidRPr="004952B7">
        <w:rPr>
          <w:rFonts w:ascii="Book Antiqua" w:hAnsi="Book Antiqua" w:cs="Arial"/>
        </w:rPr>
        <w:t>not only were there no convictions against the Appellant</w:t>
      </w:r>
      <w:r w:rsidR="00BC778B">
        <w:rPr>
          <w:rFonts w:ascii="Book Antiqua" w:hAnsi="Book Antiqua" w:cs="Arial"/>
        </w:rPr>
        <w:t>,</w:t>
      </w:r>
      <w:r w:rsidRPr="004952B7">
        <w:rPr>
          <w:rFonts w:ascii="Book Antiqua" w:hAnsi="Book Antiqua" w:cs="Arial"/>
        </w:rPr>
        <w:t xml:space="preserve"> but no suggestion whatsoever that criminal proce</w:t>
      </w:r>
      <w:r w:rsidR="00BC778B">
        <w:rPr>
          <w:rFonts w:ascii="Book Antiqua" w:hAnsi="Book Antiqua" w:cs="Arial"/>
        </w:rPr>
        <w:t>edings had ever been envisaged. T</w:t>
      </w:r>
      <w:r w:rsidRPr="004952B7">
        <w:rPr>
          <w:rFonts w:ascii="Book Antiqua" w:hAnsi="Book Antiqua" w:cs="Arial"/>
        </w:rPr>
        <w:t>herefore, on the undisputed facts of the case, it is very difficult indeed to see th</w:t>
      </w:r>
      <w:r w:rsidR="00596168" w:rsidRPr="004952B7">
        <w:rPr>
          <w:rFonts w:ascii="Book Antiqua" w:hAnsi="Book Antiqua" w:cs="Arial"/>
        </w:rPr>
        <w:t>a</w:t>
      </w:r>
      <w:r w:rsidRPr="004952B7">
        <w:rPr>
          <w:rFonts w:ascii="Book Antiqua" w:hAnsi="Book Antiqua" w:cs="Arial"/>
        </w:rPr>
        <w:t xml:space="preserve">t the Appellant’s own history was </w:t>
      </w:r>
      <w:r w:rsidR="00BC778B">
        <w:rPr>
          <w:rFonts w:ascii="Book Antiqua" w:hAnsi="Book Antiqua" w:cs="Arial"/>
        </w:rPr>
        <w:t>particularly poor, and was</w:t>
      </w:r>
      <w:r w:rsidRPr="004952B7">
        <w:rPr>
          <w:rFonts w:ascii="Book Antiqua" w:hAnsi="Book Antiqua" w:cs="Arial"/>
        </w:rPr>
        <w:t xml:space="preserve"> in no way describable as appalling. </w:t>
      </w:r>
      <w:r w:rsidR="00BC778B">
        <w:rPr>
          <w:rFonts w:ascii="Book Antiqua" w:hAnsi="Book Antiqua" w:cs="Arial"/>
        </w:rPr>
        <w:t xml:space="preserve"> Whatever my own view of the history, the point is that the judge was certainly not bound to conclude that the immigration background was so bad as to outweigh the child’s status, as is asserted in the grounds.</w:t>
      </w:r>
      <w:r w:rsidRPr="004952B7">
        <w:rPr>
          <w:rFonts w:ascii="Book Antiqua" w:hAnsi="Book Antiqua" w:cs="Arial"/>
        </w:rPr>
        <w:t xml:space="preserve"> </w:t>
      </w:r>
    </w:p>
    <w:p w14:paraId="72763FFD" w14:textId="16C0F389" w:rsidR="004B66A7" w:rsidRPr="004B66A7" w:rsidRDefault="00531BFE" w:rsidP="00FD0D0A">
      <w:pPr>
        <w:numPr>
          <w:ilvl w:val="0"/>
          <w:numId w:val="1"/>
        </w:numPr>
        <w:tabs>
          <w:tab w:val="clear" w:pos="567"/>
        </w:tabs>
        <w:spacing w:before="160"/>
        <w:jc w:val="both"/>
        <w:rPr>
          <w:rFonts w:ascii="Book Antiqua" w:hAnsi="Book Antiqua" w:cs="Arial"/>
        </w:rPr>
      </w:pPr>
      <w:r w:rsidRPr="004952B7">
        <w:rPr>
          <w:rFonts w:ascii="Book Antiqua" w:hAnsi="Book Antiqua" w:cs="Arial"/>
        </w:rPr>
        <w:t>There is then the issue of the Respondent’s guidance</w:t>
      </w:r>
      <w:r w:rsidR="00006B4F">
        <w:rPr>
          <w:rFonts w:ascii="Book Antiqua" w:hAnsi="Book Antiqua" w:cs="Arial"/>
        </w:rPr>
        <w:t>, both in its current form but more importantly as it stood as the date of the hearing</w:t>
      </w:r>
      <w:r w:rsidRPr="004952B7">
        <w:rPr>
          <w:rFonts w:ascii="Book Antiqua" w:hAnsi="Book Antiqua" w:cs="Arial"/>
        </w:rPr>
        <w:t xml:space="preserve">.  </w:t>
      </w:r>
      <w:r w:rsidR="004B66A7">
        <w:rPr>
          <w:rFonts w:ascii="Book Antiqua" w:hAnsi="Book Antiqua" w:cs="Arial"/>
        </w:rPr>
        <w:t>Three points arise out of this. First, we know</w:t>
      </w:r>
      <w:r w:rsidR="004B66A7" w:rsidRPr="004977B9">
        <w:rPr>
          <w:rFonts w:ascii="Book Antiqua" w:hAnsi="Book Antiqua" w:cs="Arial"/>
        </w:rPr>
        <w:t xml:space="preserve"> that the contents of the guidance </w:t>
      </w:r>
      <w:proofErr w:type="gramStart"/>
      <w:r w:rsidR="004B66A7" w:rsidRPr="004977B9">
        <w:rPr>
          <w:rFonts w:ascii="Book Antiqua" w:hAnsi="Book Antiqua" w:cs="Arial"/>
        </w:rPr>
        <w:t>is</w:t>
      </w:r>
      <w:proofErr w:type="gramEnd"/>
      <w:r w:rsidR="004B66A7" w:rsidRPr="004977B9">
        <w:rPr>
          <w:rFonts w:ascii="Book Antiqua" w:hAnsi="Book Antiqua" w:cs="Arial"/>
        </w:rPr>
        <w:t xml:space="preserve"> a releva</w:t>
      </w:r>
      <w:r w:rsidR="004B66A7">
        <w:rPr>
          <w:rFonts w:ascii="Book Antiqua" w:hAnsi="Book Antiqua" w:cs="Arial"/>
        </w:rPr>
        <w:t>nt factor for consideration by the tribunal</w:t>
      </w:r>
      <w:r w:rsidR="004B66A7" w:rsidRPr="004977B9">
        <w:rPr>
          <w:rFonts w:ascii="Book Antiqua" w:hAnsi="Book Antiqua" w:cs="Arial"/>
        </w:rPr>
        <w:t xml:space="preserve"> (see </w:t>
      </w:r>
      <w:r w:rsidR="004B66A7" w:rsidRPr="004977B9">
        <w:rPr>
          <w:rFonts w:ascii="Book Antiqua" w:hAnsi="Book Antiqua" w:cs="Arial"/>
          <w:u w:val="single"/>
        </w:rPr>
        <w:t>SF (Albania)</w:t>
      </w:r>
      <w:r w:rsidR="004B66A7" w:rsidRPr="004977B9">
        <w:rPr>
          <w:rFonts w:ascii="Book Antiqua" w:hAnsi="Book Antiqua" w:cs="Arial"/>
        </w:rPr>
        <w:t xml:space="preserve">).  </w:t>
      </w:r>
      <w:r w:rsidR="004B66A7">
        <w:rPr>
          <w:rFonts w:ascii="Book Antiqua" w:hAnsi="Book Antiqua" w:cs="Arial"/>
        </w:rPr>
        <w:t xml:space="preserve">Second, </w:t>
      </w:r>
      <w:r w:rsidRPr="004B66A7">
        <w:rPr>
          <w:rFonts w:ascii="Book Antiqua" w:hAnsi="Book Antiqua" w:cs="Arial"/>
        </w:rPr>
        <w:t xml:space="preserve">I disagree with Mr Melvin’s suggestion that this guidance relates to the </w:t>
      </w:r>
      <w:r w:rsidRPr="004B66A7">
        <w:rPr>
          <w:rFonts w:ascii="Book Antiqua" w:hAnsi="Book Antiqua" w:cs="Arial"/>
          <w:u w:val="single"/>
        </w:rPr>
        <w:t>Zambrano</w:t>
      </w:r>
      <w:r w:rsidRPr="004B66A7">
        <w:rPr>
          <w:rFonts w:ascii="Book Antiqua" w:hAnsi="Book Antiqua" w:cs="Arial"/>
        </w:rPr>
        <w:t xml:space="preserve"> principle and nothing more.  The guidance is specifically addressing the issue of reasonableness in the context of Appendix FM.  Appendix FM is of cour</w:t>
      </w:r>
      <w:r w:rsidR="004977B9" w:rsidRPr="004B66A7">
        <w:rPr>
          <w:rFonts w:ascii="Book Antiqua" w:hAnsi="Book Antiqua" w:cs="Arial"/>
        </w:rPr>
        <w:t>se concerned, in essence, with a</w:t>
      </w:r>
      <w:r w:rsidRPr="004B66A7">
        <w:rPr>
          <w:rFonts w:ascii="Book Antiqua" w:hAnsi="Book Antiqua" w:cs="Arial"/>
        </w:rPr>
        <w:t>rticle 8, not EU law.</w:t>
      </w:r>
      <w:r w:rsidR="00D20D07" w:rsidRPr="004B66A7">
        <w:rPr>
          <w:rFonts w:ascii="Book Antiqua" w:hAnsi="Book Antiqua" w:cs="Arial"/>
        </w:rPr>
        <w:t xml:space="preserve">  It is also the c</w:t>
      </w:r>
      <w:r w:rsidR="00596168" w:rsidRPr="004B66A7">
        <w:rPr>
          <w:rFonts w:ascii="Book Antiqua" w:hAnsi="Book Antiqua" w:cs="Arial"/>
        </w:rPr>
        <w:t>a</w:t>
      </w:r>
      <w:r w:rsidR="00D20D07" w:rsidRPr="004B66A7">
        <w:rPr>
          <w:rFonts w:ascii="Book Antiqua" w:hAnsi="Book Antiqua" w:cs="Arial"/>
        </w:rPr>
        <w:t>se that the reasonableness test is the same whether it be app</w:t>
      </w:r>
      <w:r w:rsidR="004977B9" w:rsidRPr="004B66A7">
        <w:rPr>
          <w:rFonts w:ascii="Book Antiqua" w:hAnsi="Book Antiqua" w:cs="Arial"/>
        </w:rPr>
        <w:t>lied within the context of the r</w:t>
      </w:r>
      <w:r w:rsidR="00D20D07" w:rsidRPr="004B66A7">
        <w:rPr>
          <w:rFonts w:ascii="Book Antiqua" w:hAnsi="Book Antiqua" w:cs="Arial"/>
        </w:rPr>
        <w:t>ules (</w:t>
      </w:r>
      <w:r w:rsidR="00C02BD7" w:rsidRPr="004B66A7">
        <w:rPr>
          <w:rFonts w:ascii="Book Antiqua" w:hAnsi="Book Antiqua" w:cs="Arial"/>
        </w:rPr>
        <w:t>including</w:t>
      </w:r>
      <w:r w:rsidR="00D20D07" w:rsidRPr="004B66A7">
        <w:rPr>
          <w:rFonts w:ascii="Book Antiqua" w:hAnsi="Book Antiqua" w:cs="Arial"/>
        </w:rPr>
        <w:t xml:space="preserve"> Appendix FM) or without.  Therefore</w:t>
      </w:r>
      <w:r w:rsidR="007372BF" w:rsidRPr="004B66A7">
        <w:rPr>
          <w:rFonts w:ascii="Book Antiqua" w:hAnsi="Book Antiqua" w:cs="Arial"/>
        </w:rPr>
        <w:t>,</w:t>
      </w:r>
      <w:r w:rsidR="00D20D07" w:rsidRPr="004B66A7">
        <w:rPr>
          <w:rFonts w:ascii="Book Antiqua" w:hAnsi="Book Antiqua" w:cs="Arial"/>
        </w:rPr>
        <w:t xml:space="preserve"> the Respondent’s guidance </w:t>
      </w:r>
      <w:r w:rsidR="00D20D07" w:rsidRPr="004B66A7">
        <w:rPr>
          <w:rFonts w:ascii="Book Antiqua" w:hAnsi="Book Antiqua" w:cs="Arial"/>
          <w:i/>
        </w:rPr>
        <w:t>was</w:t>
      </w:r>
      <w:r w:rsidR="00D20D07" w:rsidRPr="004B66A7">
        <w:rPr>
          <w:rFonts w:ascii="Book Antiqua" w:hAnsi="Book Antiqua" w:cs="Arial"/>
        </w:rPr>
        <w:t xml:space="preserve"> relevant.  I conclude that Mr Melvin’s reliance upon the judgments in </w:t>
      </w:r>
      <w:r w:rsidR="00D20D07" w:rsidRPr="004B66A7">
        <w:rPr>
          <w:rFonts w:ascii="Book Antiqua" w:hAnsi="Book Antiqua" w:cs="Arial"/>
          <w:u w:val="single"/>
        </w:rPr>
        <w:t>FZ</w:t>
      </w:r>
      <w:r w:rsidR="00D20D07" w:rsidRPr="004B66A7">
        <w:rPr>
          <w:rFonts w:ascii="Book Antiqua" w:hAnsi="Book Antiqua" w:cs="Arial"/>
        </w:rPr>
        <w:t xml:space="preserve"> and </w:t>
      </w:r>
      <w:r w:rsidR="00D20D07" w:rsidRPr="004B66A7">
        <w:rPr>
          <w:rFonts w:ascii="Book Antiqua" w:hAnsi="Book Antiqua" w:cs="Arial"/>
          <w:u w:val="single"/>
        </w:rPr>
        <w:t>VM</w:t>
      </w:r>
      <w:r w:rsidR="00D20D07" w:rsidRPr="004B66A7">
        <w:rPr>
          <w:rFonts w:ascii="Book Antiqua" w:hAnsi="Book Antiqua" w:cs="Arial"/>
        </w:rPr>
        <w:t xml:space="preserve"> w</w:t>
      </w:r>
      <w:r w:rsidR="00596168" w:rsidRPr="004B66A7">
        <w:rPr>
          <w:rFonts w:ascii="Book Antiqua" w:hAnsi="Book Antiqua" w:cs="Arial"/>
        </w:rPr>
        <w:t>a</w:t>
      </w:r>
      <w:r w:rsidR="00D20D07" w:rsidRPr="004B66A7">
        <w:rPr>
          <w:rFonts w:ascii="Book Antiqua" w:hAnsi="Book Antiqua" w:cs="Arial"/>
        </w:rPr>
        <w:t>s misconceived given th</w:t>
      </w:r>
      <w:r w:rsidR="00596168" w:rsidRPr="004B66A7">
        <w:rPr>
          <w:rFonts w:ascii="Book Antiqua" w:hAnsi="Book Antiqua" w:cs="Arial"/>
        </w:rPr>
        <w:t>a</w:t>
      </w:r>
      <w:r w:rsidR="00D20D07" w:rsidRPr="004B66A7">
        <w:rPr>
          <w:rFonts w:ascii="Book Antiqua" w:hAnsi="Book Antiqua" w:cs="Arial"/>
        </w:rPr>
        <w:t xml:space="preserve">t these two cases related </w:t>
      </w:r>
      <w:r w:rsidR="004977B9" w:rsidRPr="004B66A7">
        <w:rPr>
          <w:rFonts w:ascii="Book Antiqua" w:hAnsi="Book Antiqua" w:cs="Arial"/>
        </w:rPr>
        <w:t xml:space="preserve">specifically </w:t>
      </w:r>
      <w:r w:rsidR="00D20D07" w:rsidRPr="004B66A7">
        <w:rPr>
          <w:rFonts w:ascii="Book Antiqua" w:hAnsi="Book Antiqua" w:cs="Arial"/>
        </w:rPr>
        <w:t xml:space="preserve">to the </w:t>
      </w:r>
      <w:r w:rsidR="00D20D07" w:rsidRPr="004B66A7">
        <w:rPr>
          <w:rFonts w:ascii="Book Antiqua" w:hAnsi="Book Antiqua" w:cs="Arial"/>
          <w:u w:val="single"/>
        </w:rPr>
        <w:t>Zambrano</w:t>
      </w:r>
      <w:r w:rsidR="004977B9" w:rsidRPr="004B66A7">
        <w:rPr>
          <w:rFonts w:ascii="Book Antiqua" w:hAnsi="Book Antiqua" w:cs="Arial"/>
        </w:rPr>
        <w:t xml:space="preserve"> principle and not a</w:t>
      </w:r>
      <w:r w:rsidR="00D20D07" w:rsidRPr="004B66A7">
        <w:rPr>
          <w:rFonts w:ascii="Book Antiqua" w:hAnsi="Book Antiqua" w:cs="Arial"/>
        </w:rPr>
        <w:t xml:space="preserve">rticle 8.  </w:t>
      </w:r>
      <w:r w:rsidR="004B66A7">
        <w:rPr>
          <w:rFonts w:ascii="Book Antiqua" w:hAnsi="Book Antiqua" w:cs="Arial"/>
        </w:rPr>
        <w:t>Third, i</w:t>
      </w:r>
      <w:r w:rsidR="00D20D07" w:rsidRPr="004B66A7">
        <w:rPr>
          <w:rFonts w:ascii="Book Antiqua" w:hAnsi="Book Antiqua" w:cs="Arial"/>
        </w:rPr>
        <w:t>t does not appear as though the guidance was brought to the judge’s attention, as it should have been by the Respondent</w:t>
      </w:r>
      <w:r w:rsidR="004977B9" w:rsidRPr="004B66A7">
        <w:rPr>
          <w:rFonts w:ascii="Book Antiqua" w:hAnsi="Book Antiqua" w:cs="Arial"/>
        </w:rPr>
        <w:t>,</w:t>
      </w:r>
      <w:r w:rsidR="00D20D07" w:rsidRPr="004B66A7">
        <w:rPr>
          <w:rFonts w:ascii="Book Antiqua" w:hAnsi="Book Antiqua" w:cs="Arial"/>
        </w:rPr>
        <w:t xml:space="preserve"> if not the Appellant’s representatives.  The guidance, at least </w:t>
      </w:r>
      <w:r w:rsidR="00C02BD7" w:rsidRPr="004B66A7">
        <w:rPr>
          <w:rFonts w:ascii="Book Antiqua" w:hAnsi="Book Antiqua" w:cs="Arial"/>
        </w:rPr>
        <w:t xml:space="preserve">in </w:t>
      </w:r>
      <w:r w:rsidR="00D20D07" w:rsidRPr="004B66A7">
        <w:rPr>
          <w:rFonts w:ascii="Book Antiqua" w:hAnsi="Book Antiqua" w:cs="Arial"/>
        </w:rPr>
        <w:t>its previous version, w</w:t>
      </w:r>
      <w:r w:rsidR="00596168" w:rsidRPr="004B66A7">
        <w:rPr>
          <w:rFonts w:ascii="Book Antiqua" w:hAnsi="Book Antiqua" w:cs="Arial"/>
        </w:rPr>
        <w:t>a</w:t>
      </w:r>
      <w:r w:rsidR="00D20D07" w:rsidRPr="004B66A7">
        <w:rPr>
          <w:rFonts w:ascii="Book Antiqua" w:hAnsi="Book Antiqua" w:cs="Arial"/>
        </w:rPr>
        <w:t>s in existence at the date of the hearing before the judge.  As I read the guidance</w:t>
      </w:r>
      <w:r w:rsidR="004977B9" w:rsidRPr="004B66A7">
        <w:rPr>
          <w:rFonts w:ascii="Book Antiqua" w:hAnsi="Book Antiqua" w:cs="Arial"/>
        </w:rPr>
        <w:t>,</w:t>
      </w:r>
      <w:r w:rsidR="00D20D07" w:rsidRPr="004B66A7">
        <w:rPr>
          <w:rFonts w:ascii="Book Antiqua" w:hAnsi="Book Antiqua" w:cs="Arial"/>
        </w:rPr>
        <w:t xml:space="preserve"> the Respondent has taken the view over the course of time </w:t>
      </w:r>
      <w:r w:rsidR="00006B4F">
        <w:rPr>
          <w:rFonts w:ascii="Book Antiqua" w:hAnsi="Book Antiqua" w:cs="Arial"/>
        </w:rPr>
        <w:t xml:space="preserve">(including within the previous version of the guidance) </w:t>
      </w:r>
      <w:r w:rsidR="00D20D07" w:rsidRPr="004B66A7">
        <w:rPr>
          <w:rFonts w:ascii="Book Antiqua" w:hAnsi="Book Antiqua" w:cs="Arial"/>
        </w:rPr>
        <w:t xml:space="preserve">that it would not be reasonable to expect a British citizen child to leave the United Kingdom.  </w:t>
      </w:r>
      <w:r w:rsidR="00F20BDD" w:rsidRPr="004B66A7">
        <w:rPr>
          <w:rFonts w:ascii="Book Antiqua" w:hAnsi="Book Antiqua" w:cs="Arial"/>
        </w:rPr>
        <w:t>Certainly,</w:t>
      </w:r>
      <w:r w:rsidR="00D20D07" w:rsidRPr="004B66A7">
        <w:rPr>
          <w:rFonts w:ascii="Book Antiqua" w:hAnsi="Book Antiqua" w:cs="Arial"/>
        </w:rPr>
        <w:t xml:space="preserve"> in respect of the current version of the guidance</w:t>
      </w:r>
      <w:r w:rsidR="004977B9" w:rsidRPr="004B66A7">
        <w:rPr>
          <w:rFonts w:ascii="Book Antiqua" w:hAnsi="Book Antiqua" w:cs="Arial"/>
        </w:rPr>
        <w:t>,</w:t>
      </w:r>
      <w:r w:rsidR="00D20D07" w:rsidRPr="004B66A7">
        <w:rPr>
          <w:rFonts w:ascii="Book Antiqua" w:hAnsi="Book Antiqua" w:cs="Arial"/>
        </w:rPr>
        <w:t xml:space="preserve"> as I read relevant passages</w:t>
      </w:r>
      <w:r w:rsidR="004977B9" w:rsidRPr="004B66A7">
        <w:rPr>
          <w:rFonts w:ascii="Book Antiqua" w:hAnsi="Book Antiqua" w:cs="Arial"/>
        </w:rPr>
        <w:t xml:space="preserve"> in pages 73 and 76 of the document</w:t>
      </w:r>
      <w:r w:rsidR="00D20D07" w:rsidRPr="004B66A7">
        <w:rPr>
          <w:rFonts w:ascii="Book Antiqua" w:hAnsi="Book Antiqua" w:cs="Arial"/>
        </w:rPr>
        <w:t>, where the Appellant lives with a British citizen child in a single family unit</w:t>
      </w:r>
      <w:r w:rsidR="004977B9" w:rsidRPr="004B66A7">
        <w:rPr>
          <w:rFonts w:ascii="Book Antiqua" w:hAnsi="Book Antiqua" w:cs="Arial"/>
        </w:rPr>
        <w:t>,</w:t>
      </w:r>
      <w:r w:rsidR="00D20D07" w:rsidRPr="004B66A7">
        <w:rPr>
          <w:rFonts w:ascii="Book Antiqua" w:hAnsi="Book Antiqua" w:cs="Arial"/>
        </w:rPr>
        <w:t xml:space="preserve"> there would be an expectation that the child would leave</w:t>
      </w:r>
      <w:r w:rsidR="004977B9" w:rsidRPr="004B66A7">
        <w:rPr>
          <w:rFonts w:ascii="Book Antiqua" w:hAnsi="Book Antiqua" w:cs="Arial"/>
        </w:rPr>
        <w:t>,</w:t>
      </w:r>
      <w:r w:rsidR="00D20D07" w:rsidRPr="004B66A7">
        <w:rPr>
          <w:rFonts w:ascii="Book Antiqua" w:hAnsi="Book Antiqua" w:cs="Arial"/>
        </w:rPr>
        <w:t xml:space="preserve"> if that initial threshold </w:t>
      </w:r>
      <w:r w:rsidR="00C02BD7" w:rsidRPr="004B66A7">
        <w:rPr>
          <w:rFonts w:ascii="Book Antiqua" w:hAnsi="Book Antiqua" w:cs="Arial"/>
        </w:rPr>
        <w:t xml:space="preserve">question </w:t>
      </w:r>
      <w:r w:rsidR="00D20D07" w:rsidRPr="004B66A7">
        <w:rPr>
          <w:rFonts w:ascii="Book Antiqua" w:hAnsi="Book Antiqua" w:cs="Arial"/>
        </w:rPr>
        <w:t>exists at all (and I have my doubts</w:t>
      </w:r>
      <w:r w:rsidR="004977B9" w:rsidRPr="004B66A7">
        <w:rPr>
          <w:rFonts w:ascii="Book Antiqua" w:hAnsi="Book Antiqua" w:cs="Arial"/>
        </w:rPr>
        <w:t xml:space="preserve"> about this: I see no reason to place such a gloss upon the</w:t>
      </w:r>
      <w:r w:rsidR="00D20D07" w:rsidRPr="004B66A7">
        <w:rPr>
          <w:rFonts w:ascii="Book Antiqua" w:hAnsi="Book Antiqua" w:cs="Arial"/>
        </w:rPr>
        <w:t xml:space="preserve"> </w:t>
      </w:r>
      <w:r w:rsidR="00D20D07" w:rsidRPr="004B66A7">
        <w:rPr>
          <w:rFonts w:ascii="Book Antiqua" w:hAnsi="Book Antiqua" w:cs="Arial"/>
        </w:rPr>
        <w:lastRenderedPageBreak/>
        <w:t>wording</w:t>
      </w:r>
      <w:r w:rsidR="004977B9" w:rsidRPr="004B66A7">
        <w:rPr>
          <w:rFonts w:ascii="Book Antiqua" w:hAnsi="Book Antiqua" w:cs="Arial"/>
        </w:rPr>
        <w:t xml:space="preserve"> of eit</w:t>
      </w:r>
      <w:r w:rsidR="004B66A7" w:rsidRPr="004B66A7">
        <w:rPr>
          <w:rFonts w:ascii="Book Antiqua" w:hAnsi="Book Antiqua" w:cs="Arial"/>
        </w:rPr>
        <w:t>h</w:t>
      </w:r>
      <w:r w:rsidR="004977B9" w:rsidRPr="004B66A7">
        <w:rPr>
          <w:rFonts w:ascii="Book Antiqua" w:hAnsi="Book Antiqua" w:cs="Arial"/>
        </w:rPr>
        <w:t>er the rules or, more importantly, the statutory provision,</w:t>
      </w:r>
      <w:r w:rsidR="00D20D07" w:rsidRPr="004B66A7">
        <w:rPr>
          <w:rFonts w:ascii="Book Antiqua" w:hAnsi="Book Antiqua" w:cs="Arial"/>
        </w:rPr>
        <w:t xml:space="preserve"> and nothing whatsoever is said about such an additional factor in </w:t>
      </w:r>
      <w:r w:rsidR="00D20D07" w:rsidRPr="004B66A7">
        <w:rPr>
          <w:rFonts w:ascii="Book Antiqua" w:hAnsi="Book Antiqua" w:cs="Arial"/>
          <w:u w:val="single"/>
        </w:rPr>
        <w:t>MA (Pakistan)</w:t>
      </w:r>
      <w:r w:rsidR="004977B9" w:rsidRPr="004B66A7">
        <w:rPr>
          <w:rFonts w:ascii="Book Antiqua" w:hAnsi="Book Antiqua" w:cs="Arial"/>
        </w:rPr>
        <w:t xml:space="preserve">. </w:t>
      </w:r>
    </w:p>
    <w:p w14:paraId="3D81C120" w14:textId="77777777" w:rsidR="004B66A7" w:rsidRDefault="004B66A7" w:rsidP="00FD0D0A">
      <w:pPr>
        <w:numPr>
          <w:ilvl w:val="0"/>
          <w:numId w:val="1"/>
        </w:numPr>
        <w:tabs>
          <w:tab w:val="clear" w:pos="567"/>
        </w:tabs>
        <w:spacing w:before="160"/>
        <w:jc w:val="both"/>
        <w:rPr>
          <w:rFonts w:ascii="Book Antiqua" w:hAnsi="Book Antiqua" w:cs="Arial"/>
        </w:rPr>
      </w:pPr>
      <w:r>
        <w:rPr>
          <w:rFonts w:ascii="Book Antiqua" w:hAnsi="Book Antiqua" w:cs="Arial"/>
        </w:rPr>
        <w:t>Therefore, whilst the guidance (in its previous incarnation) did not feature in the judge’s analysis, it was a relevant factor which in fact counted firmly in the Appellant's favour rather than against.</w:t>
      </w:r>
    </w:p>
    <w:p w14:paraId="35DAB7FA" w14:textId="77777777" w:rsidR="00501554" w:rsidRPr="004977B9" w:rsidRDefault="00C02BD7" w:rsidP="00FD0D0A">
      <w:pPr>
        <w:numPr>
          <w:ilvl w:val="0"/>
          <w:numId w:val="1"/>
        </w:numPr>
        <w:tabs>
          <w:tab w:val="clear" w:pos="567"/>
        </w:tabs>
        <w:spacing w:before="160"/>
        <w:jc w:val="both"/>
        <w:rPr>
          <w:rFonts w:ascii="Book Antiqua" w:hAnsi="Book Antiqua" w:cs="Arial"/>
        </w:rPr>
      </w:pPr>
      <w:r w:rsidRPr="004977B9">
        <w:rPr>
          <w:rFonts w:ascii="Book Antiqua" w:hAnsi="Book Antiqua" w:cs="Arial"/>
        </w:rPr>
        <w:t>I</w:t>
      </w:r>
      <w:r w:rsidR="00D20D07" w:rsidRPr="004977B9">
        <w:rPr>
          <w:rFonts w:ascii="Book Antiqua" w:hAnsi="Book Antiqua" w:cs="Arial"/>
        </w:rPr>
        <w:t>n light of the British nationality of the child</w:t>
      </w:r>
      <w:r w:rsidR="004B66A7">
        <w:rPr>
          <w:rFonts w:ascii="Book Antiqua" w:hAnsi="Book Antiqua" w:cs="Arial"/>
        </w:rPr>
        <w:t xml:space="preserve"> and the facts as found</w:t>
      </w:r>
      <w:r w:rsidR="004977B9">
        <w:rPr>
          <w:rFonts w:ascii="Book Antiqua" w:hAnsi="Book Antiqua" w:cs="Arial"/>
        </w:rPr>
        <w:t>,</w:t>
      </w:r>
      <w:r w:rsidR="00D20D07" w:rsidRPr="004977B9">
        <w:rPr>
          <w:rFonts w:ascii="Book Antiqua" w:hAnsi="Book Antiqua" w:cs="Arial"/>
        </w:rPr>
        <w:t xml:space="preserve"> the judge was entitled to conclude that it would not be reasonable for that child to leave this country.  The Appellant’s own immigration history and w</w:t>
      </w:r>
      <w:r w:rsidRPr="004977B9">
        <w:rPr>
          <w:rFonts w:ascii="Book Antiqua" w:hAnsi="Book Antiqua" w:cs="Arial"/>
        </w:rPr>
        <w:t xml:space="preserve">ider </w:t>
      </w:r>
      <w:r w:rsidR="00D20D07" w:rsidRPr="004977B9">
        <w:rPr>
          <w:rFonts w:ascii="Book Antiqua" w:hAnsi="Book Antiqua" w:cs="Arial"/>
        </w:rPr>
        <w:t>considerations were simply insufficient to outweigh that very significant factor</w:t>
      </w:r>
      <w:r w:rsidR="00596168" w:rsidRPr="004977B9">
        <w:rPr>
          <w:rFonts w:ascii="Book Antiqua" w:hAnsi="Book Antiqua" w:cs="Arial"/>
        </w:rPr>
        <w:t>.</w:t>
      </w:r>
      <w:r w:rsidR="004B66A7">
        <w:rPr>
          <w:rFonts w:ascii="Book Antiqua" w:hAnsi="Book Antiqua" w:cs="Arial"/>
        </w:rPr>
        <w:t xml:space="preserve"> The legal misdirection was, ultimately, immaterial to the outcome.</w:t>
      </w:r>
    </w:p>
    <w:p w14:paraId="22D0B303" w14:textId="77777777" w:rsidR="009B6DDF" w:rsidRDefault="004B66A7" w:rsidP="00FD0D0A">
      <w:pPr>
        <w:numPr>
          <w:ilvl w:val="0"/>
          <w:numId w:val="1"/>
        </w:numPr>
        <w:tabs>
          <w:tab w:val="clear" w:pos="567"/>
        </w:tabs>
        <w:spacing w:before="160"/>
        <w:jc w:val="both"/>
        <w:rPr>
          <w:rFonts w:ascii="Book Antiqua" w:hAnsi="Book Antiqua" w:cs="Arial"/>
        </w:rPr>
      </w:pPr>
      <w:r>
        <w:rPr>
          <w:rFonts w:ascii="Book Antiqua" w:hAnsi="Book Antiqua" w:cs="Arial"/>
        </w:rPr>
        <w:t xml:space="preserve">Finally, </w:t>
      </w:r>
      <w:r w:rsidR="00596168">
        <w:rPr>
          <w:rFonts w:ascii="Book Antiqua" w:hAnsi="Book Antiqua" w:cs="Arial"/>
        </w:rPr>
        <w:t>I conclude that th</w:t>
      </w:r>
      <w:r>
        <w:rPr>
          <w:rFonts w:ascii="Book Antiqua" w:hAnsi="Book Antiqua" w:cs="Arial"/>
        </w:rPr>
        <w:t>e judge was not required to</w:t>
      </w:r>
      <w:r w:rsidR="00596168">
        <w:rPr>
          <w:rFonts w:ascii="Book Antiqua" w:hAnsi="Book Antiqua" w:cs="Arial"/>
        </w:rPr>
        <w:t xml:space="preserve"> go on to consider whether or not an </w:t>
      </w:r>
      <w:r w:rsidR="001B7A67">
        <w:rPr>
          <w:rFonts w:ascii="Book Antiqua" w:hAnsi="Book Antiqua" w:cs="Arial"/>
        </w:rPr>
        <w:t xml:space="preserve">entry clearance </w:t>
      </w:r>
      <w:r w:rsidR="00596168">
        <w:rPr>
          <w:rFonts w:ascii="Book Antiqua" w:hAnsi="Book Antiqua" w:cs="Arial"/>
        </w:rPr>
        <w:t>application could be made by the Appellant from Pakistan.  Se</w:t>
      </w:r>
      <w:r w:rsidR="009B6DDF">
        <w:rPr>
          <w:rFonts w:ascii="Book Antiqua" w:hAnsi="Book Antiqua" w:cs="Arial"/>
        </w:rPr>
        <w:t>ction 117B says what it says: i</w:t>
      </w:r>
      <w:r w:rsidR="00596168">
        <w:rPr>
          <w:rFonts w:ascii="Book Antiqua" w:hAnsi="Book Antiqua" w:cs="Arial"/>
        </w:rPr>
        <w:t xml:space="preserve">n light of paragraphs 17-21 of </w:t>
      </w:r>
      <w:r w:rsidR="00596168">
        <w:rPr>
          <w:rFonts w:ascii="Book Antiqua" w:hAnsi="Book Antiqua" w:cs="Arial"/>
          <w:u w:val="single"/>
        </w:rPr>
        <w:t>MA (Pakistan)</w:t>
      </w:r>
      <w:r w:rsidR="00596168">
        <w:rPr>
          <w:rFonts w:ascii="Book Antiqua" w:hAnsi="Book Antiqua" w:cs="Arial"/>
        </w:rPr>
        <w:t xml:space="preserve">, it is a self-contained provision </w:t>
      </w:r>
      <w:r w:rsidR="009B6DDF">
        <w:rPr>
          <w:rFonts w:ascii="Book Antiqua" w:hAnsi="Book Antiqua" w:cs="Arial"/>
        </w:rPr>
        <w:t xml:space="preserve">and </w:t>
      </w:r>
      <w:r w:rsidR="00596168">
        <w:rPr>
          <w:rFonts w:ascii="Book Antiqua" w:hAnsi="Book Antiqua" w:cs="Arial"/>
        </w:rPr>
        <w:t xml:space="preserve">if an individual can satisfy each criterion, they will succeed in their appeal.  They do not then need to go on and show that they could not </w:t>
      </w:r>
      <w:r w:rsidR="00596168" w:rsidRPr="009B6DDF">
        <w:rPr>
          <w:rFonts w:ascii="Book Antiqua" w:hAnsi="Book Antiqua" w:cs="Arial"/>
          <w:i/>
        </w:rPr>
        <w:t>also</w:t>
      </w:r>
      <w:r w:rsidR="00596168">
        <w:rPr>
          <w:rFonts w:ascii="Book Antiqua" w:hAnsi="Book Antiqua" w:cs="Arial"/>
        </w:rPr>
        <w:t xml:space="preserve"> make an entry clearance application</w:t>
      </w:r>
      <w:r w:rsidR="00F20BDD">
        <w:rPr>
          <w:rFonts w:ascii="Book Antiqua" w:hAnsi="Book Antiqua" w:cs="Arial"/>
        </w:rPr>
        <w:t xml:space="preserve">.  </w:t>
      </w:r>
    </w:p>
    <w:p w14:paraId="3B702E9D" w14:textId="77777777" w:rsidR="009B6DDF" w:rsidRDefault="00F20BDD" w:rsidP="00FD0D0A">
      <w:pPr>
        <w:numPr>
          <w:ilvl w:val="0"/>
          <w:numId w:val="1"/>
        </w:numPr>
        <w:tabs>
          <w:tab w:val="clear" w:pos="567"/>
        </w:tabs>
        <w:spacing w:before="160"/>
        <w:jc w:val="both"/>
        <w:rPr>
          <w:rFonts w:ascii="Book Antiqua" w:hAnsi="Book Antiqua" w:cs="Arial"/>
        </w:rPr>
      </w:pPr>
      <w:r>
        <w:rPr>
          <w:rFonts w:ascii="Book Antiqua" w:hAnsi="Book Antiqua" w:cs="Arial"/>
        </w:rPr>
        <w:t>E</w:t>
      </w:r>
      <w:r w:rsidR="00596168">
        <w:rPr>
          <w:rFonts w:ascii="Book Antiqua" w:hAnsi="Book Antiqua" w:cs="Arial"/>
        </w:rPr>
        <w:t xml:space="preserve">ven if I am wrong about that and the issue of </w:t>
      </w:r>
      <w:r>
        <w:rPr>
          <w:rFonts w:ascii="Book Antiqua" w:hAnsi="Book Antiqua" w:cs="Arial"/>
        </w:rPr>
        <w:t xml:space="preserve">an </w:t>
      </w:r>
      <w:r w:rsidR="00596168">
        <w:rPr>
          <w:rFonts w:ascii="Book Antiqua" w:hAnsi="Book Antiqua" w:cs="Arial"/>
        </w:rPr>
        <w:t>entry clearance application was live before the judge, there is no error in his fa</w:t>
      </w:r>
      <w:r w:rsidR="009B6DDF">
        <w:rPr>
          <w:rFonts w:ascii="Book Antiqua" w:hAnsi="Book Antiqua" w:cs="Arial"/>
        </w:rPr>
        <w:t>ilure to address the point.  This</w:t>
      </w:r>
      <w:r w:rsidR="00596168">
        <w:rPr>
          <w:rFonts w:ascii="Book Antiqua" w:hAnsi="Book Antiqua" w:cs="Arial"/>
        </w:rPr>
        <w:t xml:space="preserve"> Appellant had had paragraph 322(5) applied to him</w:t>
      </w:r>
      <w:r w:rsidR="009B6DDF">
        <w:rPr>
          <w:rFonts w:ascii="Book Antiqua" w:hAnsi="Book Antiqua" w:cs="Arial"/>
        </w:rPr>
        <w:t xml:space="preserve"> by the Respondent and in turn the judge. I</w:t>
      </w:r>
      <w:r w:rsidR="00596168">
        <w:rPr>
          <w:rFonts w:ascii="Book Antiqua" w:hAnsi="Book Antiqua" w:cs="Arial"/>
        </w:rPr>
        <w:t xml:space="preserve">t seems to me abundantly clear that if he went back to Pakistan and made an entry clearance application it would have been refused on precisely the same grounds, namely </w:t>
      </w:r>
      <w:r w:rsidR="009B6DDF">
        <w:rPr>
          <w:rFonts w:ascii="Book Antiqua" w:hAnsi="Book Antiqua" w:cs="Arial"/>
        </w:rPr>
        <w:t xml:space="preserve">the relevant </w:t>
      </w:r>
      <w:r w:rsidR="00596168">
        <w:rPr>
          <w:rFonts w:ascii="Book Antiqua" w:hAnsi="Book Antiqua" w:cs="Arial"/>
        </w:rPr>
        <w:t>suitability provisions.  In this respect the present case is</w:t>
      </w:r>
      <w:r>
        <w:rPr>
          <w:rFonts w:ascii="Book Antiqua" w:hAnsi="Book Antiqua" w:cs="Arial"/>
        </w:rPr>
        <w:t xml:space="preserve"> an</w:t>
      </w:r>
      <w:r w:rsidR="009B6DDF">
        <w:rPr>
          <w:rFonts w:ascii="Book Antiqua" w:hAnsi="Book Antiqua" w:cs="Arial"/>
        </w:rPr>
        <w:t>alogous to the scenario</w:t>
      </w:r>
      <w:r w:rsidR="00596168">
        <w:rPr>
          <w:rFonts w:ascii="Book Antiqua" w:hAnsi="Book Antiqua" w:cs="Arial"/>
        </w:rPr>
        <w:t xml:space="preserve"> considered by the Court of Appeal in </w:t>
      </w:r>
      <w:r w:rsidR="00596168">
        <w:rPr>
          <w:rFonts w:ascii="Book Antiqua" w:hAnsi="Book Antiqua" w:cs="Arial"/>
          <w:u w:val="single"/>
        </w:rPr>
        <w:t>Tikka</w:t>
      </w:r>
      <w:r w:rsidR="00596168">
        <w:rPr>
          <w:rFonts w:ascii="Book Antiqua" w:hAnsi="Book Antiqua" w:cs="Arial"/>
        </w:rPr>
        <w:t>.  As mentioned earlier, Mr Melvin has accepted that there are no other provisions</w:t>
      </w:r>
      <w:r w:rsidR="009B6DDF">
        <w:rPr>
          <w:rFonts w:ascii="Book Antiqua" w:hAnsi="Book Antiqua" w:cs="Arial"/>
        </w:rPr>
        <w:t xml:space="preserve"> in the r</w:t>
      </w:r>
      <w:r w:rsidR="00596168">
        <w:rPr>
          <w:rFonts w:ascii="Book Antiqua" w:hAnsi="Book Antiqua" w:cs="Arial"/>
        </w:rPr>
        <w:t xml:space="preserve">ules that would have allowed the Appellant to, as it were, get round the 322(5) issue in respect of any putative entry clearance application.  </w:t>
      </w:r>
    </w:p>
    <w:p w14:paraId="59B92389" w14:textId="77777777" w:rsidR="00596168" w:rsidRDefault="00596168" w:rsidP="00FD0D0A">
      <w:pPr>
        <w:numPr>
          <w:ilvl w:val="0"/>
          <w:numId w:val="1"/>
        </w:numPr>
        <w:tabs>
          <w:tab w:val="clear" w:pos="567"/>
        </w:tabs>
        <w:spacing w:before="160"/>
        <w:jc w:val="both"/>
        <w:rPr>
          <w:rFonts w:ascii="Book Antiqua" w:hAnsi="Book Antiqua" w:cs="Arial"/>
        </w:rPr>
      </w:pPr>
      <w:r>
        <w:rPr>
          <w:rFonts w:ascii="Book Antiqua" w:hAnsi="Book Antiqua" w:cs="Arial"/>
        </w:rPr>
        <w:t xml:space="preserve">In light of the above the decision of the First-tier Tribunal stands. </w:t>
      </w:r>
    </w:p>
    <w:p w14:paraId="2E952B31" w14:textId="77777777" w:rsidR="00D949B7" w:rsidRPr="00D949B7" w:rsidRDefault="00D949B7" w:rsidP="00FD0D0A">
      <w:pPr>
        <w:spacing w:before="160"/>
        <w:jc w:val="both"/>
        <w:rPr>
          <w:rFonts w:ascii="Book Antiqua" w:hAnsi="Book Antiqua" w:cs="Arial"/>
          <w:b/>
          <w:u w:val="single"/>
        </w:rPr>
      </w:pPr>
      <w:r w:rsidRPr="00D949B7">
        <w:rPr>
          <w:rFonts w:ascii="Book Antiqua" w:hAnsi="Book Antiqua" w:cs="Arial"/>
          <w:b/>
          <w:u w:val="single"/>
        </w:rPr>
        <w:t>Notice of Decision</w:t>
      </w:r>
    </w:p>
    <w:p w14:paraId="2BA6CA46" w14:textId="77777777" w:rsidR="004977B9" w:rsidRDefault="00FE6895" w:rsidP="00FD0D0A">
      <w:pPr>
        <w:spacing w:before="160"/>
        <w:jc w:val="both"/>
        <w:rPr>
          <w:rFonts w:ascii="Book Antiqua" w:hAnsi="Book Antiqua" w:cs="Arial"/>
          <w:b/>
        </w:rPr>
      </w:pPr>
      <w:r w:rsidRPr="00F65B55">
        <w:rPr>
          <w:rFonts w:ascii="Book Antiqua" w:hAnsi="Book Antiqua" w:cs="Arial"/>
          <w:b/>
        </w:rPr>
        <w:t xml:space="preserve">The decision of the First-tier Tribunal </w:t>
      </w:r>
      <w:r w:rsidR="00596168">
        <w:rPr>
          <w:rFonts w:ascii="Book Antiqua" w:hAnsi="Book Antiqua" w:cs="Arial"/>
          <w:b/>
        </w:rPr>
        <w:t xml:space="preserve">does not contain material errors of law.  </w:t>
      </w:r>
    </w:p>
    <w:p w14:paraId="38AAA03E" w14:textId="77777777" w:rsidR="00FE6895" w:rsidRPr="00F65B55" w:rsidRDefault="00596168" w:rsidP="00FD0D0A">
      <w:pPr>
        <w:spacing w:before="160"/>
        <w:jc w:val="both"/>
        <w:rPr>
          <w:rFonts w:ascii="Book Antiqua" w:hAnsi="Book Antiqua" w:cs="Arial"/>
          <w:b/>
        </w:rPr>
      </w:pPr>
      <w:r>
        <w:rPr>
          <w:rFonts w:ascii="Book Antiqua" w:hAnsi="Book Antiqua" w:cs="Arial"/>
          <w:b/>
        </w:rPr>
        <w:t>The decision of the First-tier Tribunal shall stand</w:t>
      </w:r>
      <w:r w:rsidR="00FE6895">
        <w:rPr>
          <w:rFonts w:ascii="Book Antiqua" w:hAnsi="Book Antiqua" w:cs="Arial"/>
          <w:b/>
        </w:rPr>
        <w:t>.</w:t>
      </w:r>
    </w:p>
    <w:p w14:paraId="04D248F0" w14:textId="77777777" w:rsidR="00D949B7" w:rsidRPr="00D949B7" w:rsidRDefault="00D949B7" w:rsidP="00FD0D0A">
      <w:pPr>
        <w:spacing w:before="160"/>
        <w:jc w:val="both"/>
        <w:rPr>
          <w:rFonts w:ascii="Book Antiqua" w:hAnsi="Book Antiqua" w:cs="Arial"/>
        </w:rPr>
      </w:pPr>
      <w:r w:rsidRPr="00D949B7">
        <w:rPr>
          <w:rFonts w:ascii="Book Antiqua" w:hAnsi="Book Antiqua" w:cs="Arial"/>
        </w:rPr>
        <w:t>No anonymity direction is made.</w:t>
      </w:r>
    </w:p>
    <w:p w14:paraId="1244CD92" w14:textId="77777777" w:rsidR="00D949B7" w:rsidRPr="009B7433" w:rsidRDefault="00D949B7" w:rsidP="00CD4CF3">
      <w:pPr>
        <w:spacing w:before="240"/>
        <w:jc w:val="both"/>
        <w:rPr>
          <w:rFonts w:ascii="Book Antiqua" w:hAnsi="Book Antiqua" w:cs="Arial"/>
        </w:rPr>
      </w:pPr>
    </w:p>
    <w:p w14:paraId="748F1E39" w14:textId="77777777"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B6DDF">
        <w:rPr>
          <w:noProof/>
        </w:rPr>
        <w:drawing>
          <wp:inline distT="0" distB="0" distL="0" distR="0" wp14:anchorId="734A5AA0" wp14:editId="0683A0F1">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9B6DDF">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9B6DDF">
        <w:rPr>
          <w:rFonts w:ascii="Book Antiqua" w:hAnsi="Book Antiqua" w:cs="Arial"/>
        </w:rPr>
        <w:t>: 19 August 2018</w:t>
      </w:r>
    </w:p>
    <w:p w14:paraId="318755C9"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2FF2DB35" w14:textId="77777777" w:rsidR="00D949B7" w:rsidRDefault="00D949B7" w:rsidP="00CD4CF3">
      <w:pPr>
        <w:spacing w:before="240"/>
        <w:jc w:val="both"/>
        <w:rPr>
          <w:rFonts w:ascii="Book Antiqua" w:hAnsi="Book Antiqua" w:cs="Arial"/>
          <w:color w:val="000000"/>
        </w:rPr>
      </w:pPr>
    </w:p>
    <w:p w14:paraId="12D05C45"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lastRenderedPageBreak/>
        <w:t>TO THE RESPONDENT</w:t>
      </w:r>
    </w:p>
    <w:p w14:paraId="5E7078A3" w14:textId="77777777"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1BD1008D" w14:textId="77777777" w:rsidR="00D949B7" w:rsidRDefault="009B6DDF" w:rsidP="00CD4CF3">
      <w:pPr>
        <w:spacing w:before="240"/>
        <w:jc w:val="both"/>
        <w:rPr>
          <w:rFonts w:ascii="Book Antiqua" w:hAnsi="Book Antiqua" w:cs="Arial"/>
        </w:rPr>
      </w:pPr>
      <w:r>
        <w:rPr>
          <w:rFonts w:ascii="Book Antiqua" w:hAnsi="Book Antiqua" w:cs="Arial"/>
        </w:rPr>
        <w:t>I maintain the decision of the First-tier Tribunal not to make an award in all the circumstances.</w:t>
      </w:r>
    </w:p>
    <w:p w14:paraId="3C0ED3F3" w14:textId="77777777" w:rsidR="00D949B7" w:rsidRDefault="00D949B7" w:rsidP="00CD4CF3">
      <w:pPr>
        <w:spacing w:before="240"/>
        <w:jc w:val="both"/>
        <w:rPr>
          <w:rFonts w:ascii="Book Antiqua" w:hAnsi="Book Antiqua" w:cs="Arial"/>
        </w:rPr>
      </w:pPr>
    </w:p>
    <w:p w14:paraId="1FE5E9FF" w14:textId="77777777"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B6DDF">
        <w:rPr>
          <w:noProof/>
        </w:rPr>
        <w:drawing>
          <wp:inline distT="0" distB="0" distL="0" distR="0" wp14:anchorId="02C1F7ED" wp14:editId="6650DF51">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Pr="009B7433">
        <w:rPr>
          <w:rFonts w:ascii="Book Antiqua" w:hAnsi="Book Antiqua" w:cs="Arial"/>
        </w:rPr>
        <w:tab/>
      </w:r>
      <w:r w:rsidRPr="009B7433">
        <w:rPr>
          <w:rFonts w:ascii="Book Antiqua" w:hAnsi="Book Antiqua" w:cs="Arial"/>
        </w:rPr>
        <w:tab/>
        <w:t>Date</w:t>
      </w:r>
      <w:r w:rsidR="009B6DDF">
        <w:rPr>
          <w:rFonts w:ascii="Book Antiqua" w:hAnsi="Book Antiqua" w:cs="Arial"/>
        </w:rPr>
        <w:t>: 19 August 2018</w:t>
      </w:r>
    </w:p>
    <w:p w14:paraId="3656D471" w14:textId="0B07B6F6" w:rsidR="00B95326" w:rsidRPr="009B7433" w:rsidRDefault="00FE6895" w:rsidP="006C39EA">
      <w:pPr>
        <w:spacing w:before="240"/>
        <w:jc w:val="both"/>
        <w:rPr>
          <w:rFonts w:ascii="Book Antiqua" w:hAnsi="Book Antiqua" w:cs="Arial"/>
        </w:rPr>
      </w:pPr>
      <w:r>
        <w:rPr>
          <w:rFonts w:ascii="Book Antiqua" w:hAnsi="Book Antiqua" w:cs="Arial"/>
          <w:color w:val="000000"/>
        </w:rPr>
        <w:t>Deputy Upper Tribunal Judge Norton-Taylor</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57E65" w14:textId="77777777" w:rsidR="004B66A7" w:rsidRDefault="004B66A7">
      <w:r>
        <w:separator/>
      </w:r>
    </w:p>
  </w:endnote>
  <w:endnote w:type="continuationSeparator" w:id="0">
    <w:p w14:paraId="05D51382" w14:textId="77777777" w:rsidR="004B66A7" w:rsidRDefault="004B6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B2E3D" w14:textId="24E3CA73" w:rsidR="004B66A7" w:rsidRPr="009B7433" w:rsidRDefault="004B66A7"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9399C">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F3E74" w14:textId="77777777" w:rsidR="004B66A7" w:rsidRPr="009B7433" w:rsidRDefault="004B66A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0450" w14:textId="77777777" w:rsidR="004B66A7" w:rsidRDefault="004B66A7">
      <w:r>
        <w:separator/>
      </w:r>
    </w:p>
  </w:footnote>
  <w:footnote w:type="continuationSeparator" w:id="0">
    <w:p w14:paraId="1A43C4A9" w14:textId="77777777" w:rsidR="004B66A7" w:rsidRDefault="004B6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BD3C0" w14:textId="77777777" w:rsidR="004B66A7" w:rsidRPr="009B7433" w:rsidRDefault="004B66A7"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HU/21731/2016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35F0E" w14:textId="77777777" w:rsidR="004B66A7" w:rsidRPr="009B7433" w:rsidRDefault="004B66A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044C"/>
    <w:multiLevelType w:val="hybridMultilevel"/>
    <w:tmpl w:val="02B06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602B0"/>
    <w:multiLevelType w:val="hybridMultilevel"/>
    <w:tmpl w:val="765C30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18"/>
    <w:rsid w:val="00000621"/>
    <w:rsid w:val="00003131"/>
    <w:rsid w:val="000036C2"/>
    <w:rsid w:val="00006B4F"/>
    <w:rsid w:val="000111FC"/>
    <w:rsid w:val="00016C1A"/>
    <w:rsid w:val="00033588"/>
    <w:rsid w:val="00033D3D"/>
    <w:rsid w:val="0004776F"/>
    <w:rsid w:val="00052895"/>
    <w:rsid w:val="00062F02"/>
    <w:rsid w:val="0007011D"/>
    <w:rsid w:val="00071A7E"/>
    <w:rsid w:val="000746C0"/>
    <w:rsid w:val="00074D1D"/>
    <w:rsid w:val="00092580"/>
    <w:rsid w:val="00093D4D"/>
    <w:rsid w:val="000D5D94"/>
    <w:rsid w:val="000F1A0E"/>
    <w:rsid w:val="000F6B18"/>
    <w:rsid w:val="00103FBE"/>
    <w:rsid w:val="001165A7"/>
    <w:rsid w:val="001575BD"/>
    <w:rsid w:val="00160508"/>
    <w:rsid w:val="0016492C"/>
    <w:rsid w:val="0016508E"/>
    <w:rsid w:val="00167D3A"/>
    <w:rsid w:val="00173F50"/>
    <w:rsid w:val="00185986"/>
    <w:rsid w:val="001A3082"/>
    <w:rsid w:val="001B186A"/>
    <w:rsid w:val="001B2F75"/>
    <w:rsid w:val="001B7A67"/>
    <w:rsid w:val="001C6F5F"/>
    <w:rsid w:val="001C7F77"/>
    <w:rsid w:val="001D6167"/>
    <w:rsid w:val="001E5948"/>
    <w:rsid w:val="001F2716"/>
    <w:rsid w:val="001F3AC0"/>
    <w:rsid w:val="00207617"/>
    <w:rsid w:val="0023134B"/>
    <w:rsid w:val="00283659"/>
    <w:rsid w:val="0029177A"/>
    <w:rsid w:val="002C45C5"/>
    <w:rsid w:val="002C6BD4"/>
    <w:rsid w:val="002D68BF"/>
    <w:rsid w:val="002E4541"/>
    <w:rsid w:val="002F6B98"/>
    <w:rsid w:val="003053D1"/>
    <w:rsid w:val="00336CBF"/>
    <w:rsid w:val="00343FE3"/>
    <w:rsid w:val="003546C8"/>
    <w:rsid w:val="003825D4"/>
    <w:rsid w:val="003A7CF2"/>
    <w:rsid w:val="003C5CE5"/>
    <w:rsid w:val="003D6FAD"/>
    <w:rsid w:val="003E267B"/>
    <w:rsid w:val="003E7CD1"/>
    <w:rsid w:val="00402B9E"/>
    <w:rsid w:val="004249CB"/>
    <w:rsid w:val="0044127D"/>
    <w:rsid w:val="004448DB"/>
    <w:rsid w:val="00446C9A"/>
    <w:rsid w:val="00452F2B"/>
    <w:rsid w:val="00477193"/>
    <w:rsid w:val="00494716"/>
    <w:rsid w:val="004952B7"/>
    <w:rsid w:val="004977B9"/>
    <w:rsid w:val="004A1848"/>
    <w:rsid w:val="004A2D15"/>
    <w:rsid w:val="004A534C"/>
    <w:rsid w:val="004A6F4A"/>
    <w:rsid w:val="004B66A7"/>
    <w:rsid w:val="004B70D7"/>
    <w:rsid w:val="004D6B45"/>
    <w:rsid w:val="004E4717"/>
    <w:rsid w:val="00501554"/>
    <w:rsid w:val="00507FEC"/>
    <w:rsid w:val="00510F0E"/>
    <w:rsid w:val="00531BFE"/>
    <w:rsid w:val="005479E1"/>
    <w:rsid w:val="00553E0A"/>
    <w:rsid w:val="005570FD"/>
    <w:rsid w:val="005575EA"/>
    <w:rsid w:val="0057790C"/>
    <w:rsid w:val="00593795"/>
    <w:rsid w:val="00596168"/>
    <w:rsid w:val="005A75FF"/>
    <w:rsid w:val="005D10AB"/>
    <w:rsid w:val="005E5591"/>
    <w:rsid w:val="00601D8F"/>
    <w:rsid w:val="00605582"/>
    <w:rsid w:val="00611F34"/>
    <w:rsid w:val="00620F3C"/>
    <w:rsid w:val="00621FE8"/>
    <w:rsid w:val="006434B6"/>
    <w:rsid w:val="00653E97"/>
    <w:rsid w:val="006667DB"/>
    <w:rsid w:val="00670EAF"/>
    <w:rsid w:val="00684A74"/>
    <w:rsid w:val="0068620A"/>
    <w:rsid w:val="00690B8A"/>
    <w:rsid w:val="006C39EA"/>
    <w:rsid w:val="006F2CF1"/>
    <w:rsid w:val="007038ED"/>
    <w:rsid w:val="00703BC3"/>
    <w:rsid w:val="00704B61"/>
    <w:rsid w:val="00715A64"/>
    <w:rsid w:val="007372BF"/>
    <w:rsid w:val="00740C1F"/>
    <w:rsid w:val="0074796D"/>
    <w:rsid w:val="007552A9"/>
    <w:rsid w:val="0075658A"/>
    <w:rsid w:val="00761858"/>
    <w:rsid w:val="00767D59"/>
    <w:rsid w:val="00776E97"/>
    <w:rsid w:val="00780F86"/>
    <w:rsid w:val="007912AD"/>
    <w:rsid w:val="007B0824"/>
    <w:rsid w:val="007B5D3C"/>
    <w:rsid w:val="007F2E69"/>
    <w:rsid w:val="00801F15"/>
    <w:rsid w:val="00802B26"/>
    <w:rsid w:val="00815011"/>
    <w:rsid w:val="00821B72"/>
    <w:rsid w:val="00823EF2"/>
    <w:rsid w:val="008303B8"/>
    <w:rsid w:val="00833DCE"/>
    <w:rsid w:val="0085036E"/>
    <w:rsid w:val="00871D34"/>
    <w:rsid w:val="008A18FE"/>
    <w:rsid w:val="008A25EC"/>
    <w:rsid w:val="008A6059"/>
    <w:rsid w:val="008B270C"/>
    <w:rsid w:val="008B5078"/>
    <w:rsid w:val="008C3D3D"/>
    <w:rsid w:val="008D05F7"/>
    <w:rsid w:val="008D4131"/>
    <w:rsid w:val="008F1932"/>
    <w:rsid w:val="009002EC"/>
    <w:rsid w:val="0090151B"/>
    <w:rsid w:val="009042A9"/>
    <w:rsid w:val="00921062"/>
    <w:rsid w:val="009722BC"/>
    <w:rsid w:val="009727A3"/>
    <w:rsid w:val="00987774"/>
    <w:rsid w:val="009A11E8"/>
    <w:rsid w:val="009B6DDF"/>
    <w:rsid w:val="009B7433"/>
    <w:rsid w:val="009C57C8"/>
    <w:rsid w:val="009D5357"/>
    <w:rsid w:val="009F5220"/>
    <w:rsid w:val="00A07919"/>
    <w:rsid w:val="00A1161B"/>
    <w:rsid w:val="00A15234"/>
    <w:rsid w:val="00A201AB"/>
    <w:rsid w:val="00A31C8B"/>
    <w:rsid w:val="00A509FA"/>
    <w:rsid w:val="00A845DC"/>
    <w:rsid w:val="00AD2088"/>
    <w:rsid w:val="00AD7143"/>
    <w:rsid w:val="00B12405"/>
    <w:rsid w:val="00B255D1"/>
    <w:rsid w:val="00B26AA2"/>
    <w:rsid w:val="00B3524D"/>
    <w:rsid w:val="00B40F69"/>
    <w:rsid w:val="00B46616"/>
    <w:rsid w:val="00B528BB"/>
    <w:rsid w:val="00B7040A"/>
    <w:rsid w:val="00B83391"/>
    <w:rsid w:val="00B95326"/>
    <w:rsid w:val="00BB0C31"/>
    <w:rsid w:val="00BC778B"/>
    <w:rsid w:val="00BD4196"/>
    <w:rsid w:val="00BF22CA"/>
    <w:rsid w:val="00BF23BB"/>
    <w:rsid w:val="00C02BD7"/>
    <w:rsid w:val="00C26032"/>
    <w:rsid w:val="00C30298"/>
    <w:rsid w:val="00C345E1"/>
    <w:rsid w:val="00C40B79"/>
    <w:rsid w:val="00C43BFD"/>
    <w:rsid w:val="00C6048A"/>
    <w:rsid w:val="00CB6E35"/>
    <w:rsid w:val="00CD4CF3"/>
    <w:rsid w:val="00CE09B1"/>
    <w:rsid w:val="00CE1A46"/>
    <w:rsid w:val="00D20757"/>
    <w:rsid w:val="00D20D07"/>
    <w:rsid w:val="00D22636"/>
    <w:rsid w:val="00D40FD9"/>
    <w:rsid w:val="00D53769"/>
    <w:rsid w:val="00D609F4"/>
    <w:rsid w:val="00D6602D"/>
    <w:rsid w:val="00D85C13"/>
    <w:rsid w:val="00D9111A"/>
    <w:rsid w:val="00D91BE3"/>
    <w:rsid w:val="00D9399C"/>
    <w:rsid w:val="00D949B7"/>
    <w:rsid w:val="00D94AFC"/>
    <w:rsid w:val="00D9601E"/>
    <w:rsid w:val="00DA1ACB"/>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20BDD"/>
    <w:rsid w:val="00F22EDA"/>
    <w:rsid w:val="00F5589A"/>
    <w:rsid w:val="00F82A20"/>
    <w:rsid w:val="00FC40FA"/>
    <w:rsid w:val="00FD0D0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F6C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00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2252</Words>
  <Characters>11167</Characters>
  <Application>Microsoft Office Word</Application>
  <DocSecurity>0</DocSecurity>
  <Lines>93</Lines>
  <Paragraphs>26</Paragraphs>
  <ScaleCrop>false</ScaleCrop>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2018-09-12T12:35:00Z</dcterms:created>
  <dcterms:modified xsi:type="dcterms:W3CDTF">2018-09-12T12:35:00Z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