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2237F1" w:rsidRDefault="00F81D1E" w:rsidP="008F0F55">
      <w:pPr>
        <w:jc w:val="center"/>
        <w:rPr>
          <w:rFonts w:ascii="Book Antiqua" w:hAnsi="Book Antiqua" w:cs="Arial"/>
          <w:sz w:val="16"/>
          <w:szCs w:val="16"/>
        </w:rPr>
      </w:pPr>
      <w:r w:rsidRPr="002237F1">
        <w:rPr>
          <w:rFonts w:ascii="Book Antiqua" w:hAnsi="Book Antiqua"/>
          <w:noProof/>
          <w:sz w:val="16"/>
          <w:szCs w:val="16"/>
        </w:rPr>
        <w:drawing>
          <wp:inline distT="0" distB="0" distL="0" distR="0" wp14:anchorId="5B3E18BB" wp14:editId="7847A75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2A7F7A91" w14:textId="77777777" w:rsidR="008F0F55" w:rsidRPr="002237F1" w:rsidRDefault="00C959E9">
      <w:pPr>
        <w:rPr>
          <w:rFonts w:ascii="Book Antiqua" w:hAnsi="Book Antiqua" w:cs="Arial"/>
          <w:sz w:val="16"/>
          <w:szCs w:val="16"/>
        </w:rPr>
      </w:pPr>
    </w:p>
    <w:p w14:paraId="778DE1A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19165009" w14:textId="7596BFA3" w:rsidR="008F0F55"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Appeal Number</w:t>
      </w:r>
      <w:r w:rsidR="00A868D3">
        <w:rPr>
          <w:rFonts w:ascii="Book Antiqua" w:hAnsi="Book Antiqua" w:cs="Arial"/>
        </w:rPr>
        <w:t>s</w:t>
      </w:r>
      <w:r w:rsidRPr="00F146AE">
        <w:rPr>
          <w:rFonts w:ascii="Book Antiqua" w:hAnsi="Book Antiqua" w:cs="Arial"/>
        </w:rPr>
        <w:t xml:space="preserve">: </w:t>
      </w:r>
      <w:r w:rsidR="000747EA">
        <w:rPr>
          <w:rFonts w:ascii="Book Antiqua" w:hAnsi="Book Antiqua" w:cs="Arial"/>
        </w:rPr>
        <w:t>HU/21764/2016</w:t>
      </w:r>
    </w:p>
    <w:p w14:paraId="3342C3E8" w14:textId="7499BB47" w:rsidR="00A868D3" w:rsidRDefault="00A868D3" w:rsidP="00A868D3">
      <w:pPr>
        <w:tabs>
          <w:tab w:val="right" w:pos="9639"/>
        </w:tabs>
        <w:ind w:left="567"/>
        <w:jc w:val="right"/>
        <w:rPr>
          <w:rFonts w:ascii="Book Antiqua" w:hAnsi="Book Antiqua" w:cs="Arial"/>
        </w:rPr>
      </w:pPr>
      <w:r>
        <w:rPr>
          <w:rFonts w:ascii="Book Antiqua" w:hAnsi="Book Antiqua" w:cs="Arial"/>
        </w:rPr>
        <w:t>HU/21769/2016</w:t>
      </w:r>
    </w:p>
    <w:p w14:paraId="48B28FC6" w14:textId="09DC9A3E" w:rsidR="00A868D3" w:rsidRPr="00F146AE" w:rsidRDefault="00A868D3" w:rsidP="00A868D3">
      <w:pPr>
        <w:tabs>
          <w:tab w:val="right" w:pos="9639"/>
        </w:tabs>
        <w:ind w:left="567"/>
        <w:jc w:val="right"/>
        <w:rPr>
          <w:rFonts w:ascii="Book Antiqua" w:hAnsi="Book Antiqua" w:cs="Arial"/>
        </w:rPr>
      </w:pPr>
      <w:r>
        <w:rPr>
          <w:rFonts w:ascii="Book Antiqua" w:hAnsi="Book Antiqua" w:cs="Arial"/>
        </w:rPr>
        <w:t>HU/21770/2016</w:t>
      </w:r>
    </w:p>
    <w:p w14:paraId="08091BB3" w14:textId="77777777" w:rsidR="008F0F55" w:rsidRPr="00F146AE" w:rsidRDefault="00C959E9" w:rsidP="008F0F55">
      <w:pPr>
        <w:jc w:val="center"/>
        <w:rPr>
          <w:rFonts w:ascii="Book Antiqua" w:hAnsi="Book Antiqua" w:cs="Arial"/>
        </w:rPr>
      </w:pPr>
    </w:p>
    <w:p w14:paraId="60785EDE" w14:textId="77777777" w:rsidR="008F0F55" w:rsidRPr="00F146AE" w:rsidRDefault="00C959E9"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C959E9" w:rsidP="008F0F55">
      <w:pPr>
        <w:jc w:val="center"/>
        <w:rPr>
          <w:rFonts w:ascii="Book Antiqua" w:hAnsi="Book Antiqua" w:cs="Arial"/>
          <w:b/>
          <w:u w:val="single"/>
        </w:rPr>
      </w:pPr>
    </w:p>
    <w:p w14:paraId="5CE9D877" w14:textId="77777777" w:rsidR="008F0F55" w:rsidRPr="00F146AE" w:rsidRDefault="00C959E9" w:rsidP="008F0F55">
      <w:pPr>
        <w:jc w:val="center"/>
        <w:rPr>
          <w:rFonts w:ascii="Book Antiqua" w:hAnsi="Book Antiqua" w:cs="Arial"/>
          <w:b/>
          <w:u w:val="single"/>
        </w:rPr>
      </w:pPr>
    </w:p>
    <w:tbl>
      <w:tblPr>
        <w:tblW w:w="0" w:type="auto"/>
        <w:tblLook w:val="01E0" w:firstRow="1" w:lastRow="1" w:firstColumn="1" w:lastColumn="1" w:noHBand="0" w:noVBand="0"/>
      </w:tblPr>
      <w:tblGrid>
        <w:gridCol w:w="4673"/>
        <w:gridCol w:w="4955"/>
      </w:tblGrid>
      <w:tr w:rsidR="008F0F55" w:rsidRPr="00035322" w14:paraId="2E330527" w14:textId="77777777" w:rsidTr="00BA126F">
        <w:tc>
          <w:tcPr>
            <w:tcW w:w="4673" w:type="dxa"/>
          </w:tcPr>
          <w:p w14:paraId="12222D24" w14:textId="70F38460"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0747EA">
              <w:rPr>
                <w:rFonts w:ascii="Book Antiqua" w:hAnsi="Book Antiqua" w:cs="Arial"/>
                <w:b/>
              </w:rPr>
              <w:t>Bradford</w:t>
            </w:r>
          </w:p>
        </w:tc>
        <w:tc>
          <w:tcPr>
            <w:tcW w:w="4955" w:type="dxa"/>
          </w:tcPr>
          <w:p w14:paraId="442A84BC" w14:textId="04FEDB13" w:rsidR="008F0F55" w:rsidRPr="00035322" w:rsidRDefault="00F81D1E" w:rsidP="00F81D1E">
            <w:pPr>
              <w:jc w:val="both"/>
              <w:rPr>
                <w:rFonts w:ascii="Book Antiqua" w:hAnsi="Book Antiqua" w:cs="Arial"/>
                <w:b/>
              </w:rPr>
            </w:pPr>
            <w:r w:rsidRPr="00035322">
              <w:rPr>
                <w:rFonts w:ascii="Book Antiqua" w:hAnsi="Book Antiqua" w:cs="Arial"/>
                <w:b/>
              </w:rPr>
              <w:t>De</w:t>
            </w:r>
            <w:r>
              <w:rPr>
                <w:rFonts w:ascii="Book Antiqua" w:hAnsi="Book Antiqua" w:cs="Arial"/>
                <w:b/>
              </w:rPr>
              <w:t>cision</w:t>
            </w:r>
            <w:r w:rsidR="00BA126F">
              <w:rPr>
                <w:rFonts w:ascii="Book Antiqua" w:hAnsi="Book Antiqua" w:cs="Arial"/>
                <w:b/>
              </w:rPr>
              <w:t xml:space="preserve"> &amp; Reasons</w:t>
            </w:r>
            <w:r w:rsidRPr="00035322">
              <w:rPr>
                <w:rFonts w:ascii="Book Antiqua" w:hAnsi="Book Antiqua" w:cs="Arial"/>
                <w:b/>
              </w:rPr>
              <w:t xml:space="preserve"> Promulgated</w:t>
            </w:r>
          </w:p>
        </w:tc>
      </w:tr>
      <w:tr w:rsidR="008F0F55" w:rsidRPr="00035322" w14:paraId="44428417" w14:textId="77777777" w:rsidTr="00BA126F">
        <w:tc>
          <w:tcPr>
            <w:tcW w:w="4673" w:type="dxa"/>
          </w:tcPr>
          <w:p w14:paraId="76596F5F" w14:textId="42EC68DD"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0747EA">
              <w:rPr>
                <w:rFonts w:ascii="Book Antiqua" w:hAnsi="Book Antiqua" w:cs="Arial"/>
                <w:b/>
              </w:rPr>
              <w:t xml:space="preserve">23 </w:t>
            </w:r>
            <w:r w:rsidR="00A9220D">
              <w:rPr>
                <w:rFonts w:ascii="Book Antiqua" w:hAnsi="Book Antiqua" w:cs="Arial"/>
                <w:b/>
              </w:rPr>
              <w:t>July 2018</w:t>
            </w:r>
          </w:p>
        </w:tc>
        <w:tc>
          <w:tcPr>
            <w:tcW w:w="4955" w:type="dxa"/>
          </w:tcPr>
          <w:p w14:paraId="60129748" w14:textId="35897609" w:rsidR="008F0F55" w:rsidRPr="00035322" w:rsidRDefault="00BA126F" w:rsidP="008F0F55">
            <w:pPr>
              <w:jc w:val="both"/>
              <w:rPr>
                <w:rFonts w:ascii="Book Antiqua" w:hAnsi="Book Antiqua" w:cs="Arial"/>
                <w:b/>
              </w:rPr>
            </w:pPr>
            <w:r>
              <w:rPr>
                <w:rFonts w:ascii="Book Antiqua" w:hAnsi="Book Antiqua" w:cs="Arial"/>
                <w:b/>
              </w:rPr>
              <w:t>On 27</w:t>
            </w:r>
            <w:r w:rsidRPr="00BA126F">
              <w:rPr>
                <w:rFonts w:ascii="Book Antiqua" w:hAnsi="Book Antiqua" w:cs="Arial"/>
                <w:b/>
                <w:vertAlign w:val="superscript"/>
              </w:rPr>
              <w:t>th</w:t>
            </w:r>
            <w:r>
              <w:rPr>
                <w:rFonts w:ascii="Book Antiqua" w:hAnsi="Book Antiqua" w:cs="Arial"/>
                <w:b/>
              </w:rPr>
              <w:t xml:space="preserve"> July 2018</w:t>
            </w:r>
          </w:p>
        </w:tc>
      </w:tr>
      <w:tr w:rsidR="008F0F55" w:rsidRPr="00035322" w14:paraId="1F233C5F" w14:textId="77777777" w:rsidTr="00BA126F">
        <w:tc>
          <w:tcPr>
            <w:tcW w:w="4673" w:type="dxa"/>
          </w:tcPr>
          <w:p w14:paraId="46D24584" w14:textId="77777777" w:rsidR="008F0F55" w:rsidRPr="00035322" w:rsidRDefault="00C959E9" w:rsidP="008F0F55">
            <w:pPr>
              <w:jc w:val="both"/>
              <w:rPr>
                <w:rFonts w:ascii="Book Antiqua" w:hAnsi="Book Antiqua" w:cs="Arial"/>
                <w:b/>
              </w:rPr>
            </w:pPr>
          </w:p>
        </w:tc>
        <w:tc>
          <w:tcPr>
            <w:tcW w:w="4955" w:type="dxa"/>
          </w:tcPr>
          <w:p w14:paraId="0BC1A6A8" w14:textId="0F554189" w:rsidR="008F0F55" w:rsidRPr="00035322" w:rsidRDefault="00C959E9" w:rsidP="008F0F55">
            <w:pPr>
              <w:jc w:val="both"/>
              <w:rPr>
                <w:rFonts w:ascii="Book Antiqua" w:hAnsi="Book Antiqua" w:cs="Arial"/>
                <w:b/>
              </w:rPr>
            </w:pPr>
          </w:p>
        </w:tc>
      </w:tr>
    </w:tbl>
    <w:p w14:paraId="25CFCAFA" w14:textId="77777777" w:rsidR="008F0F55" w:rsidRPr="00F146AE" w:rsidRDefault="00C959E9"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C959E9" w:rsidP="008F0F55">
      <w:pPr>
        <w:jc w:val="center"/>
        <w:rPr>
          <w:rFonts w:ascii="Book Antiqua" w:hAnsi="Book Antiqua" w:cs="Arial"/>
          <w:b/>
        </w:rPr>
      </w:pPr>
    </w:p>
    <w:p w14:paraId="7757D50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6935AFC1" w14:textId="77777777" w:rsidR="002237F1" w:rsidRDefault="002237F1" w:rsidP="008F0F55">
      <w:pPr>
        <w:jc w:val="center"/>
        <w:rPr>
          <w:rFonts w:ascii="Book Antiqua" w:hAnsi="Book Antiqua" w:cs="Arial"/>
          <w:b/>
        </w:rPr>
      </w:pPr>
    </w:p>
    <w:p w14:paraId="3EC09DA9" w14:textId="77777777" w:rsidR="002237F1" w:rsidRDefault="002237F1" w:rsidP="008F0F55">
      <w:pPr>
        <w:jc w:val="center"/>
        <w:rPr>
          <w:rFonts w:ascii="Book Antiqua" w:hAnsi="Book Antiqua" w:cs="Arial"/>
          <w:b/>
        </w:rPr>
      </w:pPr>
    </w:p>
    <w:p w14:paraId="7F950F83" w14:textId="36C8570F"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C959E9" w:rsidP="008F0F55">
      <w:pPr>
        <w:jc w:val="center"/>
        <w:rPr>
          <w:rFonts w:ascii="Book Antiqua" w:hAnsi="Book Antiqua" w:cs="Arial"/>
          <w:b/>
        </w:rPr>
      </w:pPr>
    </w:p>
    <w:p w14:paraId="36C28499" w14:textId="550240B0" w:rsidR="008F0F55" w:rsidRDefault="00F44C04" w:rsidP="008F0F55">
      <w:pPr>
        <w:jc w:val="center"/>
        <w:rPr>
          <w:rFonts w:ascii="Book Antiqua" w:hAnsi="Book Antiqua" w:cs="Arial"/>
          <w:b/>
        </w:rPr>
      </w:pPr>
      <w:r>
        <w:rPr>
          <w:rFonts w:ascii="Book Antiqua" w:hAnsi="Book Antiqua" w:cs="Arial"/>
          <w:b/>
        </w:rPr>
        <w:t>MK</w:t>
      </w:r>
    </w:p>
    <w:p w14:paraId="527875E1" w14:textId="192FCA05" w:rsidR="00F44C04" w:rsidRDefault="00F44C04" w:rsidP="008F0F55">
      <w:pPr>
        <w:jc w:val="center"/>
        <w:rPr>
          <w:rFonts w:ascii="Book Antiqua" w:hAnsi="Book Antiqua" w:cs="Arial"/>
          <w:b/>
        </w:rPr>
      </w:pPr>
      <w:r>
        <w:rPr>
          <w:rFonts w:ascii="Book Antiqua" w:hAnsi="Book Antiqua" w:cs="Arial"/>
          <w:b/>
        </w:rPr>
        <w:t>KM</w:t>
      </w:r>
    </w:p>
    <w:p w14:paraId="5965EBD8" w14:textId="7800E4D9" w:rsidR="00F44C04" w:rsidRDefault="00F44C04" w:rsidP="008F0F55">
      <w:pPr>
        <w:jc w:val="center"/>
        <w:rPr>
          <w:rFonts w:ascii="Book Antiqua" w:hAnsi="Book Antiqua" w:cs="Arial"/>
          <w:b/>
        </w:rPr>
      </w:pPr>
      <w:r>
        <w:rPr>
          <w:rFonts w:ascii="Book Antiqua" w:hAnsi="Book Antiqua" w:cs="Arial"/>
          <w:b/>
        </w:rPr>
        <w:t>KK</w:t>
      </w:r>
    </w:p>
    <w:p w14:paraId="5F65B1C1" w14:textId="0957739E" w:rsidR="008F0F55" w:rsidRDefault="00F81D1E" w:rsidP="008F0F55">
      <w:pPr>
        <w:jc w:val="center"/>
        <w:rPr>
          <w:rFonts w:ascii="Book Antiqua" w:hAnsi="Book Antiqua" w:cs="Arial"/>
          <w:b/>
        </w:rPr>
      </w:pPr>
      <w:r>
        <w:rPr>
          <w:rFonts w:ascii="Book Antiqua" w:hAnsi="Book Antiqua" w:cs="Arial"/>
          <w:b/>
        </w:rPr>
        <w:t>[</w:t>
      </w:r>
      <w:r w:rsidR="00F44C04">
        <w:rPr>
          <w:rFonts w:ascii="Book Antiqua" w:hAnsi="Book Antiqua" w:cs="Arial"/>
          <w:b/>
        </w:rPr>
        <w:t>A</w:t>
      </w:r>
      <w:r>
        <w:rPr>
          <w:rFonts w:ascii="Book Antiqua" w:hAnsi="Book Antiqua" w:cs="Arial"/>
          <w:b/>
        </w:rPr>
        <w:t>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5DA8E"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C959E9" w:rsidP="008F0F55">
      <w:pPr>
        <w:jc w:val="center"/>
        <w:rPr>
          <w:rFonts w:ascii="Book Antiqua" w:hAnsi="Book Antiqua" w:cs="Arial"/>
          <w:b/>
        </w:rPr>
      </w:pPr>
    </w:p>
    <w:p w14:paraId="380E110F" w14:textId="18C6EF31" w:rsidR="008F0F55" w:rsidRDefault="00F44C04"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4B63312B" w:rsidR="008F0F55" w:rsidRDefault="00C959E9" w:rsidP="008F0F55">
      <w:pPr>
        <w:rPr>
          <w:rFonts w:ascii="Book Antiqua" w:hAnsi="Book Antiqua" w:cs="Arial"/>
          <w:u w:val="single"/>
        </w:rPr>
      </w:pPr>
    </w:p>
    <w:p w14:paraId="37622413" w14:textId="77777777" w:rsidR="002237F1" w:rsidRPr="00F146AE" w:rsidRDefault="002237F1"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7D2F409" w14:textId="6E6EC9EB"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00F44C04">
        <w:rPr>
          <w:rFonts w:ascii="Book Antiqua" w:hAnsi="Book Antiqua" w:cs="Arial"/>
        </w:rPr>
        <w:t>s</w:t>
      </w:r>
      <w:r w:rsidRPr="00F146AE">
        <w:rPr>
          <w:rFonts w:ascii="Book Antiqua" w:hAnsi="Book Antiqua" w:cs="Arial"/>
        </w:rPr>
        <w:t>:</w:t>
      </w:r>
      <w:r w:rsidRPr="00F146AE">
        <w:rPr>
          <w:rFonts w:ascii="Book Antiqua" w:hAnsi="Book Antiqua" w:cs="Arial"/>
        </w:rPr>
        <w:tab/>
      </w:r>
      <w:r w:rsidR="00F44C04">
        <w:rPr>
          <w:rFonts w:ascii="Book Antiqua" w:hAnsi="Book Antiqua" w:cs="Arial"/>
        </w:rPr>
        <w:t>In person, not represented</w:t>
      </w:r>
    </w:p>
    <w:p w14:paraId="42E8BC5C" w14:textId="7B70AD82"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F44C04">
        <w:rPr>
          <w:rFonts w:ascii="Book Antiqua" w:hAnsi="Book Antiqua" w:cs="Arial"/>
        </w:rPr>
        <w:t>Mr M Diwnycz</w:t>
      </w:r>
      <w:r>
        <w:rPr>
          <w:rFonts w:ascii="Book Antiqua" w:hAnsi="Book Antiqua" w:cs="Arial"/>
        </w:rPr>
        <w:t>, Senior Home Office Presenting Officer</w:t>
      </w:r>
    </w:p>
    <w:p w14:paraId="758EED03" w14:textId="4E91AA9C" w:rsidR="008F0F55" w:rsidRDefault="00C959E9" w:rsidP="008F0F55">
      <w:pPr>
        <w:tabs>
          <w:tab w:val="left" w:pos="2520"/>
        </w:tabs>
        <w:jc w:val="center"/>
        <w:rPr>
          <w:rFonts w:ascii="Book Antiqua" w:hAnsi="Book Antiqua" w:cs="Arial"/>
        </w:rPr>
      </w:pPr>
    </w:p>
    <w:p w14:paraId="454AFB16" w14:textId="77777777" w:rsidR="002237F1" w:rsidRPr="00F146AE" w:rsidRDefault="002237F1" w:rsidP="008F0F55">
      <w:pPr>
        <w:tabs>
          <w:tab w:val="left" w:pos="2520"/>
        </w:tabs>
        <w:jc w:val="center"/>
        <w:rPr>
          <w:rFonts w:ascii="Book Antiqua" w:hAnsi="Book Antiqua" w:cs="Arial"/>
        </w:rPr>
      </w:pPr>
    </w:p>
    <w:p w14:paraId="072772E5"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422BD9D3" w14:textId="68AA40E5" w:rsidR="00FC346C"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w:t>
      </w:r>
      <w:r w:rsidR="003E7F7B">
        <w:rPr>
          <w:rFonts w:ascii="Book Antiqua" w:hAnsi="Book Antiqua" w:cs="Arial"/>
        </w:rPr>
        <w:t>the appellant</w:t>
      </w:r>
      <w:r w:rsidR="00BC3671">
        <w:rPr>
          <w:rFonts w:ascii="Book Antiqua" w:hAnsi="Book Antiqua" w:cs="Arial"/>
        </w:rPr>
        <w:t>s’</w:t>
      </w:r>
      <w:r w:rsidR="003E7F7B">
        <w:rPr>
          <w:rFonts w:ascii="Book Antiqua" w:hAnsi="Book Antiqua" w:cs="Arial"/>
        </w:rPr>
        <w:t xml:space="preserve"> </w:t>
      </w:r>
      <w:r>
        <w:rPr>
          <w:rFonts w:ascii="Book Antiqua" w:hAnsi="Book Antiqua" w:cs="Arial"/>
        </w:rPr>
        <w:t xml:space="preserve">appeal against the decision of First-tier Tribunal Judge </w:t>
      </w:r>
      <w:r w:rsidR="00BC3671">
        <w:rPr>
          <w:rFonts w:ascii="Book Antiqua" w:hAnsi="Book Antiqua" w:cs="Arial"/>
        </w:rPr>
        <w:t>Casewell</w:t>
      </w:r>
      <w:r w:rsidR="00FC346C">
        <w:rPr>
          <w:rFonts w:ascii="Book Antiqua" w:hAnsi="Book Antiqua" w:cs="Arial"/>
        </w:rPr>
        <w:t xml:space="preserve"> promulgated </w:t>
      </w:r>
      <w:r w:rsidR="00BC3671">
        <w:rPr>
          <w:rFonts w:ascii="Book Antiqua" w:hAnsi="Book Antiqua" w:cs="Arial"/>
        </w:rPr>
        <w:t>25.7.17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BC3671">
        <w:rPr>
          <w:rFonts w:ascii="Book Antiqua" w:hAnsi="Book Antiqua" w:cs="Arial"/>
        </w:rPr>
        <w:t xml:space="preserve">their linked </w:t>
      </w:r>
      <w:r>
        <w:rPr>
          <w:rFonts w:ascii="Book Antiqua" w:hAnsi="Book Antiqua" w:cs="Arial"/>
        </w:rPr>
        <w:t>appeal</w:t>
      </w:r>
      <w:r w:rsidR="00BC3671">
        <w:rPr>
          <w:rFonts w:ascii="Book Antiqua" w:hAnsi="Book Antiqua" w:cs="Arial"/>
        </w:rPr>
        <w:t>s</w:t>
      </w:r>
      <w:r>
        <w:rPr>
          <w:rFonts w:ascii="Book Antiqua" w:hAnsi="Book Antiqua" w:cs="Arial"/>
        </w:rPr>
        <w:t xml:space="preserve"> against the decision</w:t>
      </w:r>
      <w:r w:rsidR="00BC3671">
        <w:rPr>
          <w:rFonts w:ascii="Book Antiqua" w:hAnsi="Book Antiqua" w:cs="Arial"/>
        </w:rPr>
        <w:t>s</w:t>
      </w:r>
      <w:r>
        <w:rPr>
          <w:rFonts w:ascii="Book Antiqua" w:hAnsi="Book Antiqua" w:cs="Arial"/>
        </w:rPr>
        <w:t xml:space="preserve"> of the </w:t>
      </w:r>
      <w:r w:rsidR="00FC346C">
        <w:rPr>
          <w:rFonts w:ascii="Book Antiqua" w:hAnsi="Book Antiqua" w:cs="Arial"/>
        </w:rPr>
        <w:t xml:space="preserve">Secretary of State, dated </w:t>
      </w:r>
      <w:r w:rsidR="00BC3671">
        <w:rPr>
          <w:rFonts w:ascii="Book Antiqua" w:hAnsi="Book Antiqua" w:cs="Arial"/>
        </w:rPr>
        <w:t>31.8.16</w:t>
      </w:r>
      <w:r w:rsidR="00FC346C">
        <w:rPr>
          <w:rFonts w:ascii="Book Antiqua" w:hAnsi="Book Antiqua" w:cs="Arial"/>
        </w:rPr>
        <w:t>,</w:t>
      </w:r>
      <w:r>
        <w:rPr>
          <w:rFonts w:ascii="Book Antiqua" w:hAnsi="Book Antiqua" w:cs="Arial"/>
        </w:rPr>
        <w:t xml:space="preserve"> to refuse </w:t>
      </w:r>
      <w:r w:rsidR="00F03FCA">
        <w:rPr>
          <w:rFonts w:ascii="Book Antiqua" w:hAnsi="Book Antiqua" w:cs="Arial"/>
        </w:rPr>
        <w:t>their applications for LTR on human rights compassionate grounds outside the Rules</w:t>
      </w:r>
      <w:r>
        <w:rPr>
          <w:rFonts w:ascii="Book Antiqua" w:hAnsi="Book Antiqua" w:cs="Arial"/>
        </w:rPr>
        <w:t xml:space="preserve">.  </w:t>
      </w:r>
    </w:p>
    <w:p w14:paraId="50F2D2D7" w14:textId="37136D8A" w:rsidR="008F0F55" w:rsidRDefault="00F81D1E" w:rsidP="008F0F55">
      <w:pPr>
        <w:numPr>
          <w:ilvl w:val="0"/>
          <w:numId w:val="3"/>
        </w:numPr>
        <w:spacing w:before="240"/>
        <w:jc w:val="both"/>
        <w:rPr>
          <w:rFonts w:ascii="Book Antiqua" w:hAnsi="Book Antiqua" w:cs="Arial"/>
        </w:rPr>
      </w:pPr>
      <w:r>
        <w:rPr>
          <w:rFonts w:ascii="Book Antiqua" w:hAnsi="Book Antiqua" w:cs="Arial"/>
        </w:rPr>
        <w:lastRenderedPageBreak/>
        <w:t xml:space="preserve">First-tier Tribunal Judge </w:t>
      </w:r>
      <w:r w:rsidR="00F03FCA">
        <w:rPr>
          <w:rFonts w:ascii="Book Antiqua" w:hAnsi="Book Antiqua" w:cs="Arial"/>
        </w:rPr>
        <w:t>Keane</w:t>
      </w:r>
      <w:r>
        <w:rPr>
          <w:rFonts w:ascii="Book Antiqua" w:hAnsi="Book Antiqua" w:cs="Arial"/>
        </w:rPr>
        <w:t xml:space="preserve"> </w:t>
      </w:r>
      <w:r w:rsidRPr="00011203">
        <w:rPr>
          <w:rFonts w:ascii="Book Antiqua" w:hAnsi="Book Antiqua" w:cs="Arial"/>
        </w:rPr>
        <w:t xml:space="preserve">granted permission to appeal on </w:t>
      </w:r>
      <w:r w:rsidR="006D35EB">
        <w:rPr>
          <w:rFonts w:ascii="Book Antiqua" w:hAnsi="Book Antiqua" w:cs="Arial"/>
        </w:rPr>
        <w:t>16.2.18</w:t>
      </w:r>
      <w:r>
        <w:rPr>
          <w:rFonts w:ascii="Book Antiqua" w:hAnsi="Book Antiqua" w:cs="Arial"/>
        </w:rPr>
        <w:t>.</w:t>
      </w:r>
    </w:p>
    <w:p w14:paraId="7F5E2504" w14:textId="1F41F854" w:rsidR="00397885" w:rsidRDefault="00397885" w:rsidP="008F0F55">
      <w:pPr>
        <w:numPr>
          <w:ilvl w:val="0"/>
          <w:numId w:val="3"/>
        </w:numPr>
        <w:spacing w:before="240"/>
        <w:jc w:val="both"/>
        <w:rPr>
          <w:rFonts w:ascii="Book Antiqua" w:hAnsi="Book Antiqua" w:cs="Arial"/>
        </w:rPr>
      </w:pPr>
      <w:r>
        <w:rPr>
          <w:rFonts w:ascii="Book Antiqua" w:hAnsi="Book Antiqua" w:cs="Arial"/>
        </w:rPr>
        <w:t>The appellants were not legally represented</w:t>
      </w:r>
      <w:r w:rsidR="00691FEA">
        <w:rPr>
          <w:rFonts w:ascii="Book Antiqua" w:hAnsi="Book Antiqua" w:cs="Arial"/>
        </w:rPr>
        <w:t xml:space="preserve"> and there was no appellants’ bundle. The adult appellants appeared at the hearing, assisted by the husband’s brother. They told me that their legal representatives had ceased to act, having been closed down by the solicitors’ regulatory authority. I was satisfied that they had had ample time to instruct alternative representation. In any event, no application for an adjournment was made.</w:t>
      </w:r>
    </w:p>
    <w:p w14:paraId="58D54398" w14:textId="77777777" w:rsidR="00691FEA" w:rsidRDefault="00691FEA" w:rsidP="008F0F55">
      <w:pPr>
        <w:numPr>
          <w:ilvl w:val="0"/>
          <w:numId w:val="3"/>
        </w:numPr>
        <w:spacing w:before="240"/>
        <w:jc w:val="both"/>
        <w:rPr>
          <w:rFonts w:ascii="Book Antiqua" w:hAnsi="Book Antiqua" w:cs="Arial"/>
        </w:rPr>
      </w:pPr>
      <w:r>
        <w:rPr>
          <w:rFonts w:ascii="Book Antiqua" w:hAnsi="Book Antiqua" w:cs="Arial"/>
        </w:rPr>
        <w:t xml:space="preserve">At the outset of the hearing the appellants sought to introduce new evidence, which I declined to consider as the task before the tribunal was to determine whether on the evidence before the First-tier Tribunal there was any material error of law such that the decision should be set aside and remade. </w:t>
      </w:r>
    </w:p>
    <w:p w14:paraId="40E076AC" w14:textId="28B0D773" w:rsidR="00691FEA" w:rsidRDefault="00691FEA" w:rsidP="008F0F55">
      <w:pPr>
        <w:numPr>
          <w:ilvl w:val="0"/>
          <w:numId w:val="3"/>
        </w:numPr>
        <w:spacing w:before="240"/>
        <w:jc w:val="both"/>
        <w:rPr>
          <w:rFonts w:ascii="Book Antiqua" w:hAnsi="Book Antiqua" w:cs="Arial"/>
        </w:rPr>
      </w:pPr>
      <w:r>
        <w:rPr>
          <w:rFonts w:ascii="Book Antiqua" w:hAnsi="Book Antiqua" w:cs="Arial"/>
        </w:rPr>
        <w:t xml:space="preserve">However, it was explained to me that the new evidence related to the minor appellant having recently been granted British citizenship following a stateless person application. I advised the appellants that whilst I cannot consider that evidence at this stage, it may be that they would be best advised to make a new application. It will be a matter for the Secretary of State to determine whether the new evidence justifies a different decision that made in 2016 refusing Leave to Remain. </w:t>
      </w:r>
    </w:p>
    <w:p w14:paraId="2B293736" w14:textId="77777777" w:rsidR="008F0F55" w:rsidRPr="003E7F7B" w:rsidRDefault="00F81D1E" w:rsidP="008F0F55">
      <w:pPr>
        <w:spacing w:before="240" w:after="100" w:afterAutospacing="1"/>
        <w:jc w:val="both"/>
        <w:rPr>
          <w:rFonts w:ascii="Book Antiqua" w:hAnsi="Book Antiqua" w:cs="Arial"/>
          <w:i/>
        </w:rPr>
      </w:pPr>
      <w:r w:rsidRPr="003E7F7B">
        <w:rPr>
          <w:rFonts w:ascii="Book Antiqua" w:hAnsi="Book Antiqua" w:cs="Arial"/>
          <w:i/>
        </w:rPr>
        <w:t>Error of Law</w:t>
      </w:r>
    </w:p>
    <w:p w14:paraId="78049AE8" w14:textId="77777777" w:rsidR="00397885" w:rsidRDefault="00397885" w:rsidP="008F0F55">
      <w:pPr>
        <w:numPr>
          <w:ilvl w:val="0"/>
          <w:numId w:val="3"/>
        </w:numPr>
        <w:spacing w:before="240"/>
        <w:jc w:val="both"/>
        <w:rPr>
          <w:rFonts w:ascii="Book Antiqua" w:hAnsi="Book Antiqua" w:cs="Arial"/>
        </w:rPr>
      </w:pPr>
      <w:r>
        <w:rPr>
          <w:rFonts w:ascii="Book Antiqua" w:hAnsi="Book Antiqua" w:cs="Arial"/>
        </w:rPr>
        <w:t xml:space="preserve">For the reasons summarised below I found no material </w:t>
      </w:r>
      <w:r w:rsidR="00F81D1E">
        <w:rPr>
          <w:rFonts w:ascii="Book Antiqua" w:hAnsi="Book Antiqua" w:cs="Arial"/>
        </w:rPr>
        <w:t xml:space="preserve">error of law in the making of the decision of the First-tier Tribunal such </w:t>
      </w:r>
      <w:r>
        <w:rPr>
          <w:rFonts w:ascii="Book Antiqua" w:hAnsi="Book Antiqua" w:cs="Arial"/>
        </w:rPr>
        <w:t>as to require the decision to be set aside.</w:t>
      </w:r>
    </w:p>
    <w:p w14:paraId="6737D7A0" w14:textId="4867246E" w:rsidR="008F0F55" w:rsidRDefault="00D0484E" w:rsidP="008F0F55">
      <w:pPr>
        <w:numPr>
          <w:ilvl w:val="0"/>
          <w:numId w:val="3"/>
        </w:numPr>
        <w:spacing w:before="240"/>
        <w:jc w:val="both"/>
        <w:rPr>
          <w:rFonts w:ascii="Book Antiqua" w:hAnsi="Book Antiqua" w:cs="Arial"/>
        </w:rPr>
      </w:pPr>
      <w:r>
        <w:rPr>
          <w:rFonts w:ascii="Book Antiqua" w:hAnsi="Book Antiqua" w:cs="Arial"/>
        </w:rPr>
        <w:t>Permission to appeal to the Upper Tribunal was granted by Judge Keane on the basis that at the time of the hearing the minor appellant was 8 years and 9 months old and that it was arguable that the judge “did not accord adequate weight to the lengthy continuous residence and to the development of societal, cultural and educational ties which in fact the judge found to be established. Had the judge accorded adequate weight to such considerations the judge arguably might have found that it would not be reasonable to expect (the minor appellant) to leave the UK and such a finding might potentially have borne most materially on the judge’s assessment of Article 8 outside the Immigration Rules.”</w:t>
      </w:r>
    </w:p>
    <w:p w14:paraId="4BEB27A3" w14:textId="466E1CB0" w:rsidR="00354242" w:rsidRDefault="00354242" w:rsidP="00354242">
      <w:pPr>
        <w:numPr>
          <w:ilvl w:val="0"/>
          <w:numId w:val="3"/>
        </w:numPr>
        <w:spacing w:before="240"/>
        <w:jc w:val="both"/>
        <w:rPr>
          <w:rFonts w:ascii="Book Antiqua" w:hAnsi="Book Antiqua" w:cs="Arial"/>
        </w:rPr>
      </w:pPr>
      <w:r>
        <w:rPr>
          <w:rFonts w:ascii="Book Antiqua" w:hAnsi="Book Antiqua" w:cs="Arial"/>
        </w:rPr>
        <w:t xml:space="preserve">It is clear from the decision that the judge considered the relevant Rules and did not find there to be very significant obstacles to integration in India, despite the absence of some 16 years. Cogent reasoning was provided for that and for the findings </w:t>
      </w:r>
      <w:r w:rsidR="006728AD">
        <w:rPr>
          <w:rFonts w:ascii="Book Antiqua" w:hAnsi="Book Antiqua" w:cs="Arial"/>
        </w:rPr>
        <w:t>in consideration of the circumstances outside the Rules pursuant to article 8 ECHR</w:t>
      </w:r>
      <w:r w:rsidR="00DC1134">
        <w:rPr>
          <w:rFonts w:ascii="Book Antiqua" w:hAnsi="Book Antiqua" w:cs="Arial"/>
        </w:rPr>
        <w:t xml:space="preserve">, both in relation to the claim of family life with the husband’s brother and generally. </w:t>
      </w:r>
    </w:p>
    <w:p w14:paraId="094F64B2" w14:textId="0A349652" w:rsidR="00DC1134" w:rsidRDefault="00DC1134" w:rsidP="00354242">
      <w:pPr>
        <w:numPr>
          <w:ilvl w:val="0"/>
          <w:numId w:val="3"/>
        </w:numPr>
        <w:spacing w:before="240"/>
        <w:jc w:val="both"/>
        <w:rPr>
          <w:rFonts w:ascii="Book Antiqua" w:hAnsi="Book Antiqua" w:cs="Arial"/>
        </w:rPr>
      </w:pPr>
      <w:r>
        <w:rPr>
          <w:rFonts w:ascii="Book Antiqua" w:hAnsi="Book Antiqua" w:cs="Arial"/>
        </w:rPr>
        <w:t>The crucial issue was the consideration of the minor appellant, given the length of his residence in the UK, then approaching 9 years. Whilst the judge might have provided a more formulaic approach, spelling out in more detai</w:t>
      </w:r>
      <w:r w:rsidR="007A7C86">
        <w:rPr>
          <w:rFonts w:ascii="Book Antiqua" w:hAnsi="Book Antiqua" w:cs="Arial"/>
        </w:rPr>
        <w:t>l</w:t>
      </w:r>
      <w:r>
        <w:rPr>
          <w:rFonts w:ascii="Book Antiqua" w:hAnsi="Book Antiqua" w:cs="Arial"/>
        </w:rPr>
        <w:t xml:space="preserve"> the consideration of 276ADE and section 117B of the Nationality, Immigration and Asylum Act 2002, as well </w:t>
      </w:r>
      <w:proofErr w:type="gramStart"/>
      <w:r>
        <w:rPr>
          <w:rFonts w:ascii="Book Antiqua" w:hAnsi="Book Antiqua" w:cs="Arial"/>
        </w:rPr>
        <w:t>as  Section</w:t>
      </w:r>
      <w:proofErr w:type="gramEnd"/>
      <w:r>
        <w:rPr>
          <w:rFonts w:ascii="Book Antiqua" w:hAnsi="Book Antiqua" w:cs="Arial"/>
        </w:rPr>
        <w:t xml:space="preserve"> 55 of the Borders, Citizenship and Immigration Act 2009, </w:t>
      </w:r>
      <w:r w:rsidR="007A7C86">
        <w:rPr>
          <w:rFonts w:ascii="Book Antiqua" w:hAnsi="Book Antiqua" w:cs="Arial"/>
        </w:rPr>
        <w:t xml:space="preserve">a reading of the decision reveals that all relevant considerations were taken into account in a </w:t>
      </w:r>
      <w:r w:rsidR="007A7C86">
        <w:rPr>
          <w:rFonts w:ascii="Book Antiqua" w:hAnsi="Book Antiqua" w:cs="Arial"/>
        </w:rPr>
        <w:lastRenderedPageBreak/>
        <w:t>reasonableness assessment and ultimately the proportionality asse</w:t>
      </w:r>
      <w:bookmarkStart w:id="0" w:name="_GoBack"/>
      <w:bookmarkEnd w:id="0"/>
      <w:r w:rsidR="007A7C86">
        <w:rPr>
          <w:rFonts w:ascii="Book Antiqua" w:hAnsi="Book Antiqua" w:cs="Arial"/>
        </w:rPr>
        <w:t>ssment.</w:t>
      </w:r>
      <w:r w:rsidR="00761942">
        <w:rPr>
          <w:rFonts w:ascii="Book Antiqua" w:hAnsi="Book Antiqua" w:cs="Arial"/>
        </w:rPr>
        <w:t xml:space="preserve"> The conclusion that it would be reasonable to expect the minor appellant to accompany his India parents with no right of residence in the UK back to India</w:t>
      </w:r>
      <w:r w:rsidR="00FE5583">
        <w:rPr>
          <w:rFonts w:ascii="Book Antiqua" w:hAnsi="Book Antiqua" w:cs="Arial"/>
        </w:rPr>
        <w:t xml:space="preserve">, and that this would be in his best interests, is one open to the judge on the evidence and fully justified by the reasoning provided. </w:t>
      </w:r>
    </w:p>
    <w:p w14:paraId="37ED71AB" w14:textId="0FA74946" w:rsidR="00D0484E" w:rsidRDefault="003D4739" w:rsidP="008F0F55">
      <w:pPr>
        <w:numPr>
          <w:ilvl w:val="0"/>
          <w:numId w:val="3"/>
        </w:numPr>
        <w:spacing w:before="240"/>
        <w:jc w:val="both"/>
        <w:rPr>
          <w:rFonts w:ascii="Book Antiqua" w:hAnsi="Book Antiqua" w:cs="Arial"/>
        </w:rPr>
      </w:pPr>
      <w:r>
        <w:rPr>
          <w:rFonts w:ascii="Book Antiqua" w:hAnsi="Book Antiqua" w:cs="Arial"/>
        </w:rPr>
        <w:t xml:space="preserve">The First-tier Tribunal Judge </w:t>
      </w:r>
      <w:r w:rsidR="00FE5583">
        <w:rPr>
          <w:rFonts w:ascii="Book Antiqua" w:hAnsi="Book Antiqua" w:cs="Arial"/>
        </w:rPr>
        <w:t xml:space="preserve">also </w:t>
      </w:r>
      <w:r>
        <w:rPr>
          <w:rFonts w:ascii="Book Antiqua" w:hAnsi="Book Antiqua" w:cs="Arial"/>
        </w:rPr>
        <w:t xml:space="preserve">rejected the stateless argument at [21], giving cogent reasoning that even if the minor appellant is not at the moment an Indian national, he could easily obtain that nationality. </w:t>
      </w:r>
    </w:p>
    <w:p w14:paraId="1FB2C904" w14:textId="2A2F6B59" w:rsidR="00FE5583" w:rsidRDefault="00FE5583" w:rsidP="008F0F55">
      <w:pPr>
        <w:numPr>
          <w:ilvl w:val="0"/>
          <w:numId w:val="3"/>
        </w:numPr>
        <w:spacing w:before="240"/>
        <w:jc w:val="both"/>
        <w:rPr>
          <w:rFonts w:ascii="Book Antiqua" w:hAnsi="Book Antiqua" w:cs="Arial"/>
        </w:rPr>
      </w:pPr>
      <w:r>
        <w:rPr>
          <w:rFonts w:ascii="Book Antiqua" w:hAnsi="Book Antiqua" w:cs="Arial"/>
        </w:rPr>
        <w:t xml:space="preserve">In the circumstances, no material error of law is disclosed in the grounds which in essence amount to a disagreement with the decision. Whilst a different judge may have reached a different conclusion, it cannot be said that this decision was irrational or perverse. </w:t>
      </w:r>
    </w:p>
    <w:p w14:paraId="73958CA2" w14:textId="21718137" w:rsidR="008F0F55" w:rsidRPr="003E7F7B" w:rsidRDefault="003E7F7B" w:rsidP="008F0F55">
      <w:pPr>
        <w:tabs>
          <w:tab w:val="left" w:pos="2520"/>
        </w:tabs>
        <w:spacing w:before="240" w:after="100" w:afterAutospacing="1"/>
        <w:jc w:val="both"/>
        <w:rPr>
          <w:rFonts w:ascii="Book Antiqua" w:hAnsi="Book Antiqua" w:cs="Arial"/>
          <w:i/>
        </w:rPr>
      </w:pPr>
      <w:r w:rsidRPr="003E7F7B">
        <w:rPr>
          <w:rFonts w:ascii="Book Antiqua" w:hAnsi="Book Antiqua" w:cs="Arial"/>
          <w:i/>
        </w:rPr>
        <w:t>Decision</w:t>
      </w:r>
    </w:p>
    <w:p w14:paraId="4B412155" w14:textId="255F121D"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7284A635" w14:textId="0DD000E1" w:rsidR="00FC346C" w:rsidRPr="003A0DFB" w:rsidRDefault="00F81D1E" w:rsidP="00FE5583">
      <w:pPr>
        <w:tabs>
          <w:tab w:val="left" w:pos="2520"/>
        </w:tabs>
        <w:spacing w:before="240" w:after="100" w:afterAutospacing="1"/>
        <w:jc w:val="both"/>
        <w:rPr>
          <w:rFonts w:ascii="Book Antiqua" w:hAnsi="Book Antiqua" w:cs="Arial"/>
        </w:rPr>
      </w:pPr>
      <w:r w:rsidRPr="003A0DFB">
        <w:rPr>
          <w:rFonts w:ascii="Book Antiqua" w:hAnsi="Book Antiqua" w:cs="Arial"/>
        </w:rPr>
        <w:tab/>
        <w:t>I do not set aside the decision</w:t>
      </w:r>
      <w:r>
        <w:rPr>
          <w:rFonts w:ascii="Book Antiqua" w:hAnsi="Book Antiqua" w:cs="Arial"/>
        </w:rPr>
        <w:t>.</w:t>
      </w:r>
      <w:r w:rsidRPr="003A0DFB">
        <w:rPr>
          <w:rFonts w:ascii="Book Antiqua" w:hAnsi="Book Antiqua" w:cs="Arial"/>
        </w:rPr>
        <w:t xml:space="preserve"> </w:t>
      </w:r>
      <w:r w:rsidR="00FC346C">
        <w:rPr>
          <w:rFonts w:ascii="Book Antiqua" w:hAnsi="Book Antiqua" w:cs="Arial"/>
        </w:rPr>
        <w:t xml:space="preserve"> </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13910F" w14:textId="77777777" w:rsidR="008F0F55" w:rsidRPr="006E1B05" w:rsidRDefault="00C959E9" w:rsidP="008F0F55">
      <w:pPr>
        <w:tabs>
          <w:tab w:val="left" w:pos="2268"/>
          <w:tab w:val="left" w:pos="4536"/>
          <w:tab w:val="left" w:pos="5103"/>
        </w:tabs>
        <w:rPr>
          <w:rFonts w:ascii="Book Antiqua" w:hAnsi="Book Antiqua" w:cs="Arial"/>
          <w:b/>
          <w:bCs/>
        </w:rPr>
      </w:pP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91AFAE0" w14:textId="77777777" w:rsidR="008F0F55" w:rsidRPr="006E1B05" w:rsidRDefault="00C959E9" w:rsidP="008F0F55">
      <w:pPr>
        <w:tabs>
          <w:tab w:val="left" w:pos="2268"/>
          <w:tab w:val="left" w:pos="5103"/>
        </w:tabs>
        <w:rPr>
          <w:rFonts w:ascii="Book Antiqua" w:hAnsi="Book Antiqua" w:cs="Arial"/>
          <w:b/>
          <w:bCs/>
        </w:rPr>
      </w:pPr>
    </w:p>
    <w:p w14:paraId="4B176394" w14:textId="7AADD715"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5B53F670" w14:textId="7A01D85D" w:rsidR="008F0F55" w:rsidRDefault="00C959E9" w:rsidP="008F0F55">
      <w:pPr>
        <w:tabs>
          <w:tab w:val="left" w:pos="2520"/>
        </w:tabs>
        <w:jc w:val="both"/>
        <w:rPr>
          <w:rFonts w:ascii="Book Antiqua" w:hAnsi="Book Antiqua" w:cs="Arial"/>
        </w:rPr>
      </w:pPr>
    </w:p>
    <w:p w14:paraId="33D65D33" w14:textId="77777777" w:rsidR="002237F1" w:rsidRPr="0083585F" w:rsidRDefault="002237F1" w:rsidP="008F0F55">
      <w:pPr>
        <w:tabs>
          <w:tab w:val="left" w:pos="2520"/>
        </w:tabs>
        <w:jc w:val="both"/>
        <w:rPr>
          <w:rFonts w:ascii="Book Antiqua" w:hAnsi="Book Antiqua" w:cs="Arial"/>
        </w:rPr>
      </w:pPr>
    </w:p>
    <w:p w14:paraId="3F220014" w14:textId="77777777" w:rsidR="008F0F55" w:rsidRPr="0083585F" w:rsidRDefault="00C959E9" w:rsidP="008F0F55">
      <w:pPr>
        <w:tabs>
          <w:tab w:val="left" w:pos="2520"/>
        </w:tabs>
        <w:jc w:val="both"/>
        <w:rPr>
          <w:rFonts w:ascii="Book Antiqua" w:hAnsi="Book Antiqua" w:cs="Arial"/>
        </w:rPr>
      </w:pPr>
    </w:p>
    <w:p w14:paraId="02B7F256"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65D8842A" w14:textId="2584A005"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6A03BF77" w:rsidR="008F0F55"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 xml:space="preserve">Given the circumstances, I </w:t>
      </w:r>
      <w:r w:rsidR="00EC191C">
        <w:rPr>
          <w:rFonts w:ascii="Book Antiqua" w:hAnsi="Book Antiqua"/>
        </w:rPr>
        <w:t>continue the</w:t>
      </w:r>
      <w:r>
        <w:rPr>
          <w:rFonts w:ascii="Book Antiqua" w:hAnsi="Book Antiqua"/>
        </w:rPr>
        <w:t xml:space="preserve"> anonymity order.</w:t>
      </w:r>
    </w:p>
    <w:p w14:paraId="2CD523C1" w14:textId="20CBA6CA" w:rsidR="00EC191C" w:rsidRDefault="00EC191C" w:rsidP="008F0F55">
      <w:pPr>
        <w:tabs>
          <w:tab w:val="left" w:pos="0"/>
          <w:tab w:val="left" w:pos="360"/>
        </w:tabs>
        <w:overflowPunct w:val="0"/>
        <w:autoSpaceDE w:val="0"/>
        <w:autoSpaceDN w:val="0"/>
        <w:adjustRightInd w:val="0"/>
        <w:spacing w:after="120"/>
        <w:jc w:val="both"/>
        <w:textAlignment w:val="baseline"/>
        <w:rPr>
          <w:rFonts w:ascii="Book Antiqua" w:hAnsi="Book Antiqua"/>
        </w:rPr>
      </w:pPr>
    </w:p>
    <w:p w14:paraId="3FCA64D5" w14:textId="28B934EA" w:rsidR="002237F1" w:rsidRDefault="002237F1" w:rsidP="008F0F55">
      <w:pPr>
        <w:tabs>
          <w:tab w:val="left" w:pos="0"/>
          <w:tab w:val="left" w:pos="360"/>
        </w:tabs>
        <w:overflowPunct w:val="0"/>
        <w:autoSpaceDE w:val="0"/>
        <w:autoSpaceDN w:val="0"/>
        <w:adjustRightInd w:val="0"/>
        <w:spacing w:after="120"/>
        <w:jc w:val="both"/>
        <w:textAlignment w:val="baseline"/>
        <w:rPr>
          <w:rFonts w:ascii="Book Antiqua" w:hAnsi="Book Antiqua"/>
        </w:rPr>
      </w:pPr>
    </w:p>
    <w:p w14:paraId="642FC0D5" w14:textId="2A5E9868" w:rsidR="002237F1" w:rsidRDefault="002237F1" w:rsidP="008F0F55">
      <w:pPr>
        <w:tabs>
          <w:tab w:val="left" w:pos="0"/>
          <w:tab w:val="left" w:pos="360"/>
        </w:tabs>
        <w:overflowPunct w:val="0"/>
        <w:autoSpaceDE w:val="0"/>
        <w:autoSpaceDN w:val="0"/>
        <w:adjustRightInd w:val="0"/>
        <w:spacing w:after="120"/>
        <w:jc w:val="both"/>
        <w:textAlignment w:val="baseline"/>
        <w:rPr>
          <w:rFonts w:ascii="Book Antiqua" w:hAnsi="Book Antiqua"/>
        </w:rPr>
      </w:pPr>
    </w:p>
    <w:p w14:paraId="15C89352"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AC860D1"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04371C54"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07C96FB2"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16C1E79B" w14:textId="40E3CDBD"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Reasons: </w:t>
      </w:r>
      <w:r w:rsidR="00EC191C">
        <w:rPr>
          <w:rFonts w:ascii="Book Antiqua" w:hAnsi="Book Antiqua" w:cs="Arial"/>
        </w:rPr>
        <w:t xml:space="preserve">The appeal has been dismissed. </w:t>
      </w:r>
    </w:p>
    <w:p w14:paraId="27DED33E" w14:textId="77777777" w:rsidR="008F0F55" w:rsidRPr="00F146AE" w:rsidRDefault="00C959E9" w:rsidP="008F0F55">
      <w:pPr>
        <w:tabs>
          <w:tab w:val="left" w:pos="2520"/>
        </w:tabs>
        <w:jc w:val="both"/>
        <w:rPr>
          <w:rFonts w:ascii="Book Antiqua" w:hAnsi="Book Antiqua" w:cs="Arial"/>
        </w:rPr>
      </w:pP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C805085" w14:textId="77777777" w:rsidR="008F0F55" w:rsidRPr="006E1B05" w:rsidRDefault="00C959E9" w:rsidP="008F0F55">
      <w:pPr>
        <w:tabs>
          <w:tab w:val="left" w:pos="2268"/>
          <w:tab w:val="left" w:pos="4536"/>
          <w:tab w:val="left" w:pos="5103"/>
        </w:tabs>
        <w:rPr>
          <w:rFonts w:ascii="Book Antiqua" w:hAnsi="Book Antiqua" w:cs="Arial"/>
          <w:b/>
          <w:bCs/>
        </w:rPr>
      </w:pP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1F2ABC0" w14:textId="77777777" w:rsidR="008F0F55" w:rsidRPr="006E1B05" w:rsidRDefault="00C959E9" w:rsidP="008F0F55">
      <w:pPr>
        <w:tabs>
          <w:tab w:val="left" w:pos="2268"/>
          <w:tab w:val="left" w:pos="5103"/>
        </w:tabs>
        <w:rPr>
          <w:rFonts w:ascii="Book Antiqua" w:hAnsi="Book Antiqua" w:cs="Arial"/>
          <w:b/>
          <w:bCs/>
        </w:rPr>
      </w:pPr>
    </w:p>
    <w:p w14:paraId="35B3CC3A" w14:textId="607C07BA"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4DAEA0FD" w14:textId="77777777" w:rsidR="008F0F55" w:rsidRPr="00F146AE" w:rsidRDefault="00C959E9" w:rsidP="008F0F55">
      <w:pPr>
        <w:tabs>
          <w:tab w:val="left" w:pos="2520"/>
        </w:tabs>
        <w:jc w:val="both"/>
        <w:rPr>
          <w:rFonts w:ascii="Book Antiqua" w:hAnsi="Book Antiqua" w:cs="Arial"/>
        </w:rPr>
      </w:pPr>
    </w:p>
    <w:p w14:paraId="3F62F489" w14:textId="3180A0C4" w:rsidR="00BF7AD5" w:rsidRDefault="00BF7AD5">
      <w:pPr>
        <w:rPr>
          <w:rFonts w:ascii="Book Antiqua" w:hAnsi="Book Antiqua" w:cs="Arial"/>
        </w:rPr>
      </w:pPr>
    </w:p>
    <w:p w14:paraId="7EDB8098" w14:textId="77777777" w:rsidR="00BF7AD5" w:rsidRPr="00BF7AD5" w:rsidRDefault="00BF7AD5" w:rsidP="00BF7AD5">
      <w:pPr>
        <w:rPr>
          <w:rFonts w:ascii="Book Antiqua" w:hAnsi="Book Antiqua" w:cs="Arial"/>
        </w:rPr>
      </w:pPr>
    </w:p>
    <w:p w14:paraId="708334B3" w14:textId="77777777" w:rsidR="00BF7AD5" w:rsidRPr="00BF7AD5" w:rsidRDefault="00BF7AD5" w:rsidP="00BF7AD5">
      <w:pPr>
        <w:rPr>
          <w:rFonts w:ascii="Book Antiqua" w:hAnsi="Book Antiqua" w:cs="Arial"/>
        </w:rPr>
      </w:pPr>
    </w:p>
    <w:p w14:paraId="6152CF3F" w14:textId="77777777" w:rsidR="00BF7AD5" w:rsidRPr="00BF7AD5" w:rsidRDefault="00BF7AD5" w:rsidP="00BF7AD5">
      <w:pPr>
        <w:rPr>
          <w:rFonts w:ascii="Book Antiqua" w:hAnsi="Book Antiqua" w:cs="Arial"/>
        </w:rPr>
      </w:pPr>
    </w:p>
    <w:p w14:paraId="41DDFA2B" w14:textId="77777777" w:rsidR="00BF7AD5" w:rsidRPr="00BF7AD5" w:rsidRDefault="00BF7AD5" w:rsidP="00BF7AD5">
      <w:pPr>
        <w:rPr>
          <w:rFonts w:ascii="Book Antiqua" w:hAnsi="Book Antiqua" w:cs="Arial"/>
        </w:rPr>
      </w:pPr>
    </w:p>
    <w:p w14:paraId="2EA44EB4" w14:textId="3E227596" w:rsidR="00BF7AD5" w:rsidRDefault="00BF7AD5">
      <w:pPr>
        <w:rPr>
          <w:rFonts w:ascii="Book Antiqua" w:hAnsi="Book Antiqua" w:cs="Arial"/>
        </w:rPr>
      </w:pPr>
    </w:p>
    <w:p w14:paraId="0A87A3D4" w14:textId="34B769C2" w:rsidR="008F0F55" w:rsidRDefault="00BF7AD5" w:rsidP="00BF7AD5">
      <w:pPr>
        <w:tabs>
          <w:tab w:val="left" w:pos="2293"/>
        </w:tabs>
        <w:rPr>
          <w:rFonts w:ascii="Book Antiqua" w:hAnsi="Book Antiqua" w:cs="Arial"/>
        </w:rPr>
      </w:pPr>
      <w:r>
        <w:rPr>
          <w:rFonts w:ascii="Book Antiqua" w:hAnsi="Book Antiqua" w:cs="Arial"/>
        </w:rPr>
        <w:tab/>
      </w:r>
    </w:p>
    <w:sectPr w:rsidR="008F0F55"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31BE8" w14:textId="77777777" w:rsidR="00D92DD3" w:rsidRDefault="00D92DD3">
      <w:r>
        <w:separator/>
      </w:r>
    </w:p>
  </w:endnote>
  <w:endnote w:type="continuationSeparator" w:id="0">
    <w:p w14:paraId="3F543C6C" w14:textId="77777777" w:rsidR="00D92DD3" w:rsidRDefault="00D9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473DE875" w:rsidR="008F0F55" w:rsidRPr="00CC30B3" w:rsidRDefault="00F81D1E" w:rsidP="008F0F55">
    <w:pPr>
      <w:pStyle w:val="Footer"/>
      <w:jc w:val="center"/>
      <w:rPr>
        <w:rFonts w:ascii="Book Antiqua" w:hAnsi="Book Antiqua" w:cs="Arial"/>
        <w:sz w:val="20"/>
        <w:szCs w:val="20"/>
      </w:rPr>
    </w:pPr>
    <w:r w:rsidRPr="00CC30B3">
      <w:rPr>
        <w:rStyle w:val="PageNumber"/>
        <w:rFonts w:ascii="Book Antiqua" w:hAnsi="Book Antiqua" w:cs="Arial"/>
        <w:sz w:val="20"/>
        <w:szCs w:val="20"/>
      </w:rPr>
      <w:fldChar w:fldCharType="begin"/>
    </w:r>
    <w:r w:rsidRPr="00CC30B3">
      <w:rPr>
        <w:rStyle w:val="PageNumber"/>
        <w:rFonts w:ascii="Book Antiqua" w:hAnsi="Book Antiqua" w:cs="Arial"/>
        <w:sz w:val="20"/>
        <w:szCs w:val="20"/>
      </w:rPr>
      <w:instrText xml:space="preserve"> PAGE </w:instrText>
    </w:r>
    <w:r w:rsidRPr="00CC30B3">
      <w:rPr>
        <w:rStyle w:val="PageNumber"/>
        <w:rFonts w:ascii="Book Antiqua" w:hAnsi="Book Antiqua" w:cs="Arial"/>
        <w:sz w:val="20"/>
        <w:szCs w:val="20"/>
      </w:rPr>
      <w:fldChar w:fldCharType="separate"/>
    </w:r>
    <w:r w:rsidR="00C959E9">
      <w:rPr>
        <w:rStyle w:val="PageNumber"/>
        <w:rFonts w:ascii="Book Antiqua" w:hAnsi="Book Antiqua" w:cs="Arial"/>
        <w:noProof/>
        <w:sz w:val="20"/>
        <w:szCs w:val="20"/>
      </w:rPr>
      <w:t>4</w:t>
    </w:r>
    <w:r w:rsidRPr="00CC30B3">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1846E" w14:textId="77777777" w:rsidR="00D92DD3" w:rsidRDefault="00D92DD3">
      <w:r>
        <w:separator/>
      </w:r>
    </w:p>
  </w:footnote>
  <w:footnote w:type="continuationSeparator" w:id="0">
    <w:p w14:paraId="1D2D8A7E" w14:textId="77777777" w:rsidR="00D92DD3" w:rsidRDefault="00D92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E799" w14:textId="77777777" w:rsidR="00951988"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Appeal Number</w:t>
    </w:r>
    <w:r w:rsidR="006D35EB">
      <w:rPr>
        <w:rFonts w:ascii="Book Antiqua" w:hAnsi="Book Antiqua" w:cs="Arial"/>
        <w:sz w:val="20"/>
        <w:szCs w:val="16"/>
      </w:rPr>
      <w:t xml:space="preserve">s: </w:t>
    </w:r>
    <w:r w:rsidR="00951988">
      <w:rPr>
        <w:rFonts w:ascii="Book Antiqua" w:hAnsi="Book Antiqua" w:cs="Arial"/>
        <w:sz w:val="20"/>
        <w:szCs w:val="16"/>
      </w:rPr>
      <w:t>HU/21764/2016</w:t>
    </w:r>
  </w:p>
  <w:p w14:paraId="0B8982AD" w14:textId="77777777" w:rsidR="00951988" w:rsidRDefault="00951988" w:rsidP="008F0F55">
    <w:pPr>
      <w:pStyle w:val="Header"/>
      <w:tabs>
        <w:tab w:val="clear" w:pos="4153"/>
        <w:tab w:val="clear" w:pos="8306"/>
        <w:tab w:val="right" w:pos="9639"/>
      </w:tabs>
      <w:jc w:val="right"/>
      <w:rPr>
        <w:rFonts w:ascii="Book Antiqua" w:hAnsi="Book Antiqua" w:cs="Arial"/>
        <w:sz w:val="20"/>
        <w:szCs w:val="16"/>
      </w:rPr>
    </w:pPr>
    <w:r>
      <w:rPr>
        <w:rFonts w:ascii="Book Antiqua" w:hAnsi="Book Antiqua" w:cs="Arial"/>
        <w:sz w:val="20"/>
        <w:szCs w:val="16"/>
      </w:rPr>
      <w:t xml:space="preserve">HU/21769/2016 </w:t>
    </w:r>
  </w:p>
  <w:p w14:paraId="1DCCC239" w14:textId="7ED9FB45" w:rsidR="008F0F55" w:rsidRDefault="006D35EB" w:rsidP="008F0F55">
    <w:pPr>
      <w:pStyle w:val="Header"/>
      <w:tabs>
        <w:tab w:val="clear" w:pos="4153"/>
        <w:tab w:val="clear" w:pos="8306"/>
        <w:tab w:val="right" w:pos="9639"/>
      </w:tabs>
      <w:jc w:val="right"/>
      <w:rPr>
        <w:rFonts w:ascii="Book Antiqua" w:hAnsi="Book Antiqua" w:cs="Arial"/>
        <w:sz w:val="20"/>
        <w:szCs w:val="16"/>
      </w:rPr>
    </w:pPr>
    <w:r>
      <w:rPr>
        <w:rFonts w:ascii="Book Antiqua" w:hAnsi="Book Antiqua" w:cs="Arial"/>
        <w:sz w:val="20"/>
        <w:szCs w:val="16"/>
      </w:rPr>
      <w:t xml:space="preserve"> HU/21770/2016</w:t>
    </w:r>
  </w:p>
  <w:p w14:paraId="2AD857EF" w14:textId="77777777" w:rsidR="006D35EB" w:rsidRPr="00EF136D" w:rsidRDefault="006D35EB" w:rsidP="006D35EB">
    <w:pPr>
      <w:pStyle w:val="Header"/>
      <w:tabs>
        <w:tab w:val="clear" w:pos="4153"/>
        <w:tab w:val="clear" w:pos="8306"/>
        <w:tab w:val="right" w:pos="9639"/>
      </w:tabs>
      <w:jc w:val="center"/>
      <w:rPr>
        <w:rFonts w:ascii="Book Antiqua" w:hAnsi="Book Antiqua" w:cs="Arial"/>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747EA"/>
    <w:rsid w:val="000D531F"/>
    <w:rsid w:val="002237F1"/>
    <w:rsid w:val="00304CCE"/>
    <w:rsid w:val="00354242"/>
    <w:rsid w:val="00397885"/>
    <w:rsid w:val="003D4739"/>
    <w:rsid w:val="003E7F7B"/>
    <w:rsid w:val="00437C34"/>
    <w:rsid w:val="006728AD"/>
    <w:rsid w:val="006754E8"/>
    <w:rsid w:val="00691FEA"/>
    <w:rsid w:val="006D35EB"/>
    <w:rsid w:val="00761942"/>
    <w:rsid w:val="007A7C86"/>
    <w:rsid w:val="007B0A98"/>
    <w:rsid w:val="0082373D"/>
    <w:rsid w:val="00951988"/>
    <w:rsid w:val="009F09FF"/>
    <w:rsid w:val="00A868D3"/>
    <w:rsid w:val="00A87F50"/>
    <w:rsid w:val="00A9220D"/>
    <w:rsid w:val="00BA126F"/>
    <w:rsid w:val="00BC3671"/>
    <w:rsid w:val="00BF7AD5"/>
    <w:rsid w:val="00C959E9"/>
    <w:rsid w:val="00CC30B3"/>
    <w:rsid w:val="00D0484E"/>
    <w:rsid w:val="00D1687F"/>
    <w:rsid w:val="00D92DD3"/>
    <w:rsid w:val="00DC1134"/>
    <w:rsid w:val="00E366C9"/>
    <w:rsid w:val="00EC191C"/>
    <w:rsid w:val="00F03FCA"/>
    <w:rsid w:val="00F44C04"/>
    <w:rsid w:val="00F81D1E"/>
    <w:rsid w:val="00FC346C"/>
    <w:rsid w:val="00FE5583"/>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2018-08-10T13:32:00Z</dcterms:created>
  <dcterms:modified xsi:type="dcterms:W3CDTF">2018-08-10T13:32:00Z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