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6C396F" w:rsidP="008A6059">
      <w:pPr>
        <w:jc w:val="center"/>
        <w:rPr>
          <w:rFonts w:ascii="Book Antiqua" w:hAnsi="Book Antiqua" w:cs="Arial"/>
          <w:caps/>
          <w:color w:val="000000"/>
          <w:sz w:val="16"/>
          <w:szCs w:val="16"/>
        </w:rPr>
      </w:pPr>
      <w:r>
        <w:rPr>
          <w:noProof/>
        </w:rPr>
        <w:drawing>
          <wp:inline distT="0" distB="0" distL="0" distR="0" wp14:anchorId="7E534325" wp14:editId="5B43D335">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4C3D55"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4C3D55">
        <w:rPr>
          <w:rFonts w:ascii="Book Antiqua" w:hAnsi="Book Antiqua" w:cs="Arial"/>
          <w:b/>
          <w:color w:val="000000"/>
        </w:rPr>
        <w:t xml:space="preserve">   </w:t>
      </w:r>
      <w:proofErr w:type="gramEnd"/>
      <w:r w:rsidR="004C3D55">
        <w:rPr>
          <w:rFonts w:ascii="Book Antiqua" w:hAnsi="Book Antiqua" w:cs="Arial"/>
          <w:b/>
          <w:color w:val="000000"/>
        </w:rPr>
        <w:t xml:space="preserve">                 </w:t>
      </w:r>
      <w:r w:rsidR="00B3524D" w:rsidRPr="004C3D55">
        <w:rPr>
          <w:rFonts w:ascii="Book Antiqua" w:hAnsi="Book Antiqua" w:cs="Arial"/>
          <w:b/>
          <w:color w:val="000000"/>
        </w:rPr>
        <w:t>Appeal Number</w:t>
      </w:r>
      <w:r w:rsidR="00D53769" w:rsidRPr="004C3D55">
        <w:rPr>
          <w:rFonts w:ascii="Book Antiqua" w:hAnsi="Book Antiqua" w:cs="Arial"/>
          <w:b/>
          <w:color w:val="000000"/>
        </w:rPr>
        <w:t>:</w:t>
      </w:r>
      <w:r w:rsidR="00B3524D" w:rsidRPr="004C3D55">
        <w:rPr>
          <w:rFonts w:ascii="Book Antiqua" w:hAnsi="Book Antiqua" w:cs="Arial"/>
          <w:b/>
          <w:color w:val="000000"/>
        </w:rPr>
        <w:t xml:space="preserve"> </w:t>
      </w:r>
      <w:r w:rsidR="00881F0F" w:rsidRPr="004C3D55">
        <w:rPr>
          <w:rFonts w:ascii="Book Antiqua" w:hAnsi="Book Antiqua" w:cs="Arial"/>
          <w:b/>
          <w:caps/>
          <w:color w:val="000000"/>
        </w:rPr>
        <w:t>HU/21974/2016</w:t>
      </w: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W w:w="5000" w:type="pct"/>
        <w:tblLook w:val="01E0" w:firstRow="1" w:lastRow="1" w:firstColumn="1" w:lastColumn="1" w:noHBand="0" w:noVBand="0"/>
      </w:tblPr>
      <w:tblGrid>
        <w:gridCol w:w="4819"/>
        <w:gridCol w:w="4819"/>
      </w:tblGrid>
      <w:tr w:rsidR="00D22636" w:rsidRPr="001C2F1E" w:rsidTr="00DC64C1">
        <w:tc>
          <w:tcPr>
            <w:tcW w:w="2500" w:type="pct"/>
            <w:shd w:val="clear" w:color="auto" w:fill="auto"/>
          </w:tcPr>
          <w:p w:rsidR="00D22636" w:rsidRDefault="00D22636" w:rsidP="001C2F1E">
            <w:pPr>
              <w:jc w:val="both"/>
              <w:rPr>
                <w:rFonts w:ascii="Book Antiqua" w:hAnsi="Book Antiqua" w:cs="Arial"/>
                <w:b/>
              </w:rPr>
            </w:pPr>
            <w:r w:rsidRPr="001C2F1E">
              <w:rPr>
                <w:rFonts w:ascii="Book Antiqua" w:hAnsi="Book Antiqua" w:cs="Arial"/>
                <w:b/>
              </w:rPr>
              <w:t xml:space="preserve">Heard at </w:t>
            </w:r>
            <w:r w:rsidR="00881F0F">
              <w:rPr>
                <w:rFonts w:ascii="Book Antiqua" w:hAnsi="Book Antiqua" w:cs="Arial"/>
                <w:b/>
              </w:rPr>
              <w:t>Field House</w:t>
            </w:r>
          </w:p>
          <w:p w:rsidR="00385815" w:rsidRDefault="00385815" w:rsidP="00385815">
            <w:pPr>
              <w:jc w:val="both"/>
              <w:rPr>
                <w:rFonts w:ascii="Book Antiqua" w:hAnsi="Book Antiqua" w:cs="Arial"/>
                <w:b/>
              </w:rPr>
            </w:pPr>
            <w:r w:rsidRPr="001C2F1E">
              <w:rPr>
                <w:rFonts w:ascii="Book Antiqua" w:hAnsi="Book Antiqua" w:cs="Arial"/>
                <w:b/>
              </w:rPr>
              <w:t xml:space="preserve">On </w:t>
            </w:r>
            <w:r>
              <w:rPr>
                <w:rFonts w:ascii="Book Antiqua" w:hAnsi="Book Antiqua" w:cs="Arial"/>
                <w:b/>
              </w:rPr>
              <w:t>4 September 2018</w:t>
            </w:r>
          </w:p>
          <w:p w:rsidR="00881F0F" w:rsidRPr="001C2F1E" w:rsidRDefault="00385815" w:rsidP="001C2F1E">
            <w:pPr>
              <w:jc w:val="both"/>
              <w:rPr>
                <w:rFonts w:ascii="Book Antiqua" w:hAnsi="Book Antiqua" w:cs="Arial"/>
                <w:b/>
              </w:rPr>
            </w:pPr>
            <w:r>
              <w:rPr>
                <w:rFonts w:ascii="Book Antiqua" w:hAnsi="Book Antiqua" w:cs="Arial"/>
                <w:b/>
              </w:rPr>
              <w:t>Judgment given at hearing</w:t>
            </w:r>
          </w:p>
        </w:tc>
        <w:tc>
          <w:tcPr>
            <w:tcW w:w="2500" w:type="pct"/>
            <w:shd w:val="clear" w:color="auto" w:fill="auto"/>
          </w:tcPr>
          <w:p w:rsidR="00BC1D8D" w:rsidRDefault="004C3D55" w:rsidP="004C3D55">
            <w:pPr>
              <w:rPr>
                <w:rFonts w:ascii="Book Antiqua" w:hAnsi="Book Antiqua" w:cs="Arial"/>
                <w:b/>
                <w:color w:val="000000"/>
              </w:rPr>
            </w:pPr>
            <w:r>
              <w:rPr>
                <w:rFonts w:ascii="Book Antiqua" w:hAnsi="Book Antiqua" w:cs="Arial"/>
                <w:b/>
                <w:color w:val="000000"/>
              </w:rPr>
              <w:t xml:space="preserve">      </w:t>
            </w:r>
            <w:r w:rsidR="00D949B7" w:rsidRPr="001C2F1E">
              <w:rPr>
                <w:rFonts w:ascii="Book Antiqua" w:hAnsi="Book Antiqua" w:cs="Arial"/>
                <w:b/>
                <w:color w:val="000000"/>
              </w:rPr>
              <w:t>De</w:t>
            </w:r>
            <w:r w:rsidR="00385815">
              <w:rPr>
                <w:rFonts w:ascii="Book Antiqua" w:hAnsi="Book Antiqua" w:cs="Arial"/>
                <w:b/>
                <w:color w:val="000000"/>
              </w:rPr>
              <w:t>cision</w:t>
            </w:r>
            <w:r w:rsidR="00283659" w:rsidRPr="001C2F1E">
              <w:rPr>
                <w:rFonts w:ascii="Book Antiqua" w:hAnsi="Book Antiqua" w:cs="Arial"/>
                <w:b/>
                <w:color w:val="000000"/>
              </w:rPr>
              <w:t xml:space="preserve"> Promulgated</w:t>
            </w:r>
          </w:p>
          <w:p w:rsidR="00BC1D8D" w:rsidRDefault="004C3D55" w:rsidP="004C3D55">
            <w:pPr>
              <w:rPr>
                <w:rFonts w:ascii="Book Antiqua" w:hAnsi="Book Antiqua" w:cs="Arial"/>
                <w:b/>
              </w:rPr>
            </w:pPr>
            <w:r>
              <w:rPr>
                <w:rFonts w:ascii="Book Antiqua" w:hAnsi="Book Antiqua" w:cs="Arial"/>
                <w:b/>
              </w:rPr>
              <w:t xml:space="preserve">      </w:t>
            </w:r>
            <w:r w:rsidR="00BC1D8D" w:rsidRPr="001C2F1E">
              <w:rPr>
                <w:rFonts w:ascii="Book Antiqua" w:hAnsi="Book Antiqua" w:cs="Arial"/>
                <w:b/>
              </w:rPr>
              <w:t xml:space="preserve">On </w:t>
            </w:r>
            <w:r w:rsidR="00BC1D8D">
              <w:rPr>
                <w:rFonts w:ascii="Book Antiqua" w:hAnsi="Book Antiqua" w:cs="Arial"/>
                <w:b/>
              </w:rPr>
              <w:t>21 September 2018</w:t>
            </w:r>
          </w:p>
          <w:p w:rsidR="00D22636" w:rsidRPr="00BC1D8D" w:rsidRDefault="00D22636" w:rsidP="00DC64C1">
            <w:pPr>
              <w:jc w:val="right"/>
              <w:rPr>
                <w:rFonts w:ascii="Book Antiqua" w:hAnsi="Book Antiqua" w:cs="Arial"/>
              </w:rPr>
            </w:pPr>
          </w:p>
        </w:tc>
      </w:tr>
      <w:tr w:rsidR="00D22636" w:rsidRPr="001C2F1E" w:rsidTr="00DC64C1">
        <w:tc>
          <w:tcPr>
            <w:tcW w:w="2500" w:type="pct"/>
            <w:shd w:val="clear" w:color="auto" w:fill="auto"/>
          </w:tcPr>
          <w:p w:rsidR="00881F0F" w:rsidRPr="001C2F1E" w:rsidRDefault="00881F0F" w:rsidP="00385815">
            <w:pPr>
              <w:jc w:val="both"/>
              <w:rPr>
                <w:rFonts w:ascii="Book Antiqua" w:hAnsi="Book Antiqua" w:cs="Arial"/>
                <w:b/>
              </w:rPr>
            </w:pPr>
          </w:p>
        </w:tc>
        <w:tc>
          <w:tcPr>
            <w:tcW w:w="2500" w:type="pct"/>
            <w:shd w:val="clear" w:color="auto" w:fill="auto"/>
          </w:tcPr>
          <w:p w:rsidR="00D22636" w:rsidRPr="001C2F1E" w:rsidRDefault="00D22636" w:rsidP="00DC64C1">
            <w:pPr>
              <w:jc w:val="right"/>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1B186A" w:rsidRPr="009B7433" w:rsidRDefault="00C23DFC" w:rsidP="006C396F">
      <w:pPr>
        <w:jc w:val="center"/>
        <w:rPr>
          <w:rFonts w:ascii="Book Antiqua" w:hAnsi="Book Antiqua" w:cs="Arial"/>
          <w:b/>
          <w:color w:val="000000"/>
        </w:rPr>
      </w:pPr>
      <w:r>
        <w:rPr>
          <w:rFonts w:ascii="Book Antiqua" w:hAnsi="Book Antiqua" w:cs="Arial"/>
          <w:b/>
          <w:color w:val="000000"/>
        </w:rPr>
        <w:t xml:space="preserve">UPPER TRIBUNAL JUDGE </w:t>
      </w:r>
      <w:r w:rsidR="00744667">
        <w:rPr>
          <w:rFonts w:ascii="Book Antiqua" w:hAnsi="Book Antiqua" w:cs="Arial"/>
          <w:b/>
          <w:color w:val="000000"/>
        </w:rPr>
        <w:t xml:space="preserve">KOPIECZEK </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881F0F" w:rsidP="00A15234">
      <w:pPr>
        <w:jc w:val="center"/>
        <w:rPr>
          <w:rFonts w:ascii="Book Antiqua" w:hAnsi="Book Antiqua" w:cs="Arial"/>
          <w:b/>
          <w:caps/>
        </w:rPr>
      </w:pPr>
      <w:r w:rsidRPr="00881F0F">
        <w:rPr>
          <w:rFonts w:ascii="Book Antiqua" w:hAnsi="Book Antiqua" w:cs="Arial"/>
          <w:b/>
          <w:caps/>
        </w:rPr>
        <w:t>Khayrul</w:t>
      </w:r>
      <w:r>
        <w:rPr>
          <w:rFonts w:ascii="Book Antiqua" w:hAnsi="Book Antiqua" w:cs="Arial"/>
          <w:b/>
          <w:caps/>
        </w:rPr>
        <w:t xml:space="preserve"> </w:t>
      </w:r>
      <w:r w:rsidRPr="00881F0F">
        <w:rPr>
          <w:rFonts w:ascii="Book Antiqua" w:hAnsi="Book Antiqua" w:cs="Arial"/>
          <w:b/>
          <w:caps/>
        </w:rPr>
        <w:t>Islam</w:t>
      </w:r>
    </w:p>
    <w:p w:rsidR="00704B61" w:rsidRPr="004C3D55" w:rsidRDefault="00D949B7" w:rsidP="0097736F">
      <w:pPr>
        <w:jc w:val="center"/>
        <w:rPr>
          <w:rFonts w:ascii="Book Antiqua" w:hAnsi="Book Antiqua" w:cs="Arial"/>
          <w:caps/>
        </w:rPr>
      </w:pPr>
      <w:r w:rsidRPr="004C3D55">
        <w:rPr>
          <w:rFonts w:ascii="Book Antiqua" w:hAnsi="Book Antiqua" w:cs="Arial"/>
          <w:caps/>
        </w:rPr>
        <w:t>(ANONYMITY DIRECTION</w:t>
      </w:r>
      <w:r w:rsidR="00385815" w:rsidRPr="004C3D55">
        <w:rPr>
          <w:rFonts w:ascii="Book Antiqua" w:hAnsi="Book Antiqua" w:cs="Arial"/>
          <w:caps/>
        </w:rPr>
        <w:t xml:space="preserve"> NOT MADE</w:t>
      </w:r>
      <w:r w:rsidRPr="004C3D55">
        <w:rPr>
          <w:rFonts w:ascii="Book Antiqua" w:hAnsi="Book Antiqua" w:cs="Arial"/>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4C3D55" w:rsidRDefault="004C3D55" w:rsidP="00704B61">
      <w:pPr>
        <w:jc w:val="center"/>
        <w:rPr>
          <w:rFonts w:ascii="Book Antiqua" w:hAnsi="Book Antiqua" w:cs="Arial"/>
          <w:b/>
        </w:rPr>
      </w:pP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4C3D55" w:rsidRPr="009B7433" w:rsidRDefault="004C3D55" w:rsidP="00704B61">
      <w:pPr>
        <w:jc w:val="center"/>
        <w:rPr>
          <w:rFonts w:ascii="Book Antiqua" w:hAnsi="Book Antiqua" w:cs="Arial"/>
          <w:b/>
        </w:rPr>
      </w:pPr>
      <w:r>
        <w:rPr>
          <w:rFonts w:ascii="Book Antiqua" w:hAnsi="Book Antiqua" w:cs="Arial"/>
          <w:b/>
        </w:rPr>
        <w:t>THE SECRETARY OF STATE FOR THE HOME DEPARTMENT</w:t>
      </w:r>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881F0F">
        <w:rPr>
          <w:rFonts w:ascii="Book Antiqua" w:hAnsi="Book Antiqua" w:cs="Arial"/>
        </w:rPr>
        <w:t>Mr M Hassan, Solicitor, Kalam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881F0F">
        <w:rPr>
          <w:rFonts w:ascii="Book Antiqua" w:hAnsi="Book Antiqua" w:cs="Arial"/>
        </w:rPr>
        <w:t>M</w:t>
      </w:r>
      <w:r w:rsidR="00134491">
        <w:rPr>
          <w:rFonts w:ascii="Book Antiqua" w:hAnsi="Book Antiqua" w:cs="Arial"/>
        </w:rPr>
        <w:t>r</w:t>
      </w:r>
      <w:r w:rsidR="00881F0F">
        <w:rPr>
          <w:rFonts w:ascii="Book Antiqua" w:hAnsi="Book Antiqua" w:cs="Arial"/>
        </w:rPr>
        <w:t xml:space="preserve"> T Melvin, Home Office Presenting Officer</w:t>
      </w:r>
    </w:p>
    <w:p w:rsidR="00DE7DB7" w:rsidRPr="009B7433" w:rsidRDefault="00DE7DB7" w:rsidP="00402B9E">
      <w:pPr>
        <w:tabs>
          <w:tab w:val="left" w:pos="2520"/>
        </w:tabs>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DE</w:t>
      </w:r>
      <w:r w:rsidR="00385815">
        <w:rPr>
          <w:rFonts w:ascii="Book Antiqua" w:hAnsi="Book Antiqua" w:cs="Arial"/>
          <w:b/>
          <w:u w:val="single"/>
        </w:rPr>
        <w:t>CISION</w:t>
      </w:r>
      <w:r w:rsidR="009D776B">
        <w:rPr>
          <w:rFonts w:ascii="Book Antiqua" w:hAnsi="Book Antiqua" w:cs="Arial"/>
          <w:b/>
          <w:u w:val="single"/>
        </w:rPr>
        <w:t xml:space="preserve"> AND</w:t>
      </w:r>
      <w:r w:rsidR="00402B9E" w:rsidRPr="009B7433">
        <w:rPr>
          <w:rFonts w:ascii="Book Antiqua" w:hAnsi="Book Antiqua" w:cs="Arial"/>
          <w:b/>
          <w:u w:val="single"/>
        </w:rPr>
        <w:t xml:space="preserve"> REASONS</w:t>
      </w:r>
    </w:p>
    <w:p w:rsidR="00744667" w:rsidRDefault="006C396F" w:rsidP="00744667">
      <w:pPr>
        <w:numPr>
          <w:ilvl w:val="0"/>
          <w:numId w:val="1"/>
        </w:numPr>
        <w:tabs>
          <w:tab w:val="clear" w:pos="567"/>
        </w:tabs>
        <w:spacing w:before="240"/>
        <w:jc w:val="both"/>
        <w:rPr>
          <w:rFonts w:ascii="Book Antiqua" w:hAnsi="Book Antiqua" w:cs="Arial"/>
        </w:rPr>
      </w:pPr>
      <w:r>
        <w:rPr>
          <w:rFonts w:ascii="Book Antiqua" w:hAnsi="Book Antiqua" w:cs="Arial"/>
        </w:rPr>
        <w:t>The appellant is a citizen of Bangladesh born in 1965</w:t>
      </w:r>
      <w:r w:rsidR="00134491">
        <w:rPr>
          <w:rFonts w:ascii="Book Antiqua" w:hAnsi="Book Antiqua" w:cs="Arial"/>
        </w:rPr>
        <w:t>.</w:t>
      </w:r>
      <w:r>
        <w:rPr>
          <w:rFonts w:ascii="Book Antiqua" w:hAnsi="Book Antiqua" w:cs="Arial"/>
        </w:rPr>
        <w:t xml:space="preserve"> </w:t>
      </w:r>
      <w:r w:rsidR="00134491">
        <w:rPr>
          <w:rFonts w:ascii="Book Antiqua" w:hAnsi="Book Antiqua" w:cs="Arial"/>
        </w:rPr>
        <w:t>H</w:t>
      </w:r>
      <w:r>
        <w:rPr>
          <w:rFonts w:ascii="Book Antiqua" w:hAnsi="Book Antiqua" w:cs="Arial"/>
        </w:rPr>
        <w:t xml:space="preserve">e made an application </w:t>
      </w:r>
      <w:r w:rsidR="00A0741B">
        <w:rPr>
          <w:rFonts w:ascii="Book Antiqua" w:hAnsi="Book Antiqua" w:cs="Arial"/>
        </w:rPr>
        <w:t xml:space="preserve">for leave to remain on human rights grounds </w:t>
      </w:r>
      <w:r>
        <w:rPr>
          <w:rFonts w:ascii="Book Antiqua" w:hAnsi="Book Antiqua" w:cs="Arial"/>
        </w:rPr>
        <w:t xml:space="preserve">on 7 July 2016.  That application was made in relation to his family life in the UK although the respondent’s decision also considered his private life.  </w:t>
      </w:r>
    </w:p>
    <w:p w:rsidR="006C396F" w:rsidRDefault="00A0741B" w:rsidP="00744667">
      <w:pPr>
        <w:numPr>
          <w:ilvl w:val="0"/>
          <w:numId w:val="1"/>
        </w:numPr>
        <w:tabs>
          <w:tab w:val="clear" w:pos="567"/>
        </w:tabs>
        <w:spacing w:before="240"/>
        <w:jc w:val="both"/>
        <w:rPr>
          <w:rFonts w:ascii="Book Antiqua" w:hAnsi="Book Antiqua" w:cs="Arial"/>
        </w:rPr>
      </w:pPr>
      <w:r>
        <w:rPr>
          <w:rFonts w:ascii="Book Antiqua" w:hAnsi="Book Antiqua" w:cs="Arial"/>
        </w:rPr>
        <w:t xml:space="preserve">By a </w:t>
      </w:r>
      <w:r w:rsidR="006C396F">
        <w:rPr>
          <w:rFonts w:ascii="Book Antiqua" w:hAnsi="Book Antiqua" w:cs="Arial"/>
        </w:rPr>
        <w:t xml:space="preserve">decision dated 8 September 2016 the application was refused.  The appellant appealed against that decision and his appeal came before First-tier Tribunal </w:t>
      </w:r>
      <w:r w:rsidR="00C37A74">
        <w:rPr>
          <w:rFonts w:ascii="Book Antiqua" w:hAnsi="Book Antiqua" w:cs="Arial"/>
        </w:rPr>
        <w:t>Judge Widdup</w:t>
      </w:r>
      <w:r>
        <w:rPr>
          <w:rFonts w:ascii="Book Antiqua" w:hAnsi="Book Antiqua" w:cs="Arial"/>
        </w:rPr>
        <w:t xml:space="preserve"> (“the FtJ”)</w:t>
      </w:r>
      <w:r w:rsidR="006C396F">
        <w:rPr>
          <w:rFonts w:ascii="Book Antiqua" w:hAnsi="Book Antiqua" w:cs="Arial"/>
        </w:rPr>
        <w:t xml:space="preserve"> on 22 February 2018 whereby the appeal was dismissed.</w:t>
      </w:r>
    </w:p>
    <w:p w:rsidR="006C396F" w:rsidRDefault="006C396F" w:rsidP="00744667">
      <w:pPr>
        <w:numPr>
          <w:ilvl w:val="0"/>
          <w:numId w:val="1"/>
        </w:numPr>
        <w:tabs>
          <w:tab w:val="clear" w:pos="567"/>
        </w:tabs>
        <w:spacing w:before="240"/>
        <w:jc w:val="both"/>
        <w:rPr>
          <w:rFonts w:ascii="Book Antiqua" w:hAnsi="Book Antiqua" w:cs="Arial"/>
        </w:rPr>
      </w:pPr>
      <w:r>
        <w:rPr>
          <w:rFonts w:ascii="Book Antiqua" w:hAnsi="Book Antiqua" w:cs="Arial"/>
        </w:rPr>
        <w:t xml:space="preserve">I summarise the grounds </w:t>
      </w:r>
      <w:r w:rsidR="00A0741B">
        <w:rPr>
          <w:rFonts w:ascii="Book Antiqua" w:hAnsi="Book Antiqua" w:cs="Arial"/>
        </w:rPr>
        <w:t xml:space="preserve">of appeal in relation to the FtJ’s decision and the </w:t>
      </w:r>
      <w:r>
        <w:rPr>
          <w:rFonts w:ascii="Book Antiqua" w:hAnsi="Book Antiqua" w:cs="Arial"/>
        </w:rPr>
        <w:t>submissions made on behalf of the parties.</w:t>
      </w:r>
    </w:p>
    <w:p w:rsidR="006C396F" w:rsidRDefault="00C37A74" w:rsidP="00744667">
      <w:pPr>
        <w:numPr>
          <w:ilvl w:val="0"/>
          <w:numId w:val="1"/>
        </w:numPr>
        <w:tabs>
          <w:tab w:val="clear" w:pos="567"/>
        </w:tabs>
        <w:spacing w:before="240"/>
        <w:jc w:val="both"/>
        <w:rPr>
          <w:rFonts w:ascii="Book Antiqua" w:hAnsi="Book Antiqua" w:cs="Arial"/>
        </w:rPr>
      </w:pPr>
      <w:r>
        <w:rPr>
          <w:rFonts w:ascii="Book Antiqua" w:hAnsi="Book Antiqua" w:cs="Arial"/>
        </w:rPr>
        <w:lastRenderedPageBreak/>
        <w:t>By way of preliminary comments</w:t>
      </w:r>
      <w:r w:rsidR="00A0741B">
        <w:rPr>
          <w:rFonts w:ascii="Book Antiqua" w:hAnsi="Book Antiqua" w:cs="Arial"/>
        </w:rPr>
        <w:t xml:space="preserve">, </w:t>
      </w:r>
      <w:r w:rsidR="006C396F">
        <w:rPr>
          <w:rFonts w:ascii="Book Antiqua" w:hAnsi="Book Antiqua" w:cs="Arial"/>
        </w:rPr>
        <w:t xml:space="preserve"> I should say that </w:t>
      </w:r>
      <w:r w:rsidR="005C6248">
        <w:rPr>
          <w:rFonts w:ascii="Book Antiqua" w:hAnsi="Book Antiqua" w:cs="Arial"/>
        </w:rPr>
        <w:t xml:space="preserve"> it is evident that </w:t>
      </w:r>
      <w:r w:rsidR="00A0741B">
        <w:rPr>
          <w:rFonts w:ascii="Book Antiqua" w:hAnsi="Book Antiqua" w:cs="Arial"/>
        </w:rPr>
        <w:t xml:space="preserve">the FtJ </w:t>
      </w:r>
      <w:bookmarkStart w:id="0" w:name="_GoBack"/>
      <w:bookmarkEnd w:id="0"/>
      <w:r w:rsidR="006C396F">
        <w:rPr>
          <w:rFonts w:ascii="Book Antiqua" w:hAnsi="Book Antiqua" w:cs="Arial"/>
        </w:rPr>
        <w:t>considered the facts in detail and came to</w:t>
      </w:r>
      <w:r w:rsidR="00A0741B">
        <w:rPr>
          <w:rFonts w:ascii="Book Antiqua" w:hAnsi="Book Antiqua" w:cs="Arial"/>
        </w:rPr>
        <w:t xml:space="preserve"> clear</w:t>
      </w:r>
      <w:r w:rsidR="006C396F">
        <w:rPr>
          <w:rFonts w:ascii="Book Antiqua" w:hAnsi="Book Antiqua" w:cs="Arial"/>
        </w:rPr>
        <w:t xml:space="preserve"> conclusions in relation to the appellant’s relationship with his wife whom he married on 22 April 2014</w:t>
      </w:r>
      <w:r w:rsidR="00A0741B">
        <w:rPr>
          <w:rFonts w:ascii="Book Antiqua" w:hAnsi="Book Antiqua" w:cs="Arial"/>
        </w:rPr>
        <w:t>. It is important to note that his wife is</w:t>
      </w:r>
      <w:r w:rsidR="006C396F">
        <w:rPr>
          <w:rFonts w:ascii="Book Antiqua" w:hAnsi="Book Antiqua" w:cs="Arial"/>
        </w:rPr>
        <w:t xml:space="preserve"> a British citizen. </w:t>
      </w:r>
      <w:r>
        <w:rPr>
          <w:rFonts w:ascii="Book Antiqua" w:hAnsi="Book Antiqua" w:cs="Arial"/>
        </w:rPr>
        <w:t>N</w:t>
      </w:r>
      <w:r w:rsidR="006C396F">
        <w:rPr>
          <w:rFonts w:ascii="Book Antiqua" w:hAnsi="Book Antiqua" w:cs="Arial"/>
        </w:rPr>
        <w:t xml:space="preserve">o submissions were made </w:t>
      </w:r>
      <w:r w:rsidR="00A0741B">
        <w:rPr>
          <w:rFonts w:ascii="Book Antiqua" w:hAnsi="Book Antiqua" w:cs="Arial"/>
        </w:rPr>
        <w:t xml:space="preserve">to the FtJ </w:t>
      </w:r>
      <w:r w:rsidR="006C396F">
        <w:rPr>
          <w:rFonts w:ascii="Book Antiqua" w:hAnsi="Book Antiqua" w:cs="Arial"/>
        </w:rPr>
        <w:t xml:space="preserve">in relation to </w:t>
      </w:r>
      <w:r w:rsidR="00A0741B">
        <w:rPr>
          <w:rFonts w:ascii="Book Antiqua" w:hAnsi="Book Antiqua" w:cs="Arial"/>
        </w:rPr>
        <w:t xml:space="preserve">the appellant’s </w:t>
      </w:r>
      <w:r w:rsidR="006C396F">
        <w:rPr>
          <w:rFonts w:ascii="Book Antiqua" w:hAnsi="Book Antiqua" w:cs="Arial"/>
        </w:rPr>
        <w:t>private life</w:t>
      </w:r>
      <w:r w:rsidR="00A0741B">
        <w:rPr>
          <w:rFonts w:ascii="Book Antiqua" w:hAnsi="Book Antiqua" w:cs="Arial"/>
        </w:rPr>
        <w:t>. The FtJ</w:t>
      </w:r>
      <w:r w:rsidR="006C396F">
        <w:rPr>
          <w:rFonts w:ascii="Book Antiqua" w:hAnsi="Book Antiqua" w:cs="Arial"/>
        </w:rPr>
        <w:t xml:space="preserve"> considered </w:t>
      </w:r>
      <w:r w:rsidR="00A0741B">
        <w:rPr>
          <w:rFonts w:ascii="Book Antiqua" w:hAnsi="Book Antiqua" w:cs="Arial"/>
        </w:rPr>
        <w:t>s</w:t>
      </w:r>
      <w:r w:rsidR="006C396F">
        <w:rPr>
          <w:rFonts w:ascii="Book Antiqua" w:hAnsi="Book Antiqua" w:cs="Arial"/>
        </w:rPr>
        <w:t>ection EX.2 of the Immigration Rules in terms of whether there were insurmountable obstacles to the</w:t>
      </w:r>
      <w:r w:rsidR="00A0741B">
        <w:rPr>
          <w:rFonts w:ascii="Book Antiqua" w:hAnsi="Book Antiqua" w:cs="Arial"/>
        </w:rPr>
        <w:t xml:space="preserve"> </w:t>
      </w:r>
      <w:r w:rsidR="00553557">
        <w:rPr>
          <w:rFonts w:ascii="Book Antiqua" w:hAnsi="Book Antiqua" w:cs="Arial"/>
        </w:rPr>
        <w:t>appellant</w:t>
      </w:r>
      <w:r w:rsidR="00A0741B">
        <w:rPr>
          <w:rFonts w:ascii="Book Antiqua" w:hAnsi="Book Antiqua" w:cs="Arial"/>
        </w:rPr>
        <w:t xml:space="preserve"> and his wife’s</w:t>
      </w:r>
      <w:r w:rsidR="006C396F">
        <w:rPr>
          <w:rFonts w:ascii="Book Antiqua" w:hAnsi="Book Antiqua" w:cs="Arial"/>
        </w:rPr>
        <w:t xml:space="preserve"> family life being continued in Bangladesh.  He took into account </w:t>
      </w:r>
      <w:r w:rsidR="00A0741B">
        <w:rPr>
          <w:rFonts w:ascii="Book Antiqua" w:hAnsi="Book Antiqua" w:cs="Arial"/>
        </w:rPr>
        <w:t xml:space="preserve">the </w:t>
      </w:r>
      <w:r w:rsidR="006C396F">
        <w:rPr>
          <w:rFonts w:ascii="Book Antiqua" w:hAnsi="Book Antiqua" w:cs="Arial"/>
        </w:rPr>
        <w:t xml:space="preserve">various </w:t>
      </w:r>
      <w:r w:rsidR="00A0741B">
        <w:rPr>
          <w:rFonts w:ascii="Book Antiqua" w:hAnsi="Book Antiqua" w:cs="Arial"/>
        </w:rPr>
        <w:t xml:space="preserve">relevant </w:t>
      </w:r>
      <w:r w:rsidR="006C396F">
        <w:rPr>
          <w:rFonts w:ascii="Book Antiqua" w:hAnsi="Book Antiqua" w:cs="Arial"/>
        </w:rPr>
        <w:t>factors</w:t>
      </w:r>
      <w:r w:rsidR="00A0741B">
        <w:rPr>
          <w:rFonts w:ascii="Book Antiqua" w:hAnsi="Book Antiqua" w:cs="Arial"/>
        </w:rPr>
        <w:t>. T</w:t>
      </w:r>
      <w:r w:rsidR="006C396F">
        <w:rPr>
          <w:rFonts w:ascii="Book Antiqua" w:hAnsi="Book Antiqua" w:cs="Arial"/>
        </w:rPr>
        <w:t>he appellant’s immigration history was a significant matter that he</w:t>
      </w:r>
      <w:r w:rsidR="00A0741B">
        <w:rPr>
          <w:rFonts w:ascii="Book Antiqua" w:hAnsi="Book Antiqua" w:cs="Arial"/>
        </w:rPr>
        <w:t xml:space="preserve"> </w:t>
      </w:r>
      <w:r w:rsidR="009F17E5">
        <w:rPr>
          <w:rFonts w:ascii="Book Antiqua" w:hAnsi="Book Antiqua" w:cs="Arial"/>
        </w:rPr>
        <w:t>referred to</w:t>
      </w:r>
      <w:r w:rsidR="006C396F">
        <w:rPr>
          <w:rFonts w:ascii="Book Antiqua" w:hAnsi="Book Antiqua" w:cs="Arial"/>
        </w:rPr>
        <w:t xml:space="preserve"> in support of the conclusion that there would be no disproportionate breach of the appellant’s human rights in th</w:t>
      </w:r>
      <w:r w:rsidR="00A0741B">
        <w:rPr>
          <w:rFonts w:ascii="Book Antiqua" w:hAnsi="Book Antiqua" w:cs="Arial"/>
        </w:rPr>
        <w:t>e decision</w:t>
      </w:r>
      <w:r w:rsidR="006C396F">
        <w:rPr>
          <w:rFonts w:ascii="Book Antiqua" w:hAnsi="Book Antiqua" w:cs="Arial"/>
        </w:rPr>
        <w:t xml:space="preserve"> refusing leave to remain.</w:t>
      </w:r>
    </w:p>
    <w:p w:rsidR="00553557" w:rsidRDefault="006C396F" w:rsidP="00744667">
      <w:pPr>
        <w:numPr>
          <w:ilvl w:val="0"/>
          <w:numId w:val="1"/>
        </w:numPr>
        <w:tabs>
          <w:tab w:val="clear" w:pos="567"/>
        </w:tabs>
        <w:spacing w:before="240"/>
        <w:jc w:val="both"/>
        <w:rPr>
          <w:rFonts w:ascii="Book Antiqua" w:hAnsi="Book Antiqua" w:cs="Arial"/>
        </w:rPr>
      </w:pPr>
      <w:r w:rsidRPr="00553557">
        <w:rPr>
          <w:rFonts w:ascii="Book Antiqua" w:hAnsi="Book Antiqua" w:cs="Arial"/>
        </w:rPr>
        <w:t>The appellant’s grounds</w:t>
      </w:r>
      <w:r w:rsidR="00C37A74" w:rsidRPr="00553557">
        <w:rPr>
          <w:rFonts w:ascii="Book Antiqua" w:hAnsi="Book Antiqua" w:cs="Arial"/>
        </w:rPr>
        <w:t>,</w:t>
      </w:r>
      <w:r w:rsidRPr="00553557">
        <w:rPr>
          <w:rFonts w:ascii="Book Antiqua" w:hAnsi="Book Antiqua" w:cs="Arial"/>
        </w:rPr>
        <w:t xml:space="preserve"> in summary</w:t>
      </w:r>
      <w:r w:rsidR="00C37A74" w:rsidRPr="00553557">
        <w:rPr>
          <w:rFonts w:ascii="Book Antiqua" w:hAnsi="Book Antiqua" w:cs="Arial"/>
        </w:rPr>
        <w:t>,</w:t>
      </w:r>
      <w:r w:rsidRPr="00553557">
        <w:rPr>
          <w:rFonts w:ascii="Book Antiqua" w:hAnsi="Book Antiqua" w:cs="Arial"/>
        </w:rPr>
        <w:t xml:space="preserve"> </w:t>
      </w:r>
      <w:r w:rsidR="006F52F0" w:rsidRPr="00553557">
        <w:rPr>
          <w:rFonts w:ascii="Book Antiqua" w:hAnsi="Book Antiqua" w:cs="Arial"/>
        </w:rPr>
        <w:t xml:space="preserve">as to ground 1 </w:t>
      </w:r>
      <w:r w:rsidRPr="00553557">
        <w:rPr>
          <w:rFonts w:ascii="Book Antiqua" w:hAnsi="Book Antiqua" w:cs="Arial"/>
        </w:rPr>
        <w:t xml:space="preserve">contend that </w:t>
      </w:r>
      <w:r w:rsidR="00C37A74" w:rsidRPr="00553557">
        <w:rPr>
          <w:rFonts w:ascii="Book Antiqua" w:hAnsi="Book Antiqua" w:cs="Arial"/>
        </w:rPr>
        <w:t xml:space="preserve">the FtJ “provided </w:t>
      </w:r>
      <w:r w:rsidRPr="00553557">
        <w:rPr>
          <w:rFonts w:ascii="Book Antiqua" w:hAnsi="Book Antiqua" w:cs="Arial"/>
        </w:rPr>
        <w:t xml:space="preserve">no reasons </w:t>
      </w:r>
      <w:r w:rsidR="00004736" w:rsidRPr="00553557">
        <w:rPr>
          <w:rFonts w:ascii="Book Antiqua" w:hAnsi="Book Antiqua" w:cs="Arial"/>
        </w:rPr>
        <w:t xml:space="preserve">whatsoever” </w:t>
      </w:r>
      <w:r w:rsidR="00C37A74" w:rsidRPr="00553557">
        <w:rPr>
          <w:rFonts w:ascii="Book Antiqua" w:hAnsi="Book Antiqua" w:cs="Arial"/>
        </w:rPr>
        <w:t>for</w:t>
      </w:r>
      <w:r w:rsidRPr="00553557">
        <w:rPr>
          <w:rFonts w:ascii="Book Antiqua" w:hAnsi="Book Antiqua" w:cs="Arial"/>
        </w:rPr>
        <w:t xml:space="preserve"> finding that the appellant and his partner could overcome the difficulties that they would face</w:t>
      </w:r>
      <w:r w:rsidR="00C37A74" w:rsidRPr="00553557">
        <w:rPr>
          <w:rFonts w:ascii="Book Antiqua" w:hAnsi="Book Antiqua" w:cs="Arial"/>
        </w:rPr>
        <w:t xml:space="preserve"> on return to Bangladesh</w:t>
      </w:r>
      <w:r w:rsidRPr="00553557">
        <w:rPr>
          <w:rFonts w:ascii="Book Antiqua" w:hAnsi="Book Antiqua" w:cs="Arial"/>
        </w:rPr>
        <w:t xml:space="preserve"> or that those difficulties would not entail very serious hardship for them.  Various </w:t>
      </w:r>
      <w:r w:rsidR="00C37A74" w:rsidRPr="00553557">
        <w:rPr>
          <w:rFonts w:ascii="Book Antiqua" w:hAnsi="Book Antiqua" w:cs="Arial"/>
        </w:rPr>
        <w:t xml:space="preserve">reported </w:t>
      </w:r>
      <w:r w:rsidRPr="00553557">
        <w:rPr>
          <w:rFonts w:ascii="Book Antiqua" w:hAnsi="Book Antiqua" w:cs="Arial"/>
        </w:rPr>
        <w:t>decisions are r</w:t>
      </w:r>
      <w:r w:rsidR="00C37A74" w:rsidRPr="00553557">
        <w:rPr>
          <w:rFonts w:ascii="Book Antiqua" w:hAnsi="Book Antiqua" w:cs="Arial"/>
        </w:rPr>
        <w:t>elied on in the grounds in support of the argument</w:t>
      </w:r>
      <w:r w:rsidRPr="00553557">
        <w:rPr>
          <w:rFonts w:ascii="Book Antiqua" w:hAnsi="Book Antiqua" w:cs="Arial"/>
        </w:rPr>
        <w:t xml:space="preserve"> that reasons need to be given. Thus</w:t>
      </w:r>
      <w:r w:rsidR="005035FC" w:rsidRPr="00553557">
        <w:rPr>
          <w:rFonts w:ascii="Book Antiqua" w:hAnsi="Book Antiqua" w:cs="Arial"/>
        </w:rPr>
        <w:t>,</w:t>
      </w:r>
      <w:r w:rsidRPr="00553557">
        <w:rPr>
          <w:rFonts w:ascii="Book Antiqua" w:hAnsi="Book Antiqua" w:cs="Arial"/>
        </w:rPr>
        <w:t xml:space="preserve"> it is </w:t>
      </w:r>
      <w:r w:rsidR="005035FC" w:rsidRPr="00553557">
        <w:rPr>
          <w:rFonts w:ascii="Book Antiqua" w:hAnsi="Book Antiqua" w:cs="Arial"/>
        </w:rPr>
        <w:t>argued</w:t>
      </w:r>
      <w:r w:rsidRPr="00553557">
        <w:rPr>
          <w:rFonts w:ascii="Book Antiqua" w:hAnsi="Book Antiqua" w:cs="Arial"/>
        </w:rPr>
        <w:t xml:space="preserve"> that there was a material error in relation to the </w:t>
      </w:r>
      <w:r w:rsidR="005D1BC7" w:rsidRPr="00553557">
        <w:rPr>
          <w:rFonts w:ascii="Book Antiqua" w:hAnsi="Book Antiqua" w:cs="Arial"/>
        </w:rPr>
        <w:t>FtJ</w:t>
      </w:r>
      <w:r w:rsidRPr="00553557">
        <w:rPr>
          <w:rFonts w:ascii="Book Antiqua" w:hAnsi="Book Antiqua" w:cs="Arial"/>
        </w:rPr>
        <w:t xml:space="preserve">’s decision </w:t>
      </w:r>
      <w:r w:rsidR="005D1BC7" w:rsidRPr="00553557">
        <w:rPr>
          <w:rFonts w:ascii="Book Antiqua" w:hAnsi="Book Antiqua" w:cs="Arial"/>
        </w:rPr>
        <w:t>on the question of</w:t>
      </w:r>
      <w:r w:rsidR="00D81F2B" w:rsidRPr="00553557">
        <w:rPr>
          <w:rFonts w:ascii="Book Antiqua" w:hAnsi="Book Antiqua" w:cs="Arial"/>
        </w:rPr>
        <w:t xml:space="preserve"> insurmountable obstacles.</w:t>
      </w:r>
      <w:r w:rsidR="00553557">
        <w:rPr>
          <w:rFonts w:ascii="Book Antiqua" w:hAnsi="Book Antiqua" w:cs="Arial"/>
        </w:rPr>
        <w:t xml:space="preserve"> </w:t>
      </w:r>
      <w:r w:rsidR="006F52F0" w:rsidRPr="00553557">
        <w:rPr>
          <w:rFonts w:ascii="Book Antiqua" w:hAnsi="Book Antiqua" w:cs="Arial"/>
        </w:rPr>
        <w:t xml:space="preserve">As to ground 2, </w:t>
      </w:r>
      <w:r w:rsidR="00553557" w:rsidRPr="00553557">
        <w:rPr>
          <w:rFonts w:ascii="Book Antiqua" w:hAnsi="Book Antiqua" w:cs="Arial"/>
        </w:rPr>
        <w:t>s</w:t>
      </w:r>
      <w:r w:rsidR="00D81F2B" w:rsidRPr="00553557">
        <w:rPr>
          <w:rFonts w:ascii="Book Antiqua" w:hAnsi="Book Antiqua" w:cs="Arial"/>
        </w:rPr>
        <w:t xml:space="preserve">o far as proportionality </w:t>
      </w:r>
      <w:r w:rsidR="005D1BC7" w:rsidRPr="00553557">
        <w:rPr>
          <w:rFonts w:ascii="Book Antiqua" w:hAnsi="Book Antiqua" w:cs="Arial"/>
        </w:rPr>
        <w:t xml:space="preserve">under Article 8 </w:t>
      </w:r>
      <w:r w:rsidR="00D81F2B" w:rsidRPr="00553557">
        <w:rPr>
          <w:rFonts w:ascii="Book Antiqua" w:hAnsi="Book Antiqua" w:cs="Arial"/>
        </w:rPr>
        <w:t>is concerned</w:t>
      </w:r>
      <w:r w:rsidR="00B300C2" w:rsidRPr="00553557">
        <w:rPr>
          <w:rFonts w:ascii="Book Antiqua" w:hAnsi="Book Antiqua" w:cs="Arial"/>
        </w:rPr>
        <w:t>,</w:t>
      </w:r>
      <w:r w:rsidR="00D81F2B" w:rsidRPr="00553557">
        <w:rPr>
          <w:rFonts w:ascii="Book Antiqua" w:hAnsi="Book Antiqua" w:cs="Arial"/>
        </w:rPr>
        <w:t xml:space="preserve"> it is said that there were </w:t>
      </w:r>
      <w:r w:rsidR="00236A56" w:rsidRPr="00553557">
        <w:rPr>
          <w:rFonts w:ascii="Book Antiqua" w:hAnsi="Book Antiqua" w:cs="Arial"/>
        </w:rPr>
        <w:t xml:space="preserve">various matters that the </w:t>
      </w:r>
      <w:r w:rsidR="00B300C2" w:rsidRPr="00553557">
        <w:rPr>
          <w:rFonts w:ascii="Book Antiqua" w:hAnsi="Book Antiqua" w:cs="Arial"/>
        </w:rPr>
        <w:t>FtJ</w:t>
      </w:r>
      <w:r w:rsidR="00236A56" w:rsidRPr="00553557">
        <w:rPr>
          <w:rFonts w:ascii="Book Antiqua" w:hAnsi="Book Antiqua" w:cs="Arial"/>
        </w:rPr>
        <w:t xml:space="preserve"> failed to take into account.  </w:t>
      </w:r>
    </w:p>
    <w:p w:rsidR="008E63AD" w:rsidRPr="00553557" w:rsidRDefault="00236A56" w:rsidP="00744667">
      <w:pPr>
        <w:numPr>
          <w:ilvl w:val="0"/>
          <w:numId w:val="1"/>
        </w:numPr>
        <w:tabs>
          <w:tab w:val="clear" w:pos="567"/>
        </w:tabs>
        <w:spacing w:before="240"/>
        <w:jc w:val="both"/>
        <w:rPr>
          <w:rFonts w:ascii="Book Antiqua" w:hAnsi="Book Antiqua" w:cs="Arial"/>
        </w:rPr>
      </w:pPr>
      <w:r w:rsidRPr="00553557">
        <w:rPr>
          <w:rFonts w:ascii="Book Antiqua" w:hAnsi="Book Antiqua" w:cs="Arial"/>
        </w:rPr>
        <w:t xml:space="preserve">In his submissions Mr Hassan relied on the grounds.  The principle attack </w:t>
      </w:r>
      <w:r w:rsidR="008F7C88" w:rsidRPr="00553557">
        <w:rPr>
          <w:rFonts w:ascii="Book Antiqua" w:hAnsi="Book Antiqua" w:cs="Arial"/>
        </w:rPr>
        <w:t xml:space="preserve">was </w:t>
      </w:r>
      <w:r w:rsidRPr="00553557">
        <w:rPr>
          <w:rFonts w:ascii="Book Antiqua" w:hAnsi="Book Antiqua" w:cs="Arial"/>
        </w:rPr>
        <w:t>in relation to the issue of insurmountable obstacles.  It w</w:t>
      </w:r>
      <w:r w:rsidR="00A17D95" w:rsidRPr="00553557">
        <w:rPr>
          <w:rFonts w:ascii="Book Antiqua" w:hAnsi="Book Antiqua" w:cs="Arial"/>
        </w:rPr>
        <w:t xml:space="preserve">as submitted that although at </w:t>
      </w:r>
      <w:r w:rsidRPr="00553557">
        <w:rPr>
          <w:rFonts w:ascii="Book Antiqua" w:hAnsi="Book Antiqua" w:cs="Arial"/>
        </w:rPr>
        <w:t>point</w:t>
      </w:r>
      <w:r w:rsidR="00A17D95" w:rsidRPr="00553557">
        <w:rPr>
          <w:rFonts w:ascii="Book Antiqua" w:hAnsi="Book Antiqua" w:cs="Arial"/>
        </w:rPr>
        <w:t>s</w:t>
      </w:r>
      <w:r w:rsidRPr="00553557">
        <w:rPr>
          <w:rFonts w:ascii="Book Antiqua" w:hAnsi="Book Antiqua" w:cs="Arial"/>
        </w:rPr>
        <w:t xml:space="preserve"> in the </w:t>
      </w:r>
      <w:r w:rsidR="003D6AEA" w:rsidRPr="00553557">
        <w:rPr>
          <w:rFonts w:ascii="Book Antiqua" w:hAnsi="Book Antiqua" w:cs="Arial"/>
        </w:rPr>
        <w:t>FtJ</w:t>
      </w:r>
      <w:r w:rsidRPr="00553557">
        <w:rPr>
          <w:rFonts w:ascii="Book Antiqua" w:hAnsi="Book Antiqua" w:cs="Arial"/>
        </w:rPr>
        <w:t>’s decision he referred to various facts</w:t>
      </w:r>
      <w:r w:rsidR="003D6AEA" w:rsidRPr="00553557">
        <w:rPr>
          <w:rFonts w:ascii="Book Antiqua" w:hAnsi="Book Antiqua" w:cs="Arial"/>
        </w:rPr>
        <w:t>, he</w:t>
      </w:r>
      <w:r w:rsidRPr="00553557">
        <w:rPr>
          <w:rFonts w:ascii="Book Antiqua" w:hAnsi="Book Antiqua" w:cs="Arial"/>
        </w:rPr>
        <w:t xml:space="preserve"> failed to highlight </w:t>
      </w:r>
      <w:r w:rsidR="003D6AEA" w:rsidRPr="00553557">
        <w:rPr>
          <w:rFonts w:ascii="Book Antiqua" w:hAnsi="Book Antiqua" w:cs="Arial"/>
        </w:rPr>
        <w:t xml:space="preserve">the </w:t>
      </w:r>
      <w:r w:rsidRPr="00553557">
        <w:rPr>
          <w:rFonts w:ascii="Book Antiqua" w:hAnsi="Book Antiqua" w:cs="Arial"/>
        </w:rPr>
        <w:t xml:space="preserve">factors that led him to the conclusion that there would be no insurmountable obstacles to their continuing family life in Bangladesh. </w:t>
      </w:r>
    </w:p>
    <w:p w:rsidR="00236A56" w:rsidRPr="008E63AD" w:rsidRDefault="00236A56" w:rsidP="00744667">
      <w:pPr>
        <w:numPr>
          <w:ilvl w:val="0"/>
          <w:numId w:val="1"/>
        </w:numPr>
        <w:tabs>
          <w:tab w:val="clear" w:pos="567"/>
        </w:tabs>
        <w:spacing w:before="240"/>
        <w:jc w:val="both"/>
        <w:rPr>
          <w:rFonts w:ascii="Book Antiqua" w:hAnsi="Book Antiqua" w:cs="Arial"/>
        </w:rPr>
      </w:pPr>
      <w:r w:rsidRPr="008E63AD">
        <w:rPr>
          <w:rFonts w:ascii="Book Antiqua" w:hAnsi="Book Antiqua" w:cs="Arial"/>
        </w:rPr>
        <w:t xml:space="preserve">I was referred to various paragraphs of </w:t>
      </w:r>
      <w:r w:rsidR="003D6AEA" w:rsidRPr="008E63AD">
        <w:rPr>
          <w:rFonts w:ascii="Book Antiqua" w:hAnsi="Book Antiqua" w:cs="Arial"/>
        </w:rPr>
        <w:t>t</w:t>
      </w:r>
      <w:r w:rsidR="00C37A74" w:rsidRPr="008E63AD">
        <w:rPr>
          <w:rFonts w:ascii="Book Antiqua" w:hAnsi="Book Antiqua" w:cs="Arial"/>
        </w:rPr>
        <w:t>he FtJ</w:t>
      </w:r>
      <w:r w:rsidRPr="008E63AD">
        <w:rPr>
          <w:rFonts w:ascii="Book Antiqua" w:hAnsi="Book Antiqua" w:cs="Arial"/>
        </w:rPr>
        <w:t>’s decision</w:t>
      </w:r>
      <w:r w:rsidR="003D6AEA" w:rsidRPr="008E63AD">
        <w:rPr>
          <w:rFonts w:ascii="Book Antiqua" w:hAnsi="Book Antiqua" w:cs="Arial"/>
        </w:rPr>
        <w:t>,</w:t>
      </w:r>
      <w:r w:rsidRPr="008E63AD">
        <w:rPr>
          <w:rFonts w:ascii="Book Antiqua" w:hAnsi="Book Antiqua" w:cs="Arial"/>
        </w:rPr>
        <w:t xml:space="preserve"> for example </w:t>
      </w:r>
      <w:r w:rsidR="00F60C8D" w:rsidRPr="008E63AD">
        <w:rPr>
          <w:rFonts w:ascii="Book Antiqua" w:hAnsi="Book Antiqua" w:cs="Arial"/>
        </w:rPr>
        <w:t xml:space="preserve">[42] </w:t>
      </w:r>
      <w:r w:rsidRPr="008E63AD">
        <w:rPr>
          <w:rFonts w:ascii="Book Antiqua" w:hAnsi="Book Antiqua" w:cs="Arial"/>
        </w:rPr>
        <w:t>whe</w:t>
      </w:r>
      <w:r w:rsidR="009B4C35" w:rsidRPr="008E63AD">
        <w:rPr>
          <w:rFonts w:ascii="Book Antiqua" w:hAnsi="Book Antiqua" w:cs="Arial"/>
        </w:rPr>
        <w:t>re</w:t>
      </w:r>
      <w:r w:rsidRPr="008E63AD">
        <w:rPr>
          <w:rFonts w:ascii="Book Antiqua" w:hAnsi="Book Antiqua" w:cs="Arial"/>
        </w:rPr>
        <w:t xml:space="preserve"> </w:t>
      </w:r>
      <w:r w:rsidR="009B4C35" w:rsidRPr="008E63AD">
        <w:rPr>
          <w:rFonts w:ascii="Book Antiqua" w:hAnsi="Book Antiqua" w:cs="Arial"/>
        </w:rPr>
        <w:t>he stated</w:t>
      </w:r>
      <w:r w:rsidRPr="008E63AD">
        <w:rPr>
          <w:rFonts w:ascii="Book Antiqua" w:hAnsi="Book Antiqua" w:cs="Arial"/>
        </w:rPr>
        <w:t xml:space="preserve"> that they would encounter difficulties in continuing their family life outside the UK</w:t>
      </w:r>
      <w:r w:rsidR="009B4C35" w:rsidRPr="008E63AD">
        <w:rPr>
          <w:rFonts w:ascii="Book Antiqua" w:hAnsi="Book Antiqua" w:cs="Arial"/>
        </w:rPr>
        <w:t xml:space="preserve">. However, </w:t>
      </w:r>
      <w:r w:rsidRPr="008E63AD">
        <w:rPr>
          <w:rFonts w:ascii="Book Antiqua" w:hAnsi="Book Antiqua" w:cs="Arial"/>
        </w:rPr>
        <w:t xml:space="preserve">it was submitted that </w:t>
      </w:r>
      <w:r w:rsidR="002F1F7D" w:rsidRPr="008E63AD">
        <w:rPr>
          <w:rFonts w:ascii="Book Antiqua" w:hAnsi="Book Antiqua" w:cs="Arial"/>
        </w:rPr>
        <w:t>he</w:t>
      </w:r>
      <w:r w:rsidRPr="008E63AD">
        <w:rPr>
          <w:rFonts w:ascii="Book Antiqua" w:hAnsi="Book Antiqua" w:cs="Arial"/>
        </w:rPr>
        <w:t xml:space="preserve"> did not say why he came to the conclusion that those difficulties could not be overcome or that any hardship experienced by them would not amount to very serious hardship.  </w:t>
      </w:r>
      <w:r w:rsidR="002F1F7D" w:rsidRPr="008E63AD">
        <w:rPr>
          <w:rFonts w:ascii="Book Antiqua" w:hAnsi="Book Antiqua" w:cs="Arial"/>
        </w:rPr>
        <w:t>He</w:t>
      </w:r>
      <w:r w:rsidRPr="008E63AD">
        <w:rPr>
          <w:rFonts w:ascii="Book Antiqua" w:hAnsi="Book Antiqua" w:cs="Arial"/>
        </w:rPr>
        <w:t xml:space="preserve"> had failed to identify the evidence that he took into account in that respect.  Although </w:t>
      </w:r>
      <w:r w:rsidR="002F1F7D" w:rsidRPr="008E63AD">
        <w:rPr>
          <w:rFonts w:ascii="Book Antiqua" w:hAnsi="Book Antiqua" w:cs="Arial"/>
        </w:rPr>
        <w:t xml:space="preserve">the FtJ </w:t>
      </w:r>
      <w:r w:rsidRPr="008E63AD">
        <w:rPr>
          <w:rFonts w:ascii="Book Antiqua" w:hAnsi="Book Antiqua" w:cs="Arial"/>
        </w:rPr>
        <w:t>had looked at the Article 8 Rules and considered the matter outside the Rules</w:t>
      </w:r>
      <w:r w:rsidR="00F85A3B" w:rsidRPr="008E63AD">
        <w:rPr>
          <w:rFonts w:ascii="Book Antiqua" w:hAnsi="Book Antiqua" w:cs="Arial"/>
        </w:rPr>
        <w:t>,</w:t>
      </w:r>
      <w:r w:rsidRPr="008E63AD">
        <w:rPr>
          <w:rFonts w:ascii="Book Antiqua" w:hAnsi="Book Antiqua" w:cs="Arial"/>
        </w:rPr>
        <w:t xml:space="preserve"> it was submitted that there was some degree of conflation, my word not Mr Hassan</w:t>
      </w:r>
      <w:r w:rsidR="00101E6D" w:rsidRPr="008E63AD">
        <w:rPr>
          <w:rFonts w:ascii="Book Antiqua" w:hAnsi="Book Antiqua" w:cs="Arial"/>
        </w:rPr>
        <w:t>’</w:t>
      </w:r>
      <w:r w:rsidRPr="008E63AD">
        <w:rPr>
          <w:rFonts w:ascii="Book Antiqua" w:hAnsi="Book Antiqua" w:cs="Arial"/>
        </w:rPr>
        <w:t xml:space="preserve">s, in relation to </w:t>
      </w:r>
      <w:r w:rsidR="00F85A3B" w:rsidRPr="008E63AD">
        <w:rPr>
          <w:rFonts w:ascii="Book Antiqua" w:hAnsi="Book Antiqua" w:cs="Arial"/>
        </w:rPr>
        <w:t>hi</w:t>
      </w:r>
      <w:r w:rsidRPr="008E63AD">
        <w:rPr>
          <w:rFonts w:ascii="Book Antiqua" w:hAnsi="Book Antiqua" w:cs="Arial"/>
        </w:rPr>
        <w:t xml:space="preserve">s assessment in this respect. The decision </w:t>
      </w:r>
      <w:r w:rsidRPr="008E63AD">
        <w:rPr>
          <w:rFonts w:ascii="Book Antiqua" w:hAnsi="Book Antiqua" w:cs="Arial"/>
          <w:i/>
        </w:rPr>
        <w:t>Agyarko</w:t>
      </w:r>
      <w:r w:rsidR="00B860C2" w:rsidRPr="008E63AD">
        <w:rPr>
          <w:rFonts w:ascii="Book Antiqua" w:hAnsi="Book Antiqua" w:cs="Arial"/>
          <w:i/>
        </w:rPr>
        <w:t xml:space="preserve"> v Secretary of State for the Home Department</w:t>
      </w:r>
      <w:r w:rsidRPr="008E63AD">
        <w:rPr>
          <w:rFonts w:ascii="Book Antiqua" w:hAnsi="Book Antiqua" w:cs="Arial"/>
        </w:rPr>
        <w:t xml:space="preserve"> [2017] UKSC 11 was relied on in terms of how the</w:t>
      </w:r>
      <w:r w:rsidR="00B860C2" w:rsidRPr="008E63AD">
        <w:rPr>
          <w:rFonts w:ascii="Book Antiqua" w:hAnsi="Book Antiqua" w:cs="Arial"/>
        </w:rPr>
        <w:t xml:space="preserve"> FtJ’s</w:t>
      </w:r>
      <w:r w:rsidRPr="008E63AD">
        <w:rPr>
          <w:rFonts w:ascii="Book Antiqua" w:hAnsi="Book Antiqua" w:cs="Arial"/>
        </w:rPr>
        <w:t xml:space="preserve"> approach should have been informed in this respect.  </w:t>
      </w:r>
    </w:p>
    <w:p w:rsidR="00236A56" w:rsidRDefault="006F52F0" w:rsidP="00744667">
      <w:pPr>
        <w:numPr>
          <w:ilvl w:val="0"/>
          <w:numId w:val="1"/>
        </w:numPr>
        <w:tabs>
          <w:tab w:val="clear" w:pos="567"/>
        </w:tabs>
        <w:spacing w:before="240"/>
        <w:jc w:val="both"/>
        <w:rPr>
          <w:rFonts w:ascii="Book Antiqua" w:hAnsi="Book Antiqua" w:cs="Arial"/>
        </w:rPr>
      </w:pPr>
      <w:r>
        <w:rPr>
          <w:rFonts w:ascii="Book Antiqua" w:hAnsi="Book Antiqua" w:cs="Arial"/>
        </w:rPr>
        <w:t xml:space="preserve">In relation to the FtJ’s </w:t>
      </w:r>
      <w:r w:rsidR="00236A56">
        <w:rPr>
          <w:rFonts w:ascii="Book Antiqua" w:hAnsi="Book Antiqua" w:cs="Arial"/>
        </w:rPr>
        <w:t xml:space="preserve">proportionality assessment it was submitted that adequate reasons had not been given and </w:t>
      </w:r>
      <w:r w:rsidR="00700D50">
        <w:rPr>
          <w:rFonts w:ascii="Book Antiqua" w:hAnsi="Book Antiqua" w:cs="Arial"/>
        </w:rPr>
        <w:t>the FtJ</w:t>
      </w:r>
      <w:r w:rsidR="00236A56">
        <w:rPr>
          <w:rFonts w:ascii="Book Antiqua" w:hAnsi="Book Antiqua" w:cs="Arial"/>
        </w:rPr>
        <w:t xml:space="preserve"> had failed to explain why the public interest outweighed the appellant’s human rights claim.</w:t>
      </w:r>
    </w:p>
    <w:p w:rsidR="0010109F" w:rsidRDefault="00236A56" w:rsidP="00744667">
      <w:pPr>
        <w:numPr>
          <w:ilvl w:val="0"/>
          <w:numId w:val="1"/>
        </w:numPr>
        <w:tabs>
          <w:tab w:val="clear" w:pos="567"/>
        </w:tabs>
        <w:spacing w:before="240"/>
        <w:jc w:val="both"/>
        <w:rPr>
          <w:rFonts w:ascii="Book Antiqua" w:hAnsi="Book Antiqua" w:cs="Arial"/>
        </w:rPr>
      </w:pPr>
      <w:r>
        <w:rPr>
          <w:rFonts w:ascii="Book Antiqua" w:hAnsi="Book Antiqua" w:cs="Arial"/>
        </w:rPr>
        <w:t xml:space="preserve">Mr Melvin relied on the </w:t>
      </w:r>
      <w:r w:rsidR="00151DD4">
        <w:rPr>
          <w:rFonts w:ascii="Book Antiqua" w:hAnsi="Book Antiqua" w:cs="Arial"/>
        </w:rPr>
        <w:t>‘r</w:t>
      </w:r>
      <w:r>
        <w:rPr>
          <w:rFonts w:ascii="Book Antiqua" w:hAnsi="Book Antiqua" w:cs="Arial"/>
        </w:rPr>
        <w:t>ule 24</w:t>
      </w:r>
      <w:r w:rsidR="00151DD4">
        <w:rPr>
          <w:rFonts w:ascii="Book Antiqua" w:hAnsi="Book Antiqua" w:cs="Arial"/>
        </w:rPr>
        <w:t>’</w:t>
      </w:r>
      <w:r>
        <w:rPr>
          <w:rFonts w:ascii="Book Antiqua" w:hAnsi="Book Antiqua" w:cs="Arial"/>
        </w:rPr>
        <w:t xml:space="preserve"> response provided today.  It was submitted that neither of the grounds had any merit.  It was emphasised that the relationship</w:t>
      </w:r>
      <w:r w:rsidR="00151DD4">
        <w:rPr>
          <w:rFonts w:ascii="Book Antiqua" w:hAnsi="Book Antiqua" w:cs="Arial"/>
        </w:rPr>
        <w:t xml:space="preserve"> between the appellant and his wife</w:t>
      </w:r>
      <w:r>
        <w:rPr>
          <w:rFonts w:ascii="Book Antiqua" w:hAnsi="Book Antiqua" w:cs="Arial"/>
        </w:rPr>
        <w:t xml:space="preserve"> was entered into when the appellant was unlawfully in the UK for a considerable amount of time</w:t>
      </w:r>
      <w:r w:rsidR="00151DD4">
        <w:rPr>
          <w:rFonts w:ascii="Book Antiqua" w:hAnsi="Book Antiqua" w:cs="Arial"/>
        </w:rPr>
        <w:t>. I</w:t>
      </w:r>
      <w:r>
        <w:rPr>
          <w:rFonts w:ascii="Book Antiqua" w:hAnsi="Book Antiqua" w:cs="Arial"/>
        </w:rPr>
        <w:t xml:space="preserve">t was submitted that it was only in exceptional </w:t>
      </w:r>
      <w:r>
        <w:rPr>
          <w:rFonts w:ascii="Book Antiqua" w:hAnsi="Book Antiqua" w:cs="Arial"/>
        </w:rPr>
        <w:lastRenderedPageBreak/>
        <w:t xml:space="preserve">circumstances that such a situation would result in a grant of leave on human rights grounds.  </w:t>
      </w:r>
    </w:p>
    <w:p w:rsidR="00E83065" w:rsidRDefault="00236A56" w:rsidP="00744667">
      <w:pPr>
        <w:numPr>
          <w:ilvl w:val="0"/>
          <w:numId w:val="1"/>
        </w:numPr>
        <w:tabs>
          <w:tab w:val="clear" w:pos="567"/>
        </w:tabs>
        <w:spacing w:before="240"/>
        <w:jc w:val="both"/>
        <w:rPr>
          <w:rFonts w:ascii="Book Antiqua" w:hAnsi="Book Antiqua" w:cs="Arial"/>
        </w:rPr>
      </w:pPr>
      <w:r>
        <w:rPr>
          <w:rFonts w:ascii="Book Antiqua" w:hAnsi="Book Antiqua" w:cs="Arial"/>
        </w:rPr>
        <w:t>Various factors were referred to</w:t>
      </w:r>
      <w:r w:rsidR="007C423F">
        <w:rPr>
          <w:rFonts w:ascii="Book Antiqua" w:hAnsi="Book Antiqua" w:cs="Arial"/>
        </w:rPr>
        <w:t xml:space="preserve"> in the</w:t>
      </w:r>
      <w:r w:rsidR="00C37A74">
        <w:rPr>
          <w:rFonts w:ascii="Book Antiqua" w:hAnsi="Book Antiqua" w:cs="Arial"/>
        </w:rPr>
        <w:t xml:space="preserve"> FtJ</w:t>
      </w:r>
      <w:r>
        <w:rPr>
          <w:rFonts w:ascii="Book Antiqua" w:hAnsi="Book Antiqua" w:cs="Arial"/>
        </w:rPr>
        <w:t>’s decision</w:t>
      </w:r>
      <w:r w:rsidR="007C423F">
        <w:rPr>
          <w:rFonts w:ascii="Book Antiqua" w:hAnsi="Book Antiqua" w:cs="Arial"/>
        </w:rPr>
        <w:t>,</w:t>
      </w:r>
      <w:r>
        <w:rPr>
          <w:rFonts w:ascii="Book Antiqua" w:hAnsi="Book Antiqua" w:cs="Arial"/>
        </w:rPr>
        <w:t xml:space="preserve"> for example that Bengali is the appellant’s first language, that he has links to Bangladesh and that he had demonstrated some resourcefulness in living and working overseas.  </w:t>
      </w:r>
      <w:r w:rsidR="007C423F">
        <w:rPr>
          <w:rFonts w:ascii="Book Antiqua" w:hAnsi="Book Antiqua" w:cs="Arial"/>
        </w:rPr>
        <w:t>The FtJ</w:t>
      </w:r>
      <w:r>
        <w:rPr>
          <w:rFonts w:ascii="Book Antiqua" w:hAnsi="Book Antiqua" w:cs="Arial"/>
        </w:rPr>
        <w:t xml:space="preserve"> found that accommodation would be available to the appellant</w:t>
      </w:r>
      <w:r w:rsidR="007C423F">
        <w:rPr>
          <w:rFonts w:ascii="Book Antiqua" w:hAnsi="Book Antiqua" w:cs="Arial"/>
        </w:rPr>
        <w:t>. I</w:t>
      </w:r>
      <w:r>
        <w:rPr>
          <w:rFonts w:ascii="Book Antiqua" w:hAnsi="Book Antiqua" w:cs="Arial"/>
        </w:rPr>
        <w:t xml:space="preserve">t was submitted </w:t>
      </w:r>
      <w:r w:rsidR="0010109F">
        <w:rPr>
          <w:rFonts w:ascii="Book Antiqua" w:hAnsi="Book Antiqua" w:cs="Arial"/>
        </w:rPr>
        <w:t xml:space="preserve">that </w:t>
      </w:r>
      <w:r>
        <w:rPr>
          <w:rFonts w:ascii="Book Antiqua" w:hAnsi="Book Antiqua" w:cs="Arial"/>
        </w:rPr>
        <w:t>in terms of insurmountable obstacles</w:t>
      </w:r>
      <w:r w:rsidR="007C423F">
        <w:rPr>
          <w:rFonts w:ascii="Book Antiqua" w:hAnsi="Book Antiqua" w:cs="Arial"/>
        </w:rPr>
        <w:t>,</w:t>
      </w:r>
      <w:r>
        <w:rPr>
          <w:rFonts w:ascii="Book Antiqua" w:hAnsi="Book Antiqua" w:cs="Arial"/>
        </w:rPr>
        <w:t xml:space="preserve"> the appellant’s case did not get anywhere </w:t>
      </w:r>
      <w:r w:rsidR="00BC513A">
        <w:rPr>
          <w:rFonts w:ascii="Book Antiqua" w:hAnsi="Book Antiqua" w:cs="Arial"/>
        </w:rPr>
        <w:t xml:space="preserve">near </w:t>
      </w:r>
      <w:r>
        <w:rPr>
          <w:rFonts w:ascii="Book Antiqua" w:hAnsi="Book Antiqua" w:cs="Arial"/>
        </w:rPr>
        <w:t xml:space="preserve">establishing that such obstacles existed or that another Tribunal would reach a different conclusion on the facts.  </w:t>
      </w:r>
    </w:p>
    <w:p w:rsidR="00317846" w:rsidRDefault="00236A56" w:rsidP="00744667">
      <w:pPr>
        <w:numPr>
          <w:ilvl w:val="0"/>
          <w:numId w:val="1"/>
        </w:numPr>
        <w:tabs>
          <w:tab w:val="clear" w:pos="567"/>
        </w:tabs>
        <w:spacing w:before="240"/>
        <w:jc w:val="both"/>
        <w:rPr>
          <w:rFonts w:ascii="Book Antiqua" w:hAnsi="Book Antiqua" w:cs="Arial"/>
        </w:rPr>
      </w:pPr>
      <w:r>
        <w:rPr>
          <w:rFonts w:ascii="Book Antiqua" w:hAnsi="Book Antiqua" w:cs="Arial"/>
        </w:rPr>
        <w:t xml:space="preserve">Mr Melvin also relied on the decision </w:t>
      </w:r>
      <w:r w:rsidR="00184350">
        <w:rPr>
          <w:rFonts w:ascii="Book Antiqua" w:hAnsi="Book Antiqua" w:cs="Arial"/>
        </w:rPr>
        <w:t xml:space="preserve">in </w:t>
      </w:r>
      <w:r w:rsidR="00184350" w:rsidRPr="00184350">
        <w:rPr>
          <w:rFonts w:ascii="Book Antiqua" w:hAnsi="Book Antiqua" w:cs="Arial"/>
          <w:i/>
        </w:rPr>
        <w:t>A</w:t>
      </w:r>
      <w:r w:rsidRPr="00184350">
        <w:rPr>
          <w:rFonts w:ascii="Book Antiqua" w:hAnsi="Book Antiqua" w:cs="Arial"/>
          <w:i/>
        </w:rPr>
        <w:t>g</w:t>
      </w:r>
      <w:r w:rsidR="00453A78">
        <w:rPr>
          <w:rFonts w:ascii="Book Antiqua" w:hAnsi="Book Antiqua" w:cs="Arial"/>
          <w:i/>
        </w:rPr>
        <w:t>yar</w:t>
      </w:r>
      <w:r w:rsidRPr="00184350">
        <w:rPr>
          <w:rFonts w:ascii="Book Antiqua" w:hAnsi="Book Antiqua" w:cs="Arial"/>
          <w:i/>
        </w:rPr>
        <w:t>k</w:t>
      </w:r>
      <w:r>
        <w:rPr>
          <w:rFonts w:ascii="Book Antiqua" w:hAnsi="Book Antiqua" w:cs="Arial"/>
        </w:rPr>
        <w:t xml:space="preserve">o but </w:t>
      </w:r>
      <w:r w:rsidR="00BC513A">
        <w:rPr>
          <w:rFonts w:ascii="Book Antiqua" w:hAnsi="Book Antiqua" w:cs="Arial"/>
        </w:rPr>
        <w:t>in addition</w:t>
      </w:r>
      <w:r>
        <w:rPr>
          <w:rFonts w:ascii="Book Antiqua" w:hAnsi="Book Antiqua" w:cs="Arial"/>
        </w:rPr>
        <w:t xml:space="preserve"> referred me to </w:t>
      </w:r>
      <w:r w:rsidRPr="00184350">
        <w:rPr>
          <w:rFonts w:ascii="Book Antiqua" w:hAnsi="Book Antiqua" w:cs="Arial"/>
          <w:i/>
        </w:rPr>
        <w:t>TZ</w:t>
      </w:r>
      <w:r>
        <w:rPr>
          <w:rFonts w:ascii="Book Antiqua" w:hAnsi="Book Antiqua" w:cs="Arial"/>
        </w:rPr>
        <w:t xml:space="preserve"> </w:t>
      </w:r>
      <w:r w:rsidRPr="00E83065">
        <w:rPr>
          <w:rFonts w:ascii="Book Antiqua" w:hAnsi="Book Antiqua" w:cs="Arial"/>
          <w:i/>
        </w:rPr>
        <w:t>(Pakistan)</w:t>
      </w:r>
      <w:r>
        <w:rPr>
          <w:rFonts w:ascii="Book Antiqua" w:hAnsi="Book Antiqua" w:cs="Arial"/>
        </w:rPr>
        <w:t xml:space="preserve"> and </w:t>
      </w:r>
      <w:r w:rsidRPr="00184350">
        <w:rPr>
          <w:rFonts w:ascii="Book Antiqua" w:hAnsi="Book Antiqua" w:cs="Arial"/>
          <w:i/>
        </w:rPr>
        <w:t xml:space="preserve">PJ </w:t>
      </w:r>
      <w:r w:rsidR="00184350" w:rsidRPr="00184350">
        <w:rPr>
          <w:rFonts w:ascii="Book Antiqua" w:hAnsi="Book Antiqua" w:cs="Arial"/>
          <w:i/>
        </w:rPr>
        <w:t>(</w:t>
      </w:r>
      <w:r w:rsidRPr="00184350">
        <w:rPr>
          <w:rFonts w:ascii="Book Antiqua" w:hAnsi="Book Antiqua" w:cs="Arial"/>
          <w:i/>
        </w:rPr>
        <w:t>India</w:t>
      </w:r>
      <w:r w:rsidR="00184350" w:rsidRPr="00184350">
        <w:rPr>
          <w:rFonts w:ascii="Book Antiqua" w:hAnsi="Book Antiqua" w:cs="Arial"/>
          <w:i/>
        </w:rPr>
        <w:t>)</w:t>
      </w:r>
      <w:r w:rsidRPr="00184350">
        <w:rPr>
          <w:rFonts w:ascii="Book Antiqua" w:hAnsi="Book Antiqua" w:cs="Arial"/>
          <w:i/>
        </w:rPr>
        <w:t xml:space="preserve"> v Secretary of State for the Home Department</w:t>
      </w:r>
      <w:r>
        <w:rPr>
          <w:rFonts w:ascii="Book Antiqua" w:hAnsi="Book Antiqua" w:cs="Arial"/>
        </w:rPr>
        <w:t xml:space="preserve"> [2018] EWCA Civ 1109 in particular at </w:t>
      </w:r>
      <w:r w:rsidR="0051155A">
        <w:rPr>
          <w:rFonts w:ascii="Book Antiqua" w:hAnsi="Book Antiqua" w:cs="Arial"/>
        </w:rPr>
        <w:t>[</w:t>
      </w:r>
      <w:r>
        <w:rPr>
          <w:rFonts w:ascii="Book Antiqua" w:hAnsi="Book Antiqua" w:cs="Arial"/>
        </w:rPr>
        <w:t>25</w:t>
      </w:r>
      <w:r w:rsidR="0051155A">
        <w:rPr>
          <w:rFonts w:ascii="Book Antiqua" w:hAnsi="Book Antiqua" w:cs="Arial"/>
        </w:rPr>
        <w:t>]</w:t>
      </w:r>
      <w:r>
        <w:rPr>
          <w:rFonts w:ascii="Book Antiqua" w:hAnsi="Book Antiqua" w:cs="Arial"/>
        </w:rPr>
        <w:t>.  He submitted</w:t>
      </w:r>
      <w:r w:rsidR="00F874D1">
        <w:rPr>
          <w:rFonts w:ascii="Book Antiqua" w:hAnsi="Book Antiqua" w:cs="Arial"/>
        </w:rPr>
        <w:t>,</w:t>
      </w:r>
      <w:r>
        <w:rPr>
          <w:rFonts w:ascii="Book Antiqua" w:hAnsi="Book Antiqua" w:cs="Arial"/>
        </w:rPr>
        <w:t xml:space="preserve"> finally</w:t>
      </w:r>
      <w:r w:rsidR="00F874D1">
        <w:rPr>
          <w:rFonts w:ascii="Book Antiqua" w:hAnsi="Book Antiqua" w:cs="Arial"/>
        </w:rPr>
        <w:t>,</w:t>
      </w:r>
      <w:r>
        <w:rPr>
          <w:rFonts w:ascii="Book Antiqua" w:hAnsi="Book Antiqua" w:cs="Arial"/>
        </w:rPr>
        <w:t xml:space="preserve"> that read holistically all factors were considered and there was no error of law in the </w:t>
      </w:r>
      <w:r w:rsidR="00500F78">
        <w:rPr>
          <w:rFonts w:ascii="Book Antiqua" w:hAnsi="Book Antiqua" w:cs="Arial"/>
        </w:rPr>
        <w:t>FtJ’s</w:t>
      </w:r>
      <w:r>
        <w:rPr>
          <w:rFonts w:ascii="Book Antiqua" w:hAnsi="Book Antiqua" w:cs="Arial"/>
        </w:rPr>
        <w:t xml:space="preserve"> decision. </w:t>
      </w:r>
      <w:r w:rsidR="00184350">
        <w:rPr>
          <w:rFonts w:ascii="Book Antiqua" w:hAnsi="Book Antiqua" w:cs="Arial"/>
        </w:rPr>
        <w:t xml:space="preserve"> </w:t>
      </w:r>
    </w:p>
    <w:p w:rsidR="00C9683E" w:rsidRDefault="00184350" w:rsidP="00744667">
      <w:pPr>
        <w:numPr>
          <w:ilvl w:val="0"/>
          <w:numId w:val="1"/>
        </w:numPr>
        <w:tabs>
          <w:tab w:val="clear" w:pos="567"/>
        </w:tabs>
        <w:spacing w:before="240"/>
        <w:jc w:val="both"/>
        <w:rPr>
          <w:rFonts w:ascii="Book Antiqua" w:hAnsi="Book Antiqua" w:cs="Arial"/>
        </w:rPr>
      </w:pPr>
      <w:r>
        <w:rPr>
          <w:rFonts w:ascii="Book Antiqua" w:hAnsi="Book Antiqua" w:cs="Arial"/>
        </w:rPr>
        <w:t>In reply</w:t>
      </w:r>
      <w:r w:rsidR="00500F78">
        <w:rPr>
          <w:rFonts w:ascii="Book Antiqua" w:hAnsi="Book Antiqua" w:cs="Arial"/>
        </w:rPr>
        <w:t>,</w:t>
      </w:r>
      <w:r>
        <w:rPr>
          <w:rFonts w:ascii="Book Antiqua" w:hAnsi="Book Antiqua" w:cs="Arial"/>
        </w:rPr>
        <w:t xml:space="preserve"> Mr Hassan pointed out that the</w:t>
      </w:r>
      <w:r w:rsidR="00C9683E">
        <w:rPr>
          <w:rFonts w:ascii="Book Antiqua" w:hAnsi="Book Antiqua" w:cs="Arial"/>
        </w:rPr>
        <w:t xml:space="preserve"> FtJ</w:t>
      </w:r>
      <w:r>
        <w:rPr>
          <w:rFonts w:ascii="Book Antiqua" w:hAnsi="Book Antiqua" w:cs="Arial"/>
        </w:rPr>
        <w:t xml:space="preserve"> had considered paragraph 276ADE(1)(vi) </w:t>
      </w:r>
      <w:r w:rsidR="00791A43">
        <w:rPr>
          <w:rFonts w:ascii="Book Antiqua" w:hAnsi="Book Antiqua" w:cs="Arial"/>
        </w:rPr>
        <w:t>al</w:t>
      </w:r>
      <w:r>
        <w:rPr>
          <w:rFonts w:ascii="Book Antiqua" w:hAnsi="Book Antiqua" w:cs="Arial"/>
        </w:rPr>
        <w:t xml:space="preserve">though those aspects of the Rules were not relied on behalf of the appellant and the </w:t>
      </w:r>
      <w:r w:rsidR="00D87FD0">
        <w:rPr>
          <w:rFonts w:ascii="Book Antiqua" w:hAnsi="Book Antiqua" w:cs="Arial"/>
        </w:rPr>
        <w:t>FtJ</w:t>
      </w:r>
      <w:r w:rsidR="00C33556">
        <w:rPr>
          <w:rFonts w:ascii="Book Antiqua" w:hAnsi="Book Antiqua" w:cs="Arial"/>
        </w:rPr>
        <w:t>’</w:t>
      </w:r>
      <w:r>
        <w:rPr>
          <w:rFonts w:ascii="Book Antiqua" w:hAnsi="Book Antiqua" w:cs="Arial"/>
        </w:rPr>
        <w:t>s findings in that respect all related to the appellant’s private life in terms of integration in Bangladesh</w:t>
      </w:r>
      <w:r w:rsidR="00C9683E">
        <w:rPr>
          <w:rFonts w:ascii="Book Antiqua" w:hAnsi="Book Antiqua" w:cs="Arial"/>
        </w:rPr>
        <w:t>,</w:t>
      </w:r>
      <w:r>
        <w:rPr>
          <w:rFonts w:ascii="Book Antiqua" w:hAnsi="Book Antiqua" w:cs="Arial"/>
        </w:rPr>
        <w:t xml:space="preserve"> but not the issue of insurmountable obstacles.  True it was that the appellant’s immigration status was precarious but the appellant and his wife had given credible evidence before </w:t>
      </w:r>
      <w:r w:rsidR="00C9683E">
        <w:rPr>
          <w:rFonts w:ascii="Book Antiqua" w:hAnsi="Book Antiqua" w:cs="Arial"/>
        </w:rPr>
        <w:t>t</w:t>
      </w:r>
      <w:r w:rsidR="00C37A74">
        <w:rPr>
          <w:rFonts w:ascii="Book Antiqua" w:hAnsi="Book Antiqua" w:cs="Arial"/>
        </w:rPr>
        <w:t>he FtJ</w:t>
      </w:r>
      <w:r>
        <w:rPr>
          <w:rFonts w:ascii="Book Antiqua" w:hAnsi="Book Antiqua" w:cs="Arial"/>
        </w:rPr>
        <w:t>.</w:t>
      </w:r>
    </w:p>
    <w:p w:rsidR="00C9683E" w:rsidRPr="00C9683E" w:rsidRDefault="00C9683E" w:rsidP="00C9683E">
      <w:pPr>
        <w:spacing w:before="240"/>
        <w:ind w:left="567"/>
        <w:jc w:val="both"/>
        <w:rPr>
          <w:rFonts w:ascii="Book Antiqua" w:hAnsi="Book Antiqua" w:cs="Arial"/>
          <w:i/>
        </w:rPr>
      </w:pPr>
      <w:r>
        <w:rPr>
          <w:rFonts w:ascii="Book Antiqua" w:hAnsi="Book Antiqua" w:cs="Arial"/>
          <w:i/>
        </w:rPr>
        <w:t>Assessment and Conclusions</w:t>
      </w:r>
    </w:p>
    <w:p w:rsidR="00236A56" w:rsidRDefault="00184350" w:rsidP="00744667">
      <w:pPr>
        <w:numPr>
          <w:ilvl w:val="0"/>
          <w:numId w:val="1"/>
        </w:numPr>
        <w:tabs>
          <w:tab w:val="clear" w:pos="567"/>
        </w:tabs>
        <w:spacing w:before="240"/>
        <w:jc w:val="both"/>
        <w:rPr>
          <w:rFonts w:ascii="Book Antiqua" w:hAnsi="Book Antiqua" w:cs="Arial"/>
        </w:rPr>
      </w:pPr>
      <w:r>
        <w:rPr>
          <w:rFonts w:ascii="Book Antiqua" w:hAnsi="Book Antiqua" w:cs="Arial"/>
        </w:rPr>
        <w:t xml:space="preserve">I am not satisfied that there is any error of law in </w:t>
      </w:r>
      <w:r w:rsidR="00C9683E">
        <w:rPr>
          <w:rFonts w:ascii="Book Antiqua" w:hAnsi="Book Antiqua" w:cs="Arial"/>
        </w:rPr>
        <w:t>t</w:t>
      </w:r>
      <w:r w:rsidR="00C37A74">
        <w:rPr>
          <w:rFonts w:ascii="Book Antiqua" w:hAnsi="Book Antiqua" w:cs="Arial"/>
        </w:rPr>
        <w:t>he FtJ</w:t>
      </w:r>
      <w:r>
        <w:rPr>
          <w:rFonts w:ascii="Book Antiqua" w:hAnsi="Book Antiqua" w:cs="Arial"/>
        </w:rPr>
        <w:t>’s decision for any of the rea</w:t>
      </w:r>
      <w:r w:rsidR="004D39CB">
        <w:rPr>
          <w:rFonts w:ascii="Book Antiqua" w:hAnsi="Book Antiqua" w:cs="Arial"/>
        </w:rPr>
        <w:t>sons advanced on behalf of the a</w:t>
      </w:r>
      <w:r>
        <w:rPr>
          <w:rFonts w:ascii="Book Antiqua" w:hAnsi="Book Antiqua" w:cs="Arial"/>
        </w:rPr>
        <w:t xml:space="preserve">ppellant or otherwise.  I do not accept what is said at </w:t>
      </w:r>
      <w:r w:rsidR="006E624E">
        <w:rPr>
          <w:rFonts w:ascii="Book Antiqua" w:hAnsi="Book Antiqua" w:cs="Arial"/>
        </w:rPr>
        <w:t>[</w:t>
      </w:r>
      <w:r>
        <w:rPr>
          <w:rFonts w:ascii="Book Antiqua" w:hAnsi="Book Antiqua" w:cs="Arial"/>
        </w:rPr>
        <w:t>3</w:t>
      </w:r>
      <w:r w:rsidR="006E624E">
        <w:rPr>
          <w:rFonts w:ascii="Book Antiqua" w:hAnsi="Book Antiqua" w:cs="Arial"/>
        </w:rPr>
        <w:t>]</w:t>
      </w:r>
      <w:r>
        <w:rPr>
          <w:rFonts w:ascii="Book Antiqua" w:hAnsi="Book Antiqua" w:cs="Arial"/>
        </w:rPr>
        <w:t xml:space="preserve"> of the grounds to the effect that the </w:t>
      </w:r>
      <w:r w:rsidR="00C9683E">
        <w:rPr>
          <w:rFonts w:ascii="Book Antiqua" w:hAnsi="Book Antiqua" w:cs="Arial"/>
        </w:rPr>
        <w:t xml:space="preserve">FtJ </w:t>
      </w:r>
      <w:r>
        <w:rPr>
          <w:rFonts w:ascii="Book Antiqua" w:hAnsi="Book Antiqua" w:cs="Arial"/>
        </w:rPr>
        <w:t>provide</w:t>
      </w:r>
      <w:r w:rsidR="00EA0FC6">
        <w:rPr>
          <w:rFonts w:ascii="Book Antiqua" w:hAnsi="Book Antiqua" w:cs="Arial"/>
        </w:rPr>
        <w:t>d</w:t>
      </w:r>
      <w:r>
        <w:rPr>
          <w:rFonts w:ascii="Book Antiqua" w:hAnsi="Book Antiqua" w:cs="Arial"/>
        </w:rPr>
        <w:t xml:space="preserve"> no reasons whats</w:t>
      </w:r>
      <w:r w:rsidR="00C25C5D">
        <w:rPr>
          <w:rFonts w:ascii="Book Antiqua" w:hAnsi="Book Antiqua" w:cs="Arial"/>
        </w:rPr>
        <w:t xml:space="preserve">oever for </w:t>
      </w:r>
      <w:r w:rsidR="00587BB7">
        <w:rPr>
          <w:rFonts w:ascii="Book Antiqua" w:hAnsi="Book Antiqua" w:cs="Arial"/>
        </w:rPr>
        <w:t>his</w:t>
      </w:r>
      <w:r w:rsidR="00C25C5D">
        <w:rPr>
          <w:rFonts w:ascii="Book Antiqua" w:hAnsi="Book Antiqua" w:cs="Arial"/>
        </w:rPr>
        <w:t xml:space="preserve"> finding that the a</w:t>
      </w:r>
      <w:r>
        <w:rPr>
          <w:rFonts w:ascii="Book Antiqua" w:hAnsi="Book Antiqua" w:cs="Arial"/>
        </w:rPr>
        <w:t xml:space="preserve">ppellant and his partner could overcome the difficulties they would face or that those difficulties would not entail very serious hardship for them.  </w:t>
      </w:r>
    </w:p>
    <w:p w:rsidR="00CE1093" w:rsidRDefault="00184350" w:rsidP="00744667">
      <w:pPr>
        <w:numPr>
          <w:ilvl w:val="0"/>
          <w:numId w:val="1"/>
        </w:numPr>
        <w:tabs>
          <w:tab w:val="clear" w:pos="567"/>
        </w:tabs>
        <w:spacing w:before="240"/>
        <w:jc w:val="both"/>
        <w:rPr>
          <w:rFonts w:ascii="Book Antiqua" w:hAnsi="Book Antiqua" w:cs="Arial"/>
        </w:rPr>
      </w:pPr>
      <w:r>
        <w:rPr>
          <w:rFonts w:ascii="Book Antiqua" w:hAnsi="Book Antiqua" w:cs="Arial"/>
        </w:rPr>
        <w:t xml:space="preserve">At paragraph </w:t>
      </w:r>
      <w:r w:rsidR="007D5A06">
        <w:rPr>
          <w:rFonts w:ascii="Book Antiqua" w:hAnsi="Book Antiqua" w:cs="Arial"/>
        </w:rPr>
        <w:t>[</w:t>
      </w:r>
      <w:r>
        <w:rPr>
          <w:rFonts w:ascii="Book Antiqua" w:hAnsi="Book Antiqua" w:cs="Arial"/>
        </w:rPr>
        <w:t>30</w:t>
      </w:r>
      <w:r w:rsidR="007D5A06">
        <w:rPr>
          <w:rFonts w:ascii="Book Antiqua" w:hAnsi="Book Antiqua" w:cs="Arial"/>
        </w:rPr>
        <w:t>]</w:t>
      </w:r>
      <w:r>
        <w:rPr>
          <w:rFonts w:ascii="Book Antiqua" w:hAnsi="Book Antiqua" w:cs="Arial"/>
        </w:rPr>
        <w:t xml:space="preserve"> of his decision the </w:t>
      </w:r>
      <w:r w:rsidR="00637F69">
        <w:rPr>
          <w:rFonts w:ascii="Book Antiqua" w:hAnsi="Book Antiqua" w:cs="Arial"/>
        </w:rPr>
        <w:t>FtJ</w:t>
      </w:r>
      <w:r>
        <w:rPr>
          <w:rFonts w:ascii="Book Antiqua" w:hAnsi="Book Antiqua" w:cs="Arial"/>
        </w:rPr>
        <w:t xml:space="preserve"> said </w:t>
      </w:r>
      <w:r w:rsidR="00CE1093">
        <w:rPr>
          <w:rFonts w:ascii="Book Antiqua" w:hAnsi="Book Antiqua" w:cs="Arial"/>
        </w:rPr>
        <w:t>this:</w:t>
      </w:r>
    </w:p>
    <w:p w:rsidR="005B02CD" w:rsidRPr="005B02CD" w:rsidRDefault="00621045" w:rsidP="005B02CD">
      <w:pPr>
        <w:spacing w:before="240"/>
        <w:ind w:left="1418"/>
        <w:jc w:val="both"/>
        <w:rPr>
          <w:rFonts w:ascii="Book Antiqua" w:hAnsi="Book Antiqua" w:cs="Arial"/>
          <w:sz w:val="22"/>
          <w:szCs w:val="22"/>
        </w:rPr>
      </w:pPr>
      <w:r w:rsidRPr="005B02CD">
        <w:rPr>
          <w:rFonts w:ascii="Book Antiqua" w:hAnsi="Book Antiqua" w:cs="Arial"/>
          <w:sz w:val="22"/>
          <w:szCs w:val="22"/>
        </w:rPr>
        <w:t>“</w:t>
      </w:r>
      <w:r w:rsidR="00184350" w:rsidRPr="005B02CD">
        <w:rPr>
          <w:rFonts w:ascii="Book Antiqua" w:hAnsi="Book Antiqua" w:cs="Arial"/>
          <w:sz w:val="22"/>
          <w:szCs w:val="22"/>
        </w:rPr>
        <w:t xml:space="preserve">the </w:t>
      </w:r>
      <w:r w:rsidRPr="005B02CD">
        <w:rPr>
          <w:rFonts w:ascii="Book Antiqua" w:hAnsi="Book Antiqua" w:cs="Arial"/>
          <w:sz w:val="22"/>
          <w:szCs w:val="22"/>
        </w:rPr>
        <w:t>A</w:t>
      </w:r>
      <w:r w:rsidR="00184350" w:rsidRPr="005B02CD">
        <w:rPr>
          <w:rFonts w:ascii="Book Antiqua" w:hAnsi="Book Antiqua" w:cs="Arial"/>
          <w:sz w:val="22"/>
          <w:szCs w:val="22"/>
        </w:rPr>
        <w:t xml:space="preserve">ppellant must have adapted to living and working in Oman where he spent </w:t>
      </w:r>
      <w:r w:rsidR="00CE1093" w:rsidRPr="005B02CD">
        <w:rPr>
          <w:rFonts w:ascii="Book Antiqua" w:hAnsi="Book Antiqua" w:cs="Arial"/>
          <w:sz w:val="22"/>
          <w:szCs w:val="22"/>
        </w:rPr>
        <w:t>12</w:t>
      </w:r>
      <w:r w:rsidR="00184350" w:rsidRPr="005B02CD">
        <w:rPr>
          <w:rFonts w:ascii="Book Antiqua" w:hAnsi="Book Antiqua" w:cs="Arial"/>
          <w:sz w:val="22"/>
          <w:szCs w:val="22"/>
        </w:rPr>
        <w:t xml:space="preserve"> years before he came to the UK</w:t>
      </w:r>
      <w:r w:rsidR="009B440E" w:rsidRPr="005B02CD">
        <w:rPr>
          <w:rFonts w:ascii="Book Antiqua" w:hAnsi="Book Antiqua" w:cs="Arial"/>
          <w:sz w:val="22"/>
          <w:szCs w:val="22"/>
        </w:rPr>
        <w:t xml:space="preserve">.  </w:t>
      </w:r>
      <w:r w:rsidR="00065E4E" w:rsidRPr="005B02CD">
        <w:rPr>
          <w:rFonts w:ascii="Book Antiqua" w:hAnsi="Book Antiqua" w:cs="Arial"/>
          <w:sz w:val="22"/>
          <w:szCs w:val="22"/>
        </w:rPr>
        <w:t>He then remained in the UK</w:t>
      </w:r>
      <w:r w:rsidRPr="005B02CD">
        <w:rPr>
          <w:rFonts w:ascii="Book Antiqua" w:hAnsi="Book Antiqua" w:cs="Arial"/>
          <w:sz w:val="22"/>
          <w:szCs w:val="22"/>
        </w:rPr>
        <w:t>,</w:t>
      </w:r>
      <w:r w:rsidR="00065E4E" w:rsidRPr="005B02CD">
        <w:rPr>
          <w:rFonts w:ascii="Book Antiqua" w:hAnsi="Book Antiqua" w:cs="Arial"/>
          <w:sz w:val="22"/>
          <w:szCs w:val="22"/>
        </w:rPr>
        <w:t xml:space="preserve"> and on his own account established a private life</w:t>
      </w:r>
      <w:r w:rsidR="00F3218F" w:rsidRPr="005B02CD">
        <w:rPr>
          <w:rFonts w:ascii="Book Antiqua" w:hAnsi="Book Antiqua" w:cs="Arial"/>
          <w:sz w:val="22"/>
          <w:szCs w:val="22"/>
        </w:rPr>
        <w:t>,</w:t>
      </w:r>
      <w:r w:rsidR="00065E4E" w:rsidRPr="005B02CD">
        <w:rPr>
          <w:rFonts w:ascii="Book Antiqua" w:hAnsi="Book Antiqua" w:cs="Arial"/>
          <w:sz w:val="22"/>
          <w:szCs w:val="22"/>
        </w:rPr>
        <w:t xml:space="preserve"> even though it was an unfamiliar country</w:t>
      </w:r>
      <w:r w:rsidR="00F3218F" w:rsidRPr="005B02CD">
        <w:rPr>
          <w:rFonts w:ascii="Book Antiqua" w:hAnsi="Book Antiqua" w:cs="Arial"/>
          <w:sz w:val="22"/>
          <w:szCs w:val="22"/>
        </w:rPr>
        <w:t>,</w:t>
      </w:r>
      <w:r w:rsidR="00065E4E" w:rsidRPr="005B02CD">
        <w:rPr>
          <w:rFonts w:ascii="Book Antiqua" w:hAnsi="Book Antiqua" w:cs="Arial"/>
          <w:sz w:val="22"/>
          <w:szCs w:val="22"/>
        </w:rPr>
        <w:t xml:space="preserve"> he did not speak English and he was an illegal resident.</w:t>
      </w:r>
      <w:r w:rsidR="005B02CD" w:rsidRPr="005B02CD">
        <w:rPr>
          <w:rFonts w:ascii="Book Antiqua" w:hAnsi="Book Antiqua" w:cs="Arial"/>
          <w:sz w:val="22"/>
          <w:szCs w:val="22"/>
        </w:rPr>
        <w:t>”</w:t>
      </w:r>
    </w:p>
    <w:p w:rsidR="00184350" w:rsidRPr="005B02CD" w:rsidRDefault="00065E4E" w:rsidP="005B02CD">
      <w:pPr>
        <w:spacing w:before="240"/>
        <w:ind w:left="1418" w:hanging="851"/>
        <w:jc w:val="both"/>
        <w:rPr>
          <w:rFonts w:ascii="Book Antiqua" w:hAnsi="Book Antiqua" w:cs="Arial"/>
          <w:sz w:val="22"/>
          <w:szCs w:val="22"/>
        </w:rPr>
      </w:pPr>
      <w:r w:rsidRPr="005B02CD">
        <w:rPr>
          <w:rFonts w:ascii="Book Antiqua" w:hAnsi="Book Antiqua" w:cs="Arial"/>
          <w:sz w:val="22"/>
          <w:szCs w:val="22"/>
        </w:rPr>
        <w:t xml:space="preserve"> </w:t>
      </w:r>
    </w:p>
    <w:p w:rsidR="00065E4E" w:rsidRDefault="005B02CD" w:rsidP="00744667">
      <w:pPr>
        <w:numPr>
          <w:ilvl w:val="0"/>
          <w:numId w:val="1"/>
        </w:numPr>
        <w:tabs>
          <w:tab w:val="clear" w:pos="567"/>
        </w:tabs>
        <w:spacing w:before="240"/>
        <w:jc w:val="both"/>
        <w:rPr>
          <w:rFonts w:ascii="Book Antiqua" w:hAnsi="Book Antiqua" w:cs="Arial"/>
        </w:rPr>
      </w:pPr>
      <w:r>
        <w:rPr>
          <w:rFonts w:ascii="Book Antiqua" w:hAnsi="Book Antiqua" w:cs="Arial"/>
        </w:rPr>
        <w:t>He concluded that the appellant was resourceful enough to live in a county where he was very much an outsider.  In contrast</w:t>
      </w:r>
      <w:r w:rsidR="0099177A">
        <w:rPr>
          <w:rFonts w:ascii="Book Antiqua" w:hAnsi="Book Antiqua" w:cs="Arial"/>
        </w:rPr>
        <w:t>,</w:t>
      </w:r>
      <w:r>
        <w:rPr>
          <w:rFonts w:ascii="Book Antiqua" w:hAnsi="Book Antiqua" w:cs="Arial"/>
        </w:rPr>
        <w:t xml:space="preserve"> even though he</w:t>
      </w:r>
      <w:r w:rsidR="0011023F">
        <w:rPr>
          <w:rFonts w:ascii="Book Antiqua" w:hAnsi="Book Antiqua" w:cs="Arial"/>
        </w:rPr>
        <w:t xml:space="preserve"> was</w:t>
      </w:r>
      <w:r>
        <w:rPr>
          <w:rFonts w:ascii="Book Antiqua" w:hAnsi="Book Antiqua" w:cs="Arial"/>
        </w:rPr>
        <w:t xml:space="preserve"> now </w:t>
      </w:r>
      <w:r w:rsidR="0011023F">
        <w:rPr>
          <w:rFonts w:ascii="Book Antiqua" w:hAnsi="Book Antiqua" w:cs="Arial"/>
        </w:rPr>
        <w:t>16</w:t>
      </w:r>
      <w:r>
        <w:rPr>
          <w:rFonts w:ascii="Book Antiqua" w:hAnsi="Book Antiqua" w:cs="Arial"/>
        </w:rPr>
        <w:t xml:space="preserve"> years older than when he came to the UK</w:t>
      </w:r>
      <w:r w:rsidR="0099177A">
        <w:rPr>
          <w:rFonts w:ascii="Book Antiqua" w:hAnsi="Book Antiqua" w:cs="Arial"/>
        </w:rPr>
        <w:t>,</w:t>
      </w:r>
      <w:r>
        <w:rPr>
          <w:rFonts w:ascii="Book Antiqua" w:hAnsi="Book Antiqua" w:cs="Arial"/>
        </w:rPr>
        <w:t xml:space="preserve"> he would be returning to the country where he lived and worked until he left work overseas. </w:t>
      </w:r>
      <w:r w:rsidR="0011023F">
        <w:rPr>
          <w:rFonts w:ascii="Book Antiqua" w:hAnsi="Book Antiqua" w:cs="Arial"/>
        </w:rPr>
        <w:t xml:space="preserve">At </w:t>
      </w:r>
      <w:r w:rsidR="006E0996">
        <w:rPr>
          <w:rFonts w:ascii="Book Antiqua" w:hAnsi="Book Antiqua" w:cs="Arial"/>
        </w:rPr>
        <w:t>[</w:t>
      </w:r>
      <w:r w:rsidR="00065E4E">
        <w:rPr>
          <w:rFonts w:ascii="Book Antiqua" w:hAnsi="Book Antiqua" w:cs="Arial"/>
        </w:rPr>
        <w:t>37</w:t>
      </w:r>
      <w:r w:rsidR="006E0996">
        <w:rPr>
          <w:rFonts w:ascii="Book Antiqua" w:hAnsi="Book Antiqua" w:cs="Arial"/>
        </w:rPr>
        <w:t>]</w:t>
      </w:r>
      <w:r w:rsidR="00065E4E">
        <w:rPr>
          <w:rFonts w:ascii="Book Antiqua" w:hAnsi="Book Antiqua" w:cs="Arial"/>
        </w:rPr>
        <w:t xml:space="preserve"> he referred to the high threshold needed to establish insurmountable obstacles.  He said that it must be shown that there are very significant difficulties and that they cannot be overcome or that they would entail very serious hardship for the appellant and his partner.  </w:t>
      </w:r>
    </w:p>
    <w:p w:rsidR="00065E4E" w:rsidRDefault="00065E4E" w:rsidP="00065E4E">
      <w:pPr>
        <w:numPr>
          <w:ilvl w:val="0"/>
          <w:numId w:val="1"/>
        </w:numPr>
        <w:spacing w:before="240"/>
        <w:jc w:val="both"/>
        <w:rPr>
          <w:rFonts w:ascii="Book Antiqua" w:hAnsi="Book Antiqua" w:cs="Arial"/>
        </w:rPr>
      </w:pPr>
      <w:r>
        <w:rPr>
          <w:rFonts w:ascii="Book Antiqua" w:hAnsi="Book Antiqua" w:cs="Arial"/>
        </w:rPr>
        <w:t xml:space="preserve">At </w:t>
      </w:r>
      <w:r w:rsidR="006401A3">
        <w:rPr>
          <w:rFonts w:ascii="Book Antiqua" w:hAnsi="Book Antiqua" w:cs="Arial"/>
        </w:rPr>
        <w:t>[</w:t>
      </w:r>
      <w:r>
        <w:rPr>
          <w:rFonts w:ascii="Book Antiqua" w:hAnsi="Book Antiqua" w:cs="Arial"/>
        </w:rPr>
        <w:t>42</w:t>
      </w:r>
      <w:r w:rsidR="006401A3">
        <w:rPr>
          <w:rFonts w:ascii="Book Antiqua" w:hAnsi="Book Antiqua" w:cs="Arial"/>
        </w:rPr>
        <w:t>]</w:t>
      </w:r>
      <w:r w:rsidR="00C531B2">
        <w:rPr>
          <w:rFonts w:ascii="Book Antiqua" w:hAnsi="Book Antiqua" w:cs="Arial"/>
        </w:rPr>
        <w:t xml:space="preserve"> is</w:t>
      </w:r>
      <w:r>
        <w:rPr>
          <w:rFonts w:ascii="Book Antiqua" w:hAnsi="Book Antiqua" w:cs="Arial"/>
        </w:rPr>
        <w:t xml:space="preserve"> the synthesis of the </w:t>
      </w:r>
      <w:r w:rsidR="0099177A">
        <w:rPr>
          <w:rFonts w:ascii="Book Antiqua" w:hAnsi="Book Antiqua" w:cs="Arial"/>
        </w:rPr>
        <w:t>FtJ’s</w:t>
      </w:r>
      <w:r>
        <w:rPr>
          <w:rFonts w:ascii="Book Antiqua" w:hAnsi="Book Antiqua" w:cs="Arial"/>
        </w:rPr>
        <w:t xml:space="preserve"> findings albeit</w:t>
      </w:r>
      <w:r w:rsidR="0099177A">
        <w:rPr>
          <w:rFonts w:ascii="Book Antiqua" w:hAnsi="Book Antiqua" w:cs="Arial"/>
        </w:rPr>
        <w:t>,</w:t>
      </w:r>
      <w:r>
        <w:rPr>
          <w:rFonts w:ascii="Book Antiqua" w:hAnsi="Book Antiqua" w:cs="Arial"/>
        </w:rPr>
        <w:t xml:space="preserve"> in a rather attenuated form</w:t>
      </w:r>
      <w:r w:rsidR="00A36CC3">
        <w:rPr>
          <w:rFonts w:ascii="Book Antiqua" w:hAnsi="Book Antiqua" w:cs="Arial"/>
        </w:rPr>
        <w:t>.  T</w:t>
      </w:r>
      <w:r>
        <w:rPr>
          <w:rFonts w:ascii="Book Antiqua" w:hAnsi="Book Antiqua" w:cs="Arial"/>
        </w:rPr>
        <w:t xml:space="preserve">he </w:t>
      </w:r>
      <w:r w:rsidR="006F3B2B">
        <w:rPr>
          <w:rFonts w:ascii="Book Antiqua" w:hAnsi="Book Antiqua" w:cs="Arial"/>
        </w:rPr>
        <w:t>FtJ</w:t>
      </w:r>
      <w:r>
        <w:rPr>
          <w:rFonts w:ascii="Book Antiqua" w:hAnsi="Book Antiqua" w:cs="Arial"/>
        </w:rPr>
        <w:t xml:space="preserve"> said that he accepted that the appellant and his wife would encounter</w:t>
      </w:r>
      <w:r w:rsidR="00A36CC3">
        <w:rPr>
          <w:rFonts w:ascii="Book Antiqua" w:hAnsi="Book Antiqua" w:cs="Arial"/>
        </w:rPr>
        <w:t xml:space="preserve"> difficulties in continuing with their</w:t>
      </w:r>
      <w:r>
        <w:rPr>
          <w:rFonts w:ascii="Book Antiqua" w:hAnsi="Book Antiqua" w:cs="Arial"/>
        </w:rPr>
        <w:t xml:space="preserve"> family life outside the UK but having regard to the evidence before him he was not satisfied that those difficulties could not be overcome or that any hardship experienced by them would amount to very serious hardship. </w:t>
      </w:r>
    </w:p>
    <w:p w:rsidR="00065E4E" w:rsidRDefault="00065E4E" w:rsidP="00065E4E">
      <w:pPr>
        <w:numPr>
          <w:ilvl w:val="0"/>
          <w:numId w:val="1"/>
        </w:numPr>
        <w:spacing w:before="240"/>
        <w:jc w:val="both"/>
        <w:rPr>
          <w:rFonts w:ascii="Book Antiqua" w:hAnsi="Book Antiqua" w:cs="Arial"/>
        </w:rPr>
      </w:pPr>
      <w:r>
        <w:rPr>
          <w:rFonts w:ascii="Book Antiqua" w:hAnsi="Book Antiqua" w:cs="Arial"/>
        </w:rPr>
        <w:t xml:space="preserve">The evidence before the </w:t>
      </w:r>
      <w:r w:rsidR="00486BA8">
        <w:rPr>
          <w:rFonts w:ascii="Book Antiqua" w:hAnsi="Book Antiqua" w:cs="Arial"/>
        </w:rPr>
        <w:t>FtJ</w:t>
      </w:r>
      <w:r>
        <w:rPr>
          <w:rFonts w:ascii="Book Antiqua" w:hAnsi="Book Antiqua" w:cs="Arial"/>
        </w:rPr>
        <w:t xml:space="preserve"> included</w:t>
      </w:r>
      <w:r w:rsidR="00486BA8">
        <w:rPr>
          <w:rFonts w:ascii="Book Antiqua" w:hAnsi="Book Antiqua" w:cs="Arial"/>
        </w:rPr>
        <w:t>,</w:t>
      </w:r>
      <w:r>
        <w:rPr>
          <w:rFonts w:ascii="Book Antiqua" w:hAnsi="Book Antiqua" w:cs="Arial"/>
        </w:rPr>
        <w:t xml:space="preserve"> for example</w:t>
      </w:r>
      <w:r w:rsidR="00486BA8">
        <w:rPr>
          <w:rFonts w:ascii="Book Antiqua" w:hAnsi="Book Antiqua" w:cs="Arial"/>
        </w:rPr>
        <w:t>,</w:t>
      </w:r>
      <w:r>
        <w:rPr>
          <w:rFonts w:ascii="Book Antiqua" w:hAnsi="Book Antiqua" w:cs="Arial"/>
        </w:rPr>
        <w:t xml:space="preserve"> that the appellant had lived and worked in Oman</w:t>
      </w:r>
      <w:r w:rsidR="00CE3C79">
        <w:rPr>
          <w:rFonts w:ascii="Book Antiqua" w:hAnsi="Book Antiqua" w:cs="Arial"/>
        </w:rPr>
        <w:t xml:space="preserve"> and so forth, </w:t>
      </w:r>
      <w:r>
        <w:rPr>
          <w:rFonts w:ascii="Book Antiqua" w:hAnsi="Book Antiqua" w:cs="Arial"/>
        </w:rPr>
        <w:t>a</w:t>
      </w:r>
      <w:r w:rsidR="00924E30">
        <w:rPr>
          <w:rFonts w:ascii="Book Antiqua" w:hAnsi="Book Antiqua" w:cs="Arial"/>
        </w:rPr>
        <w:t xml:space="preserve">nd </w:t>
      </w:r>
      <w:r>
        <w:rPr>
          <w:rFonts w:ascii="Book Antiqua" w:hAnsi="Book Antiqua" w:cs="Arial"/>
        </w:rPr>
        <w:t>I ha</w:t>
      </w:r>
      <w:r w:rsidR="00924E30">
        <w:rPr>
          <w:rFonts w:ascii="Book Antiqua" w:hAnsi="Book Antiqua" w:cs="Arial"/>
        </w:rPr>
        <w:t>ve</w:t>
      </w:r>
      <w:r w:rsidR="00953F1A">
        <w:rPr>
          <w:rFonts w:ascii="Book Antiqua" w:hAnsi="Book Antiqua" w:cs="Arial"/>
        </w:rPr>
        <w:t xml:space="preserve"> already</w:t>
      </w:r>
      <w:r>
        <w:rPr>
          <w:rFonts w:ascii="Book Antiqua" w:hAnsi="Book Antiqua" w:cs="Arial"/>
        </w:rPr>
        <w:t xml:space="preserve"> set out matters that the </w:t>
      </w:r>
      <w:r w:rsidR="00924E30">
        <w:rPr>
          <w:rFonts w:ascii="Book Antiqua" w:hAnsi="Book Antiqua" w:cs="Arial"/>
        </w:rPr>
        <w:t xml:space="preserve">FtJ </w:t>
      </w:r>
      <w:r>
        <w:rPr>
          <w:rFonts w:ascii="Book Antiqua" w:hAnsi="Book Antiqua" w:cs="Arial"/>
        </w:rPr>
        <w:t xml:space="preserve">referred to at paragraph </w:t>
      </w:r>
      <w:r w:rsidR="002E5A79">
        <w:rPr>
          <w:rFonts w:ascii="Book Antiqua" w:hAnsi="Book Antiqua" w:cs="Arial"/>
        </w:rPr>
        <w:t>[</w:t>
      </w:r>
      <w:r>
        <w:rPr>
          <w:rFonts w:ascii="Book Antiqua" w:hAnsi="Book Antiqua" w:cs="Arial"/>
        </w:rPr>
        <w:t>30</w:t>
      </w:r>
      <w:r w:rsidR="002E5A79">
        <w:rPr>
          <w:rFonts w:ascii="Book Antiqua" w:hAnsi="Book Antiqua" w:cs="Arial"/>
        </w:rPr>
        <w:t>]</w:t>
      </w:r>
      <w:r>
        <w:rPr>
          <w:rFonts w:ascii="Book Antiqua" w:hAnsi="Book Antiqua" w:cs="Arial"/>
        </w:rPr>
        <w:t xml:space="preserve"> of his decision.  He said that the appellant gave evidence about recent contact with his brother and sister in Bangladesh even though that evidence might have been to the detriment of his appeal but there was evidence that he might be able to stay with them for a short period.  </w:t>
      </w:r>
    </w:p>
    <w:p w:rsidR="00065E4E" w:rsidRDefault="00065E4E" w:rsidP="00065E4E">
      <w:pPr>
        <w:numPr>
          <w:ilvl w:val="0"/>
          <w:numId w:val="1"/>
        </w:numPr>
        <w:spacing w:before="240"/>
        <w:jc w:val="both"/>
        <w:rPr>
          <w:rFonts w:ascii="Book Antiqua" w:hAnsi="Book Antiqua" w:cs="Arial"/>
        </w:rPr>
      </w:pPr>
      <w:r>
        <w:rPr>
          <w:rFonts w:ascii="Book Antiqua" w:hAnsi="Book Antiqua" w:cs="Arial"/>
        </w:rPr>
        <w:t>The appellant’s evidence was also that he had older siblings in Bangladesh</w:t>
      </w:r>
      <w:r w:rsidR="006A1DA2">
        <w:rPr>
          <w:rFonts w:ascii="Book Antiqua" w:hAnsi="Book Antiqua" w:cs="Arial"/>
        </w:rPr>
        <w:t>. E</w:t>
      </w:r>
      <w:r>
        <w:rPr>
          <w:rFonts w:ascii="Book Antiqua" w:hAnsi="Book Antiqua" w:cs="Arial"/>
        </w:rPr>
        <w:t>ven if they could not assist him with accommodation for more than a short time he would not be entirely socially isolated in Bangladesh on his return</w:t>
      </w:r>
      <w:r w:rsidR="006A1DA2">
        <w:rPr>
          <w:rFonts w:ascii="Book Antiqua" w:hAnsi="Book Antiqua" w:cs="Arial"/>
        </w:rPr>
        <w:t>, the FtJ concluded (</w:t>
      </w:r>
      <w:r w:rsidR="00BB7190">
        <w:rPr>
          <w:rFonts w:ascii="Book Antiqua" w:hAnsi="Book Antiqua" w:cs="Arial"/>
        </w:rPr>
        <w:t>[</w:t>
      </w:r>
      <w:r>
        <w:rPr>
          <w:rFonts w:ascii="Book Antiqua" w:hAnsi="Book Antiqua" w:cs="Arial"/>
        </w:rPr>
        <w:t>35</w:t>
      </w:r>
      <w:r w:rsidR="00BB7190">
        <w:rPr>
          <w:rFonts w:ascii="Book Antiqua" w:hAnsi="Book Antiqua" w:cs="Arial"/>
        </w:rPr>
        <w:t>]</w:t>
      </w:r>
      <w:r w:rsidR="006A1DA2">
        <w:rPr>
          <w:rFonts w:ascii="Book Antiqua" w:hAnsi="Book Antiqua" w:cs="Arial"/>
        </w:rPr>
        <w:t>)</w:t>
      </w:r>
      <w:r>
        <w:rPr>
          <w:rFonts w:ascii="Book Antiqua" w:hAnsi="Book Antiqua" w:cs="Arial"/>
        </w:rPr>
        <w:t xml:space="preserve">.  </w:t>
      </w:r>
    </w:p>
    <w:p w:rsidR="00065E4E" w:rsidRDefault="00BB4F04" w:rsidP="00065E4E">
      <w:pPr>
        <w:numPr>
          <w:ilvl w:val="0"/>
          <w:numId w:val="1"/>
        </w:numPr>
        <w:spacing w:before="240"/>
        <w:jc w:val="both"/>
        <w:rPr>
          <w:rFonts w:ascii="Book Antiqua" w:hAnsi="Book Antiqua" w:cs="Arial"/>
        </w:rPr>
      </w:pPr>
      <w:r>
        <w:rPr>
          <w:rFonts w:ascii="Book Antiqua" w:hAnsi="Book Antiqua" w:cs="Arial"/>
        </w:rPr>
        <w:t xml:space="preserve">Thus, </w:t>
      </w:r>
      <w:r w:rsidR="00065E4E">
        <w:rPr>
          <w:rFonts w:ascii="Book Antiqua" w:hAnsi="Book Antiqua" w:cs="Arial"/>
        </w:rPr>
        <w:t xml:space="preserve">when the </w:t>
      </w:r>
      <w:r w:rsidR="00953F1A">
        <w:rPr>
          <w:rFonts w:ascii="Book Antiqua" w:hAnsi="Book Antiqua" w:cs="Arial"/>
        </w:rPr>
        <w:t>FtJ</w:t>
      </w:r>
      <w:r w:rsidR="00065E4E">
        <w:rPr>
          <w:rFonts w:ascii="Book Antiqua" w:hAnsi="Book Antiqua" w:cs="Arial"/>
        </w:rPr>
        <w:t xml:space="preserve"> said at </w:t>
      </w:r>
      <w:r w:rsidR="00BB7190">
        <w:rPr>
          <w:rFonts w:ascii="Book Antiqua" w:hAnsi="Book Antiqua" w:cs="Arial"/>
        </w:rPr>
        <w:t>[</w:t>
      </w:r>
      <w:r w:rsidR="00065E4E">
        <w:rPr>
          <w:rFonts w:ascii="Book Antiqua" w:hAnsi="Book Antiqua" w:cs="Arial"/>
        </w:rPr>
        <w:t>42</w:t>
      </w:r>
      <w:r w:rsidR="00BB7190">
        <w:rPr>
          <w:rFonts w:ascii="Book Antiqua" w:hAnsi="Book Antiqua" w:cs="Arial"/>
        </w:rPr>
        <w:t>]</w:t>
      </w:r>
      <w:r w:rsidR="00065E4E">
        <w:rPr>
          <w:rFonts w:ascii="Book Antiqua" w:hAnsi="Book Antiqua" w:cs="Arial"/>
        </w:rPr>
        <w:t xml:space="preserve"> that he was satisfied that having regard to all the evidence before him he was not satisfied that there were insurmountable obstacles</w:t>
      </w:r>
      <w:r>
        <w:rPr>
          <w:rFonts w:ascii="Book Antiqua" w:hAnsi="Book Antiqua" w:cs="Arial"/>
        </w:rPr>
        <w:t>,</w:t>
      </w:r>
      <w:r w:rsidR="00065E4E">
        <w:rPr>
          <w:rFonts w:ascii="Book Antiqua" w:hAnsi="Book Antiqua" w:cs="Arial"/>
        </w:rPr>
        <w:t xml:space="preserve"> the matters he had previously referred to were part of that evidence.  It is true to say that those appear to have been findings in relation to the appellant’s private life but they were nevertheless evidence that the </w:t>
      </w:r>
      <w:r w:rsidR="000275D4">
        <w:rPr>
          <w:rFonts w:ascii="Book Antiqua" w:hAnsi="Book Antiqua" w:cs="Arial"/>
        </w:rPr>
        <w:t>FtJ</w:t>
      </w:r>
      <w:r w:rsidR="00065E4E">
        <w:rPr>
          <w:rFonts w:ascii="Book Antiqua" w:hAnsi="Book Antiqua" w:cs="Arial"/>
        </w:rPr>
        <w:t xml:space="preserve"> had before him and </w:t>
      </w:r>
      <w:r w:rsidR="00CA6FBF">
        <w:rPr>
          <w:rFonts w:ascii="Book Antiqua" w:hAnsi="Book Antiqua" w:cs="Arial"/>
        </w:rPr>
        <w:t xml:space="preserve">which he </w:t>
      </w:r>
      <w:r w:rsidR="00065E4E">
        <w:rPr>
          <w:rFonts w:ascii="Book Antiqua" w:hAnsi="Book Antiqua" w:cs="Arial"/>
        </w:rPr>
        <w:t xml:space="preserve">was entitled to take into account.  </w:t>
      </w:r>
    </w:p>
    <w:p w:rsidR="00065E4E" w:rsidRDefault="00065E4E" w:rsidP="00065E4E">
      <w:pPr>
        <w:numPr>
          <w:ilvl w:val="0"/>
          <w:numId w:val="1"/>
        </w:numPr>
        <w:spacing w:before="240"/>
        <w:jc w:val="both"/>
        <w:rPr>
          <w:rFonts w:ascii="Book Antiqua" w:hAnsi="Book Antiqua" w:cs="Arial"/>
        </w:rPr>
      </w:pPr>
      <w:r>
        <w:rPr>
          <w:rFonts w:ascii="Book Antiqua" w:hAnsi="Book Antiqua" w:cs="Arial"/>
        </w:rPr>
        <w:t>It</w:t>
      </w:r>
      <w:r w:rsidR="003823D3">
        <w:rPr>
          <w:rFonts w:ascii="Book Antiqua" w:hAnsi="Book Antiqua" w:cs="Arial"/>
        </w:rPr>
        <w:t xml:space="preserve"> </w:t>
      </w:r>
      <w:r w:rsidR="00CA6FBF">
        <w:rPr>
          <w:rFonts w:ascii="Book Antiqua" w:hAnsi="Book Antiqua" w:cs="Arial"/>
        </w:rPr>
        <w:t>may be that</w:t>
      </w:r>
      <w:r w:rsidR="003823D3">
        <w:rPr>
          <w:rFonts w:ascii="Book Antiqua" w:hAnsi="Book Antiqua" w:cs="Arial"/>
        </w:rPr>
        <w:t xml:space="preserve"> it would </w:t>
      </w:r>
      <w:r>
        <w:rPr>
          <w:rFonts w:ascii="Book Antiqua" w:hAnsi="Book Antiqua" w:cs="Arial"/>
        </w:rPr>
        <w:t xml:space="preserve">have been better had the </w:t>
      </w:r>
      <w:r w:rsidR="00CA6FBF">
        <w:rPr>
          <w:rFonts w:ascii="Book Antiqua" w:hAnsi="Book Antiqua" w:cs="Arial"/>
        </w:rPr>
        <w:t>FtJ</w:t>
      </w:r>
      <w:r>
        <w:rPr>
          <w:rFonts w:ascii="Book Antiqua" w:hAnsi="Book Antiqua" w:cs="Arial"/>
        </w:rPr>
        <w:t xml:space="preserve"> explicitly drawn together the threads of the evidence in order to provide a clearer </w:t>
      </w:r>
      <w:r w:rsidR="000275D4">
        <w:rPr>
          <w:rFonts w:ascii="Book Antiqua" w:hAnsi="Book Antiqua" w:cs="Arial"/>
        </w:rPr>
        <w:t>expression</w:t>
      </w:r>
      <w:r>
        <w:rPr>
          <w:rFonts w:ascii="Book Antiqua" w:hAnsi="Book Antiqua" w:cs="Arial"/>
        </w:rPr>
        <w:t xml:space="preserve"> of his conclusions at </w:t>
      </w:r>
      <w:r w:rsidR="003823D3">
        <w:rPr>
          <w:rFonts w:ascii="Book Antiqua" w:hAnsi="Book Antiqua" w:cs="Arial"/>
        </w:rPr>
        <w:t>[</w:t>
      </w:r>
      <w:r>
        <w:rPr>
          <w:rFonts w:ascii="Book Antiqua" w:hAnsi="Book Antiqua" w:cs="Arial"/>
        </w:rPr>
        <w:t>42</w:t>
      </w:r>
      <w:r w:rsidR="003823D3">
        <w:rPr>
          <w:rFonts w:ascii="Book Antiqua" w:hAnsi="Book Antiqua" w:cs="Arial"/>
        </w:rPr>
        <w:t>]</w:t>
      </w:r>
      <w:r>
        <w:rPr>
          <w:rFonts w:ascii="Book Antiqua" w:hAnsi="Book Antiqua" w:cs="Arial"/>
        </w:rPr>
        <w:t xml:space="preserve"> but his failure to </w:t>
      </w:r>
      <w:r w:rsidR="00D46E9F">
        <w:rPr>
          <w:rFonts w:ascii="Book Antiqua" w:hAnsi="Book Antiqua" w:cs="Arial"/>
        </w:rPr>
        <w:t xml:space="preserve">have done </w:t>
      </w:r>
      <w:r>
        <w:rPr>
          <w:rFonts w:ascii="Book Antiqua" w:hAnsi="Book Antiqua" w:cs="Arial"/>
        </w:rPr>
        <w:t>so</w:t>
      </w:r>
      <w:r w:rsidR="00D46E9F">
        <w:rPr>
          <w:rFonts w:ascii="Book Antiqua" w:hAnsi="Book Antiqua" w:cs="Arial"/>
        </w:rPr>
        <w:t xml:space="preserve"> </w:t>
      </w:r>
      <w:r w:rsidR="00991E82">
        <w:rPr>
          <w:rFonts w:ascii="Book Antiqua" w:hAnsi="Book Antiqua" w:cs="Arial"/>
        </w:rPr>
        <w:t>does not</w:t>
      </w:r>
      <w:r>
        <w:rPr>
          <w:rFonts w:ascii="Book Antiqua" w:hAnsi="Book Antiqua" w:cs="Arial"/>
        </w:rPr>
        <w:t xml:space="preserve"> amount to </w:t>
      </w:r>
      <w:r w:rsidR="00991E82">
        <w:rPr>
          <w:rFonts w:ascii="Book Antiqua" w:hAnsi="Book Antiqua" w:cs="Arial"/>
        </w:rPr>
        <w:t>an</w:t>
      </w:r>
      <w:r>
        <w:rPr>
          <w:rFonts w:ascii="Book Antiqua" w:hAnsi="Book Antiqua" w:cs="Arial"/>
        </w:rPr>
        <w:t xml:space="preserve"> error of law on his part.  </w:t>
      </w:r>
    </w:p>
    <w:p w:rsidR="0002640B" w:rsidRDefault="00065E4E" w:rsidP="00065E4E">
      <w:pPr>
        <w:numPr>
          <w:ilvl w:val="0"/>
          <w:numId w:val="1"/>
        </w:numPr>
        <w:spacing w:before="240"/>
        <w:jc w:val="both"/>
        <w:rPr>
          <w:rFonts w:ascii="Book Antiqua" w:hAnsi="Book Antiqua" w:cs="Arial"/>
        </w:rPr>
      </w:pPr>
      <w:r>
        <w:rPr>
          <w:rFonts w:ascii="Book Antiqua" w:hAnsi="Book Antiqua" w:cs="Arial"/>
        </w:rPr>
        <w:t xml:space="preserve">So far as proportionality outside the Rules </w:t>
      </w:r>
      <w:r w:rsidR="00F37F1A">
        <w:rPr>
          <w:rFonts w:ascii="Book Antiqua" w:hAnsi="Book Antiqua" w:cs="Arial"/>
        </w:rPr>
        <w:t xml:space="preserve">is concerned, </w:t>
      </w:r>
      <w:r>
        <w:rPr>
          <w:rFonts w:ascii="Book Antiqua" w:hAnsi="Book Antiqua" w:cs="Arial"/>
        </w:rPr>
        <w:t xml:space="preserve">it is important to bear in mind what was said in </w:t>
      </w:r>
      <w:r w:rsidRPr="00093393">
        <w:rPr>
          <w:rFonts w:ascii="Book Antiqua" w:hAnsi="Book Antiqua" w:cs="Arial"/>
          <w:i/>
        </w:rPr>
        <w:t>TZ</w:t>
      </w:r>
      <w:r>
        <w:rPr>
          <w:rFonts w:ascii="Book Antiqua" w:hAnsi="Book Antiqua" w:cs="Arial"/>
        </w:rPr>
        <w:t xml:space="preserve"> </w:t>
      </w:r>
      <w:r w:rsidRPr="008A6EB8">
        <w:rPr>
          <w:rFonts w:ascii="Book Antiqua" w:hAnsi="Book Antiqua" w:cs="Arial"/>
          <w:i/>
        </w:rPr>
        <w:t>(Pakistan)</w:t>
      </w:r>
      <w:r>
        <w:rPr>
          <w:rFonts w:ascii="Book Antiqua" w:hAnsi="Book Antiqua" w:cs="Arial"/>
        </w:rPr>
        <w:t xml:space="preserve">.  At </w:t>
      </w:r>
      <w:r w:rsidR="001273B5">
        <w:rPr>
          <w:rFonts w:ascii="Book Antiqua" w:hAnsi="Book Antiqua" w:cs="Arial"/>
        </w:rPr>
        <w:t>[</w:t>
      </w:r>
      <w:r>
        <w:rPr>
          <w:rFonts w:ascii="Book Antiqua" w:hAnsi="Book Antiqua" w:cs="Arial"/>
        </w:rPr>
        <w:t>25</w:t>
      </w:r>
      <w:r w:rsidR="001273B5">
        <w:rPr>
          <w:rFonts w:ascii="Book Antiqua" w:hAnsi="Book Antiqua" w:cs="Arial"/>
        </w:rPr>
        <w:t>]</w:t>
      </w:r>
      <w:r>
        <w:rPr>
          <w:rFonts w:ascii="Book Antiqua" w:hAnsi="Book Antiqua" w:cs="Arial"/>
        </w:rPr>
        <w:t xml:space="preserve"> </w:t>
      </w:r>
      <w:r w:rsidR="00F37F1A">
        <w:rPr>
          <w:rFonts w:ascii="Book Antiqua" w:hAnsi="Book Antiqua" w:cs="Arial"/>
        </w:rPr>
        <w:t>i</w:t>
      </w:r>
      <w:r>
        <w:rPr>
          <w:rFonts w:ascii="Book Antiqua" w:hAnsi="Book Antiqua" w:cs="Arial"/>
        </w:rPr>
        <w:t>t was said</w:t>
      </w:r>
      <w:r w:rsidR="00F37F1A">
        <w:rPr>
          <w:rFonts w:ascii="Book Antiqua" w:hAnsi="Book Antiqua" w:cs="Arial"/>
        </w:rPr>
        <w:t xml:space="preserve"> that:</w:t>
      </w:r>
    </w:p>
    <w:p w:rsidR="0002640B" w:rsidRPr="00D277F9" w:rsidRDefault="00065E4E" w:rsidP="008B2D80">
      <w:pPr>
        <w:spacing w:before="240"/>
        <w:ind w:left="1134"/>
        <w:jc w:val="both"/>
        <w:rPr>
          <w:rFonts w:ascii="Book Antiqua" w:hAnsi="Book Antiqua" w:cs="Arial"/>
          <w:sz w:val="22"/>
          <w:szCs w:val="22"/>
        </w:rPr>
      </w:pPr>
      <w:r w:rsidRPr="00D277F9">
        <w:rPr>
          <w:rFonts w:ascii="Book Antiqua" w:hAnsi="Book Antiqua" w:cs="Arial"/>
          <w:sz w:val="22"/>
          <w:szCs w:val="22"/>
        </w:rPr>
        <w:t>“</w:t>
      </w:r>
      <w:r w:rsidR="00750446" w:rsidRPr="00D277F9">
        <w:rPr>
          <w:rFonts w:ascii="Book Antiqua" w:hAnsi="Book Antiqua" w:cs="Arial"/>
          <w:sz w:val="22"/>
          <w:szCs w:val="22"/>
        </w:rPr>
        <w:t>The settled jurisprudence of the EC</w:t>
      </w:r>
      <w:r w:rsidR="00904F98">
        <w:rPr>
          <w:rFonts w:ascii="Book Antiqua" w:hAnsi="Book Antiqua" w:cs="Arial"/>
          <w:sz w:val="22"/>
          <w:szCs w:val="22"/>
        </w:rPr>
        <w:t>t</w:t>
      </w:r>
      <w:r w:rsidR="00750446" w:rsidRPr="00D277F9">
        <w:rPr>
          <w:rFonts w:ascii="Book Antiqua" w:hAnsi="Book Antiqua" w:cs="Arial"/>
          <w:sz w:val="22"/>
          <w:szCs w:val="22"/>
        </w:rPr>
        <w:t xml:space="preserve">HR is that it is likely to be only in an exceptional case that </w:t>
      </w:r>
      <w:r w:rsidR="00904F98">
        <w:rPr>
          <w:rFonts w:ascii="Book Antiqua" w:hAnsi="Book Antiqua" w:cs="Arial"/>
          <w:sz w:val="22"/>
          <w:szCs w:val="22"/>
        </w:rPr>
        <w:t>a</w:t>
      </w:r>
      <w:r w:rsidR="00750446" w:rsidRPr="00D277F9">
        <w:rPr>
          <w:rFonts w:ascii="Book Antiqua" w:hAnsi="Book Antiqua" w:cs="Arial"/>
          <w:sz w:val="22"/>
          <w:szCs w:val="22"/>
        </w:rPr>
        <w:t>rticle 8 will necessitate a grant of leave to remain</w:t>
      </w:r>
      <w:r w:rsidR="007356B0">
        <w:rPr>
          <w:rFonts w:ascii="Book Antiqua" w:hAnsi="Book Antiqua" w:cs="Arial"/>
          <w:sz w:val="22"/>
          <w:szCs w:val="22"/>
        </w:rPr>
        <w:t xml:space="preserve"> where</w:t>
      </w:r>
      <w:r w:rsidR="00750446" w:rsidRPr="00D277F9">
        <w:rPr>
          <w:rFonts w:ascii="Book Antiqua" w:hAnsi="Book Antiqua" w:cs="Arial"/>
          <w:sz w:val="22"/>
          <w:szCs w:val="22"/>
        </w:rPr>
        <w:t xml:space="preserve"> a non-settled migrant has commenced family life in the UK at a time when his or her immigration status is precarious.”  </w:t>
      </w:r>
    </w:p>
    <w:p w:rsidR="00065E4E" w:rsidRDefault="00750446" w:rsidP="00E958E7">
      <w:pPr>
        <w:spacing w:before="240"/>
        <w:ind w:left="567"/>
        <w:jc w:val="both"/>
        <w:rPr>
          <w:rFonts w:ascii="Book Antiqua" w:hAnsi="Book Antiqua" w:cs="Arial"/>
        </w:rPr>
      </w:pPr>
      <w:r>
        <w:rPr>
          <w:rFonts w:ascii="Book Antiqua" w:hAnsi="Book Antiqua" w:cs="Arial"/>
        </w:rPr>
        <w:t xml:space="preserve">There was then an extract from </w:t>
      </w:r>
      <w:r w:rsidRPr="00F559E2">
        <w:rPr>
          <w:rFonts w:ascii="Book Antiqua" w:hAnsi="Book Antiqua" w:cs="Arial"/>
          <w:i/>
        </w:rPr>
        <w:t>Agyarko</w:t>
      </w:r>
      <w:r>
        <w:rPr>
          <w:rFonts w:ascii="Book Antiqua" w:hAnsi="Book Antiqua" w:cs="Arial"/>
        </w:rPr>
        <w:t xml:space="preserve"> quoted to the following effect </w:t>
      </w:r>
      <w:r w:rsidR="008F7E81">
        <w:rPr>
          <w:rFonts w:ascii="Book Antiqua" w:hAnsi="Book Antiqua" w:cs="Arial"/>
        </w:rPr>
        <w:t xml:space="preserve">that </w:t>
      </w:r>
      <w:r>
        <w:rPr>
          <w:rFonts w:ascii="Book Antiqua" w:hAnsi="Book Antiqua" w:cs="Arial"/>
        </w:rPr>
        <w:t>in general, in cases concerned with precarious family life, a very strong or compelling claim is required to outweigh the public interest in immigration control.</w:t>
      </w:r>
    </w:p>
    <w:p w:rsidR="00D01939" w:rsidRDefault="00E51C4F" w:rsidP="00065E4E">
      <w:pPr>
        <w:numPr>
          <w:ilvl w:val="0"/>
          <w:numId w:val="1"/>
        </w:numPr>
        <w:spacing w:before="240"/>
        <w:jc w:val="both"/>
        <w:rPr>
          <w:rFonts w:ascii="Book Antiqua" w:hAnsi="Book Antiqua" w:cs="Arial"/>
        </w:rPr>
      </w:pPr>
      <w:r>
        <w:rPr>
          <w:rFonts w:ascii="Book Antiqua" w:hAnsi="Book Antiqua" w:cs="Arial"/>
        </w:rPr>
        <w:t>It is said in the grounds that the FtJ failed to take into account the appellant’s lawful entry into the UK.  However</w:t>
      </w:r>
      <w:r w:rsidR="005951E9">
        <w:rPr>
          <w:rFonts w:ascii="Book Antiqua" w:hAnsi="Book Antiqua" w:cs="Arial"/>
        </w:rPr>
        <w:t>,</w:t>
      </w:r>
      <w:r>
        <w:rPr>
          <w:rFonts w:ascii="Book Antiqua" w:hAnsi="Book Antiqua" w:cs="Arial"/>
        </w:rPr>
        <w:t xml:space="preserve"> the fact is that </w:t>
      </w:r>
      <w:r w:rsidR="00D01939">
        <w:rPr>
          <w:rFonts w:ascii="Book Antiqua" w:hAnsi="Book Antiqua" w:cs="Arial"/>
        </w:rPr>
        <w:t>he</w:t>
      </w:r>
      <w:r>
        <w:rPr>
          <w:rFonts w:ascii="Book Antiqua" w:hAnsi="Book Antiqua" w:cs="Arial"/>
        </w:rPr>
        <w:t xml:space="preserve"> took into account that his status in the UK had been unlawful for some considerable period of time.  He arrived in the UK in 2002 and then overstayed</w:t>
      </w:r>
      <w:r w:rsidR="00D01939">
        <w:rPr>
          <w:rFonts w:ascii="Book Antiqua" w:hAnsi="Book Antiqua" w:cs="Arial"/>
        </w:rPr>
        <w:t>,</w:t>
      </w:r>
      <w:r>
        <w:rPr>
          <w:rFonts w:ascii="Book Antiqua" w:hAnsi="Book Antiqua" w:cs="Arial"/>
        </w:rPr>
        <w:t xml:space="preserve"> so the lawful entry</w:t>
      </w:r>
      <w:r w:rsidR="008C0172">
        <w:rPr>
          <w:rFonts w:ascii="Book Antiqua" w:hAnsi="Book Antiqua" w:cs="Arial"/>
        </w:rPr>
        <w:t>,</w:t>
      </w:r>
      <w:r>
        <w:rPr>
          <w:rFonts w:ascii="Book Antiqua" w:hAnsi="Book Antiqua" w:cs="Arial"/>
        </w:rPr>
        <w:t xml:space="preserve"> it seems to me</w:t>
      </w:r>
      <w:r w:rsidR="008C0172">
        <w:rPr>
          <w:rFonts w:ascii="Book Antiqua" w:hAnsi="Book Antiqua" w:cs="Arial"/>
        </w:rPr>
        <w:t>,</w:t>
      </w:r>
      <w:r>
        <w:rPr>
          <w:rFonts w:ascii="Book Antiqua" w:hAnsi="Book Antiqua" w:cs="Arial"/>
        </w:rPr>
        <w:t xml:space="preserve"> is a matter that is hardly of much significance.  It was not necessary </w:t>
      </w:r>
      <w:r w:rsidR="00D01939">
        <w:rPr>
          <w:rFonts w:ascii="Book Antiqua" w:hAnsi="Book Antiqua" w:cs="Arial"/>
        </w:rPr>
        <w:t>for the</w:t>
      </w:r>
      <w:r>
        <w:rPr>
          <w:rFonts w:ascii="Book Antiqua" w:hAnsi="Book Antiqua" w:cs="Arial"/>
        </w:rPr>
        <w:t xml:space="preserve"> FtJ to refer to that fact in his reasons.  He was obviously aware of it because he referred to it at [1] of his decision.</w:t>
      </w:r>
    </w:p>
    <w:p w:rsidR="005A005D" w:rsidRDefault="00E51C4F" w:rsidP="00065E4E">
      <w:pPr>
        <w:numPr>
          <w:ilvl w:val="0"/>
          <w:numId w:val="1"/>
        </w:numPr>
        <w:spacing w:before="240"/>
        <w:jc w:val="both"/>
        <w:rPr>
          <w:rFonts w:ascii="Book Antiqua" w:hAnsi="Book Antiqua" w:cs="Arial"/>
        </w:rPr>
      </w:pPr>
      <w:r>
        <w:rPr>
          <w:rFonts w:ascii="Book Antiqua" w:hAnsi="Book Antiqua" w:cs="Arial"/>
        </w:rPr>
        <w:t xml:space="preserve">It is also said that </w:t>
      </w:r>
      <w:r w:rsidR="00B56B9B">
        <w:rPr>
          <w:rFonts w:ascii="Book Antiqua" w:hAnsi="Book Antiqua" w:cs="Arial"/>
        </w:rPr>
        <w:t>he</w:t>
      </w:r>
      <w:r>
        <w:rPr>
          <w:rFonts w:ascii="Book Antiqua" w:hAnsi="Book Antiqua" w:cs="Arial"/>
        </w:rPr>
        <w:t xml:space="preserve"> failed to take into account the efforts </w:t>
      </w:r>
      <w:r w:rsidR="00B56B9B">
        <w:rPr>
          <w:rFonts w:ascii="Book Antiqua" w:hAnsi="Book Antiqua" w:cs="Arial"/>
        </w:rPr>
        <w:t xml:space="preserve">made </w:t>
      </w:r>
      <w:r>
        <w:rPr>
          <w:rFonts w:ascii="Book Antiqua" w:hAnsi="Book Antiqua" w:cs="Arial"/>
        </w:rPr>
        <w:t>by the appellant to regularise his immigration status in the UK.  However a</w:t>
      </w:r>
      <w:r w:rsidR="00B56B9B">
        <w:rPr>
          <w:rFonts w:ascii="Book Antiqua" w:hAnsi="Book Antiqua" w:cs="Arial"/>
        </w:rPr>
        <w:t>t</w:t>
      </w:r>
      <w:r>
        <w:rPr>
          <w:rFonts w:ascii="Book Antiqua" w:hAnsi="Book Antiqua" w:cs="Arial"/>
        </w:rPr>
        <w:t xml:space="preserve"> [34] under his </w:t>
      </w:r>
      <w:r w:rsidR="00507EFA">
        <w:rPr>
          <w:rFonts w:ascii="Book Antiqua" w:hAnsi="Book Antiqua" w:cs="Arial"/>
        </w:rPr>
        <w:t>“F</w:t>
      </w:r>
      <w:r>
        <w:rPr>
          <w:rFonts w:ascii="Book Antiqua" w:hAnsi="Book Antiqua" w:cs="Arial"/>
        </w:rPr>
        <w:t>indings of fact and conclusions</w:t>
      </w:r>
      <w:r w:rsidR="00507EFA">
        <w:rPr>
          <w:rFonts w:ascii="Book Antiqua" w:hAnsi="Book Antiqua" w:cs="Arial"/>
        </w:rPr>
        <w:t>”</w:t>
      </w:r>
      <w:r>
        <w:rPr>
          <w:rFonts w:ascii="Book Antiqua" w:hAnsi="Book Antiqua" w:cs="Arial"/>
        </w:rPr>
        <w:t xml:space="preserve"> </w:t>
      </w:r>
      <w:r w:rsidR="00507EFA">
        <w:rPr>
          <w:rFonts w:ascii="Book Antiqua" w:hAnsi="Book Antiqua" w:cs="Arial"/>
        </w:rPr>
        <w:t>section</w:t>
      </w:r>
      <w:r>
        <w:rPr>
          <w:rFonts w:ascii="Book Antiqua" w:hAnsi="Book Antiqua" w:cs="Arial"/>
        </w:rPr>
        <w:t xml:space="preserve"> he did refer to the fact that the appellant made one attempt to regularise his status before making the application which </w:t>
      </w:r>
      <w:r w:rsidR="00C57D17">
        <w:rPr>
          <w:rFonts w:ascii="Book Antiqua" w:hAnsi="Book Antiqua" w:cs="Arial"/>
        </w:rPr>
        <w:t>was</w:t>
      </w:r>
      <w:r>
        <w:rPr>
          <w:rFonts w:ascii="Book Antiqua" w:hAnsi="Book Antiqua" w:cs="Arial"/>
        </w:rPr>
        <w:t xml:space="preserve"> the subject of the appeal.  He referred to a</w:t>
      </w:r>
      <w:r w:rsidR="00F046F3">
        <w:rPr>
          <w:rFonts w:ascii="Book Antiqua" w:hAnsi="Book Antiqua" w:cs="Arial"/>
        </w:rPr>
        <w:t>n</w:t>
      </w:r>
      <w:r>
        <w:rPr>
          <w:rFonts w:ascii="Book Antiqua" w:hAnsi="Book Antiqua" w:cs="Arial"/>
        </w:rPr>
        <w:t xml:space="preserve"> </w:t>
      </w:r>
      <w:r w:rsidR="00F046F3">
        <w:rPr>
          <w:rFonts w:ascii="Book Antiqua" w:hAnsi="Book Antiqua" w:cs="Arial"/>
        </w:rPr>
        <w:t xml:space="preserve">unsuccessful application </w:t>
      </w:r>
      <w:r>
        <w:rPr>
          <w:rFonts w:ascii="Book Antiqua" w:hAnsi="Book Antiqua" w:cs="Arial"/>
        </w:rPr>
        <w:t>2009 for leave to remain on Article 8 grounds.  Again however</w:t>
      </w:r>
      <w:r w:rsidR="00C57D17">
        <w:rPr>
          <w:rFonts w:ascii="Book Antiqua" w:hAnsi="Book Antiqua" w:cs="Arial"/>
        </w:rPr>
        <w:t>,</w:t>
      </w:r>
      <w:r>
        <w:rPr>
          <w:rFonts w:ascii="Book Antiqua" w:hAnsi="Book Antiqua" w:cs="Arial"/>
        </w:rPr>
        <w:t xml:space="preserve"> in the context of the appellant’s immigration history overall</w:t>
      </w:r>
      <w:r w:rsidR="00F046F3">
        <w:rPr>
          <w:rFonts w:ascii="Book Antiqua" w:hAnsi="Book Antiqua" w:cs="Arial"/>
        </w:rPr>
        <w:t>,</w:t>
      </w:r>
      <w:r>
        <w:rPr>
          <w:rFonts w:ascii="Book Antiqua" w:hAnsi="Book Antiqua" w:cs="Arial"/>
        </w:rPr>
        <w:t xml:space="preserve"> that was not a significant matter and was not a matter that the</w:t>
      </w:r>
      <w:r w:rsidR="00C57D17">
        <w:rPr>
          <w:rFonts w:ascii="Book Antiqua" w:hAnsi="Book Antiqua" w:cs="Arial"/>
        </w:rPr>
        <w:t xml:space="preserve"> FtJ</w:t>
      </w:r>
      <w:r>
        <w:rPr>
          <w:rFonts w:ascii="Book Antiqua" w:hAnsi="Book Antiqua" w:cs="Arial"/>
        </w:rPr>
        <w:t xml:space="preserve"> needed expressly to advert to in his express conclusions in relation to proportionality. </w:t>
      </w:r>
    </w:p>
    <w:p w:rsidR="00750446" w:rsidRDefault="005A005D" w:rsidP="00065E4E">
      <w:pPr>
        <w:numPr>
          <w:ilvl w:val="0"/>
          <w:numId w:val="1"/>
        </w:numPr>
        <w:spacing w:before="240"/>
        <w:jc w:val="both"/>
        <w:rPr>
          <w:rFonts w:ascii="Book Antiqua" w:hAnsi="Book Antiqua" w:cs="Arial"/>
        </w:rPr>
      </w:pPr>
      <w:r>
        <w:rPr>
          <w:rFonts w:ascii="Book Antiqua" w:hAnsi="Book Antiqua" w:cs="Arial"/>
        </w:rPr>
        <w:t>Likewise,</w:t>
      </w:r>
      <w:r w:rsidR="00E51C4F">
        <w:rPr>
          <w:rFonts w:ascii="Book Antiqua" w:hAnsi="Book Antiqua" w:cs="Arial"/>
        </w:rPr>
        <w:t xml:space="preserve"> </w:t>
      </w:r>
      <w:r w:rsidR="00750446">
        <w:rPr>
          <w:rFonts w:ascii="Book Antiqua" w:hAnsi="Book Antiqua" w:cs="Arial"/>
        </w:rPr>
        <w:t xml:space="preserve">in relation to the complaint that the </w:t>
      </w:r>
      <w:r>
        <w:rPr>
          <w:rFonts w:ascii="Book Antiqua" w:hAnsi="Book Antiqua" w:cs="Arial"/>
        </w:rPr>
        <w:t>FtJ</w:t>
      </w:r>
      <w:r w:rsidR="00750446">
        <w:rPr>
          <w:rFonts w:ascii="Book Antiqua" w:hAnsi="Book Antiqua" w:cs="Arial"/>
        </w:rPr>
        <w:t xml:space="preserve"> failed to take into account </w:t>
      </w:r>
      <w:r w:rsidR="00DF5F85">
        <w:rPr>
          <w:rFonts w:ascii="Book Antiqua" w:hAnsi="Book Antiqua" w:cs="Arial"/>
        </w:rPr>
        <w:t xml:space="preserve">that </w:t>
      </w:r>
      <w:r w:rsidR="00750446">
        <w:rPr>
          <w:rFonts w:ascii="Book Antiqua" w:hAnsi="Book Antiqua" w:cs="Arial"/>
        </w:rPr>
        <w:t xml:space="preserve">there was nothing in the appellant’s </w:t>
      </w:r>
      <w:r w:rsidR="00973FD8">
        <w:rPr>
          <w:rFonts w:ascii="Book Antiqua" w:hAnsi="Book Antiqua" w:cs="Arial"/>
        </w:rPr>
        <w:t>conduct</w:t>
      </w:r>
      <w:r w:rsidR="00750446">
        <w:rPr>
          <w:rFonts w:ascii="Book Antiqua" w:hAnsi="Book Antiqua" w:cs="Arial"/>
        </w:rPr>
        <w:t>, character or associations which made it undesirable to grant him leave to remain in the UK such that he satisfied the suitability requirements of the Rules</w:t>
      </w:r>
      <w:r w:rsidR="00973FD8">
        <w:rPr>
          <w:rFonts w:ascii="Book Antiqua" w:hAnsi="Book Antiqua" w:cs="Arial"/>
        </w:rPr>
        <w:t>, there is little</w:t>
      </w:r>
      <w:r w:rsidR="00750446">
        <w:rPr>
          <w:rFonts w:ascii="Book Antiqua" w:hAnsi="Book Antiqua" w:cs="Arial"/>
        </w:rPr>
        <w:t xml:space="preserve"> merit in that contention in view of the appellant’s poor immigration history.</w:t>
      </w:r>
    </w:p>
    <w:p w:rsidR="00750446" w:rsidRDefault="00750446" w:rsidP="00065E4E">
      <w:pPr>
        <w:numPr>
          <w:ilvl w:val="0"/>
          <w:numId w:val="1"/>
        </w:numPr>
        <w:spacing w:before="240"/>
        <w:jc w:val="both"/>
        <w:rPr>
          <w:rFonts w:ascii="Book Antiqua" w:hAnsi="Book Antiqua" w:cs="Arial"/>
        </w:rPr>
      </w:pPr>
      <w:r>
        <w:rPr>
          <w:rFonts w:ascii="Book Antiqua" w:hAnsi="Book Antiqua" w:cs="Arial"/>
        </w:rPr>
        <w:t xml:space="preserve">There </w:t>
      </w:r>
      <w:r w:rsidR="009578FA">
        <w:rPr>
          <w:rFonts w:ascii="Book Antiqua" w:hAnsi="Book Antiqua" w:cs="Arial"/>
          <w:i/>
        </w:rPr>
        <w:t>might</w:t>
      </w:r>
      <w:r w:rsidR="009578FA">
        <w:rPr>
          <w:rFonts w:ascii="Book Antiqua" w:hAnsi="Book Antiqua" w:cs="Arial"/>
        </w:rPr>
        <w:t xml:space="preserve"> have been</w:t>
      </w:r>
      <w:r>
        <w:rPr>
          <w:rFonts w:ascii="Book Antiqua" w:hAnsi="Book Antiqua" w:cs="Arial"/>
        </w:rPr>
        <w:t xml:space="preserve"> something in the point if the </w:t>
      </w:r>
      <w:r w:rsidR="009578FA">
        <w:rPr>
          <w:rFonts w:ascii="Book Antiqua" w:hAnsi="Book Antiqua" w:cs="Arial"/>
        </w:rPr>
        <w:t>FtJ</w:t>
      </w:r>
      <w:r>
        <w:rPr>
          <w:rFonts w:ascii="Book Antiqua" w:hAnsi="Book Antiqua" w:cs="Arial"/>
        </w:rPr>
        <w:t xml:space="preserve"> had said that </w:t>
      </w:r>
      <w:r w:rsidR="009578FA">
        <w:rPr>
          <w:rFonts w:ascii="Book Antiqua" w:hAnsi="Book Antiqua" w:cs="Arial"/>
        </w:rPr>
        <w:t>the appellant’s</w:t>
      </w:r>
      <w:r>
        <w:rPr>
          <w:rFonts w:ascii="Book Antiqua" w:hAnsi="Book Antiqua" w:cs="Arial"/>
        </w:rPr>
        <w:t xml:space="preserve"> character or conduct or associations militated against the grant of leave to remain but</w:t>
      </w:r>
      <w:r w:rsidR="009578FA">
        <w:rPr>
          <w:rFonts w:ascii="Book Antiqua" w:hAnsi="Book Antiqua" w:cs="Arial"/>
        </w:rPr>
        <w:t xml:space="preserve"> he</w:t>
      </w:r>
      <w:r>
        <w:rPr>
          <w:rFonts w:ascii="Book Antiqua" w:hAnsi="Book Antiqua" w:cs="Arial"/>
        </w:rPr>
        <w:t xml:space="preserve"> did not make any </w:t>
      </w:r>
      <w:r w:rsidR="009578FA">
        <w:rPr>
          <w:rFonts w:ascii="Book Antiqua" w:hAnsi="Book Antiqua" w:cs="Arial"/>
        </w:rPr>
        <w:t>such</w:t>
      </w:r>
      <w:r>
        <w:rPr>
          <w:rFonts w:ascii="Book Antiqua" w:hAnsi="Book Antiqua" w:cs="Arial"/>
        </w:rPr>
        <w:t xml:space="preserve"> finding against the appellan</w:t>
      </w:r>
      <w:r w:rsidR="009578FA">
        <w:rPr>
          <w:rFonts w:ascii="Book Antiqua" w:hAnsi="Book Antiqua" w:cs="Arial"/>
        </w:rPr>
        <w:t>t</w:t>
      </w:r>
      <w:r>
        <w:rPr>
          <w:rFonts w:ascii="Book Antiqua" w:hAnsi="Book Antiqua" w:cs="Arial"/>
        </w:rPr>
        <w:t xml:space="preserve">.  </w:t>
      </w:r>
    </w:p>
    <w:p w:rsidR="00750446" w:rsidRPr="00A34EEC" w:rsidRDefault="00750446" w:rsidP="00065E4E">
      <w:pPr>
        <w:numPr>
          <w:ilvl w:val="0"/>
          <w:numId w:val="1"/>
        </w:numPr>
        <w:spacing w:before="240"/>
        <w:jc w:val="both"/>
        <w:rPr>
          <w:rFonts w:ascii="Book Antiqua" w:hAnsi="Book Antiqua" w:cs="Arial"/>
        </w:rPr>
      </w:pPr>
      <w:r w:rsidRPr="00A34EEC">
        <w:rPr>
          <w:rFonts w:ascii="Book Antiqua" w:hAnsi="Book Antiqua" w:cs="Arial"/>
        </w:rPr>
        <w:t>In terms of the appellant’s English language ability or the prospects of his obtaining employment and thus being financially independent</w:t>
      </w:r>
      <w:r w:rsidR="009578FA" w:rsidRPr="00A34EEC">
        <w:rPr>
          <w:rFonts w:ascii="Book Antiqua" w:hAnsi="Book Antiqua" w:cs="Arial"/>
        </w:rPr>
        <w:t>,</w:t>
      </w:r>
      <w:r w:rsidRPr="00A34EEC">
        <w:rPr>
          <w:rFonts w:ascii="Book Antiqua" w:hAnsi="Book Antiqua" w:cs="Arial"/>
        </w:rPr>
        <w:t xml:space="preserve"> those are not matters that could avail the appellant in a positive sense having regard to the decision in </w:t>
      </w:r>
      <w:r w:rsidR="00A34EEC" w:rsidRPr="00A34EEC">
        <w:rPr>
          <w:rFonts w:ascii="Book Antiqua" w:hAnsi="Book Antiqua" w:cs="Arial"/>
          <w:i/>
        </w:rPr>
        <w:t>AM (S 117B) Malawi</w:t>
      </w:r>
      <w:r w:rsidR="00A34EEC" w:rsidRPr="00A34EEC">
        <w:rPr>
          <w:rFonts w:ascii="Book Antiqua" w:hAnsi="Book Antiqua" w:cs="Arial"/>
        </w:rPr>
        <w:t xml:space="preserve"> [2015] UKUT 0260 (IAC)</w:t>
      </w:r>
      <w:r w:rsidRPr="00A34EEC">
        <w:rPr>
          <w:rFonts w:ascii="Book Antiqua" w:hAnsi="Book Antiqua" w:cs="Arial"/>
        </w:rPr>
        <w:t xml:space="preserve">.  Those are not factors which are anything other than neutral factors.  </w:t>
      </w:r>
    </w:p>
    <w:p w:rsidR="00CF2624" w:rsidRDefault="00A34EEC" w:rsidP="00065E4E">
      <w:pPr>
        <w:numPr>
          <w:ilvl w:val="0"/>
          <w:numId w:val="1"/>
        </w:numPr>
        <w:spacing w:before="240"/>
        <w:jc w:val="both"/>
        <w:rPr>
          <w:rFonts w:ascii="Book Antiqua" w:hAnsi="Book Antiqua" w:cs="Arial"/>
        </w:rPr>
      </w:pPr>
      <w:r>
        <w:rPr>
          <w:rFonts w:ascii="Book Antiqua" w:hAnsi="Book Antiqua" w:cs="Arial"/>
        </w:rPr>
        <w:t>Finally,</w:t>
      </w:r>
      <w:r w:rsidR="00E25605">
        <w:rPr>
          <w:rFonts w:ascii="Book Antiqua" w:hAnsi="Book Antiqua" w:cs="Arial"/>
        </w:rPr>
        <w:t xml:space="preserve"> w</w:t>
      </w:r>
      <w:r w:rsidR="001D0913">
        <w:rPr>
          <w:rFonts w:ascii="Book Antiqua" w:hAnsi="Book Antiqua" w:cs="Arial"/>
        </w:rPr>
        <w:t>hen one step</w:t>
      </w:r>
      <w:r>
        <w:rPr>
          <w:rFonts w:ascii="Book Antiqua" w:hAnsi="Book Antiqua" w:cs="Arial"/>
        </w:rPr>
        <w:t>s</w:t>
      </w:r>
      <w:r w:rsidR="001D0913">
        <w:rPr>
          <w:rFonts w:ascii="Book Antiqua" w:hAnsi="Book Antiqua" w:cs="Arial"/>
        </w:rPr>
        <w:t xml:space="preserve"> back from the c</w:t>
      </w:r>
      <w:r w:rsidR="00DE4A7E">
        <w:rPr>
          <w:rFonts w:ascii="Book Antiqua" w:hAnsi="Book Antiqua" w:cs="Arial"/>
        </w:rPr>
        <w:t>omplaints made about the FtJ’s decision</w:t>
      </w:r>
      <w:r w:rsidR="001D0913">
        <w:rPr>
          <w:rFonts w:ascii="Book Antiqua" w:hAnsi="Book Antiqua" w:cs="Arial"/>
        </w:rPr>
        <w:t xml:space="preserve"> and </w:t>
      </w:r>
      <w:r w:rsidR="00A53A56">
        <w:rPr>
          <w:rFonts w:ascii="Book Antiqua" w:hAnsi="Book Antiqua" w:cs="Arial"/>
        </w:rPr>
        <w:t xml:space="preserve">considers </w:t>
      </w:r>
      <w:r w:rsidR="00327B58">
        <w:rPr>
          <w:rFonts w:ascii="Book Antiqua" w:hAnsi="Book Antiqua" w:cs="Arial"/>
        </w:rPr>
        <w:t>the decision overall</w:t>
      </w:r>
      <w:r w:rsidR="002B0B08">
        <w:rPr>
          <w:rFonts w:ascii="Book Antiqua" w:hAnsi="Book Antiqua" w:cs="Arial"/>
        </w:rPr>
        <w:t>,</w:t>
      </w:r>
      <w:r w:rsidR="00327B58">
        <w:rPr>
          <w:rFonts w:ascii="Book Antiqua" w:hAnsi="Book Antiqua" w:cs="Arial"/>
        </w:rPr>
        <w:t xml:space="preserve"> on a</w:t>
      </w:r>
      <w:r w:rsidR="001D0913">
        <w:rPr>
          <w:rFonts w:ascii="Book Antiqua" w:hAnsi="Book Antiqua" w:cs="Arial"/>
        </w:rPr>
        <w:t xml:space="preserve"> holistic basis</w:t>
      </w:r>
      <w:r w:rsidR="002B0B08">
        <w:rPr>
          <w:rFonts w:ascii="Book Antiqua" w:hAnsi="Book Antiqua" w:cs="Arial"/>
        </w:rPr>
        <w:t>,</w:t>
      </w:r>
      <w:r w:rsidR="001D0913">
        <w:rPr>
          <w:rFonts w:ascii="Book Antiqua" w:hAnsi="Book Antiqua" w:cs="Arial"/>
        </w:rPr>
        <w:t xml:space="preserve"> as </w:t>
      </w:r>
      <w:r w:rsidR="002469D6">
        <w:rPr>
          <w:rFonts w:ascii="Book Antiqua" w:hAnsi="Book Antiqua" w:cs="Arial"/>
        </w:rPr>
        <w:t>submitted</w:t>
      </w:r>
      <w:r w:rsidR="001D0913">
        <w:rPr>
          <w:rFonts w:ascii="Book Antiqua" w:hAnsi="Book Antiqua" w:cs="Arial"/>
        </w:rPr>
        <w:t xml:space="preserve"> on behalf of the respondent</w:t>
      </w:r>
      <w:r w:rsidR="002B0B08">
        <w:rPr>
          <w:rFonts w:ascii="Book Antiqua" w:hAnsi="Book Antiqua" w:cs="Arial"/>
        </w:rPr>
        <w:t>,</w:t>
      </w:r>
      <w:r w:rsidR="001D0913">
        <w:rPr>
          <w:rFonts w:ascii="Book Antiqua" w:hAnsi="Book Antiqua" w:cs="Arial"/>
        </w:rPr>
        <w:t xml:space="preserve"> it is apparent that the </w:t>
      </w:r>
      <w:r w:rsidR="00CF2624">
        <w:rPr>
          <w:rFonts w:ascii="Book Antiqua" w:hAnsi="Book Antiqua" w:cs="Arial"/>
        </w:rPr>
        <w:t>FtJ’s</w:t>
      </w:r>
      <w:r w:rsidR="001D0913">
        <w:rPr>
          <w:rFonts w:ascii="Book Antiqua" w:hAnsi="Book Antiqua" w:cs="Arial"/>
        </w:rPr>
        <w:t xml:space="preserve"> decision contain</w:t>
      </w:r>
      <w:r w:rsidR="00EF3A40">
        <w:rPr>
          <w:rFonts w:ascii="Book Antiqua" w:hAnsi="Book Antiqua" w:cs="Arial"/>
        </w:rPr>
        <w:t>s</w:t>
      </w:r>
      <w:r w:rsidR="001D0913">
        <w:rPr>
          <w:rFonts w:ascii="Book Antiqua" w:hAnsi="Book Antiqua" w:cs="Arial"/>
        </w:rPr>
        <w:t xml:space="preserve"> a clear assessment of the relevant facts and an application of those facts to the law leading to sustainable conclusions under the Rules and otherwise under Article 8 in the proportionality assessment.  </w:t>
      </w:r>
    </w:p>
    <w:p w:rsidR="00C7388A" w:rsidRPr="00C7388A" w:rsidRDefault="00C7388A" w:rsidP="00C7388A">
      <w:pPr>
        <w:spacing w:before="240"/>
        <w:ind w:left="567"/>
        <w:jc w:val="both"/>
        <w:rPr>
          <w:rFonts w:ascii="Book Antiqua" w:hAnsi="Book Antiqua" w:cs="Arial"/>
          <w:i/>
        </w:rPr>
      </w:pPr>
      <w:r>
        <w:rPr>
          <w:rFonts w:ascii="Book Antiqua" w:hAnsi="Book Antiqua" w:cs="Arial"/>
          <w:i/>
        </w:rPr>
        <w:t>Decision</w:t>
      </w:r>
    </w:p>
    <w:p w:rsidR="00750446" w:rsidRDefault="001D0913" w:rsidP="00065E4E">
      <w:pPr>
        <w:numPr>
          <w:ilvl w:val="0"/>
          <w:numId w:val="1"/>
        </w:numPr>
        <w:spacing w:before="240"/>
        <w:jc w:val="both"/>
        <w:rPr>
          <w:rFonts w:ascii="Book Antiqua" w:hAnsi="Book Antiqua" w:cs="Arial"/>
        </w:rPr>
      </w:pPr>
      <w:r>
        <w:rPr>
          <w:rFonts w:ascii="Book Antiqua" w:hAnsi="Book Antiqua" w:cs="Arial"/>
        </w:rPr>
        <w:t>In all those circumstances</w:t>
      </w:r>
      <w:r w:rsidR="00834B7E">
        <w:rPr>
          <w:rFonts w:ascii="Book Antiqua" w:hAnsi="Book Antiqua" w:cs="Arial"/>
        </w:rPr>
        <w:t>,</w:t>
      </w:r>
      <w:r>
        <w:rPr>
          <w:rFonts w:ascii="Book Antiqua" w:hAnsi="Book Antiqua" w:cs="Arial"/>
        </w:rPr>
        <w:t xml:space="preserve"> I am not satisfied that there is any error of law in the </w:t>
      </w:r>
      <w:r w:rsidR="00C748AB">
        <w:rPr>
          <w:rFonts w:ascii="Book Antiqua" w:hAnsi="Book Antiqua" w:cs="Arial"/>
        </w:rPr>
        <w:t>FtJ’</w:t>
      </w:r>
      <w:r>
        <w:rPr>
          <w:rFonts w:ascii="Book Antiqua" w:hAnsi="Book Antiqua" w:cs="Arial"/>
        </w:rPr>
        <w:t>s decision.  Th</w:t>
      </w:r>
      <w:r w:rsidR="00C748AB">
        <w:rPr>
          <w:rFonts w:ascii="Book Antiqua" w:hAnsi="Book Antiqua" w:cs="Arial"/>
        </w:rPr>
        <w:t>at</w:t>
      </w:r>
      <w:r>
        <w:rPr>
          <w:rFonts w:ascii="Book Antiqua" w:hAnsi="Book Antiqua" w:cs="Arial"/>
        </w:rPr>
        <w:t xml:space="preserve"> decision </w:t>
      </w:r>
      <w:r w:rsidR="00D9196B">
        <w:rPr>
          <w:rFonts w:ascii="Book Antiqua" w:hAnsi="Book Antiqua" w:cs="Arial"/>
        </w:rPr>
        <w:t xml:space="preserve">did not involve the making of an error on a point of law and </w:t>
      </w:r>
      <w:r w:rsidR="00C7388A">
        <w:rPr>
          <w:rFonts w:ascii="Book Antiqua" w:hAnsi="Book Antiqua" w:cs="Arial"/>
        </w:rPr>
        <w:t>the</w:t>
      </w:r>
      <w:r w:rsidR="00D9196B">
        <w:rPr>
          <w:rFonts w:ascii="Book Antiqua" w:hAnsi="Book Antiqua" w:cs="Arial"/>
        </w:rPr>
        <w:t xml:space="preserve"> decision to dismiss the appea</w:t>
      </w:r>
      <w:r w:rsidR="00E958E7">
        <w:rPr>
          <w:rFonts w:ascii="Book Antiqua" w:hAnsi="Book Antiqua" w:cs="Arial"/>
        </w:rPr>
        <w:t>l</w:t>
      </w:r>
      <w:r w:rsidR="00D9196B">
        <w:rPr>
          <w:rFonts w:ascii="Book Antiqua" w:hAnsi="Book Antiqua" w:cs="Arial"/>
        </w:rPr>
        <w:t xml:space="preserve"> therefore stand</w:t>
      </w:r>
      <w:r w:rsidR="00E958E7">
        <w:rPr>
          <w:rFonts w:ascii="Book Antiqua" w:hAnsi="Book Antiqua" w:cs="Arial"/>
        </w:rPr>
        <w:t>s</w:t>
      </w:r>
      <w:r w:rsidR="00D9196B">
        <w:rPr>
          <w:rFonts w:ascii="Book Antiqua" w:hAnsi="Book Antiqua" w:cs="Arial"/>
        </w:rPr>
        <w:t xml:space="preserve">.  </w:t>
      </w:r>
    </w:p>
    <w:p w:rsidR="00F046F3" w:rsidRDefault="00F046F3" w:rsidP="00C7388A">
      <w:pPr>
        <w:jc w:val="both"/>
        <w:rPr>
          <w:rFonts w:ascii="Book Antiqua" w:hAnsi="Book Antiqua"/>
        </w:rPr>
      </w:pPr>
    </w:p>
    <w:p w:rsidR="00F046F3" w:rsidRPr="004A2519" w:rsidRDefault="00F046F3" w:rsidP="00C7388A">
      <w:pPr>
        <w:jc w:val="both"/>
        <w:rPr>
          <w:rFonts w:ascii="Book Antiqua" w:hAnsi="Book Antiqua"/>
        </w:rPr>
      </w:pPr>
    </w:p>
    <w:p w:rsidR="00C659D4" w:rsidRPr="00CF1C4D" w:rsidRDefault="00744667" w:rsidP="00CF1C4D">
      <w:pPr>
        <w:tabs>
          <w:tab w:val="left" w:pos="7371"/>
        </w:tabs>
        <w:ind w:left="540" w:hanging="540"/>
        <w:jc w:val="both"/>
        <w:rPr>
          <w:rFonts w:ascii="Book Antiqua" w:hAnsi="Book Antiqua" w:cs="Arial"/>
        </w:rPr>
      </w:pPr>
      <w:r>
        <w:rPr>
          <w:rFonts w:ascii="Book Antiqua" w:hAnsi="Book Antiqua"/>
        </w:rPr>
        <w:t>Upper Tribunal Judge Kopieczek</w:t>
      </w:r>
      <w:r w:rsidR="00C7388A">
        <w:rPr>
          <w:rFonts w:ascii="Book Antiqua" w:hAnsi="Book Antiqua"/>
        </w:rPr>
        <w:t xml:space="preserve">                  </w:t>
      </w:r>
      <w:r w:rsidR="00C7388A">
        <w:rPr>
          <w:rFonts w:ascii="Book Antiqua" w:hAnsi="Book Antiqua"/>
        </w:rPr>
        <w:tab/>
        <w:t>1</w:t>
      </w:r>
      <w:r w:rsidR="00AC536D">
        <w:rPr>
          <w:rFonts w:ascii="Book Antiqua" w:hAnsi="Book Antiqua"/>
        </w:rPr>
        <w:t>9</w:t>
      </w:r>
      <w:r w:rsidR="00C7388A">
        <w:rPr>
          <w:rFonts w:ascii="Book Antiqua" w:hAnsi="Book Antiqua"/>
        </w:rPr>
        <w:t>/09/1</w:t>
      </w:r>
      <w:r w:rsidR="00CF1C4D">
        <w:rPr>
          <w:rFonts w:ascii="Book Antiqua" w:hAnsi="Book Antiqua"/>
        </w:rPr>
        <w:t>8</w:t>
      </w:r>
    </w:p>
    <w:p w:rsidR="00B95326" w:rsidRPr="009B7433" w:rsidRDefault="00B95326" w:rsidP="00744667">
      <w:pPr>
        <w:jc w:val="center"/>
      </w:pPr>
    </w:p>
    <w:sectPr w:rsidR="00B95326" w:rsidRPr="009B7433" w:rsidSect="004C3D55">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67E" w:rsidRDefault="0015167E">
      <w:r>
        <w:separator/>
      </w:r>
    </w:p>
  </w:endnote>
  <w:endnote w:type="continuationSeparator" w:id="0">
    <w:p w:rsidR="0015167E" w:rsidRDefault="00151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4C3D55" w:rsidRDefault="008A6059" w:rsidP="00593795">
    <w:pPr>
      <w:pStyle w:val="Footer"/>
      <w:jc w:val="center"/>
      <w:rPr>
        <w:rFonts w:ascii="Book Antiqua" w:hAnsi="Book Antiqua" w:cs="Arial"/>
      </w:rPr>
    </w:pPr>
    <w:r w:rsidRPr="004C3D55">
      <w:rPr>
        <w:rStyle w:val="PageNumber"/>
        <w:rFonts w:ascii="Book Antiqua" w:hAnsi="Book Antiqua" w:cs="Arial"/>
      </w:rPr>
      <w:fldChar w:fldCharType="begin"/>
    </w:r>
    <w:r w:rsidRPr="004C3D55">
      <w:rPr>
        <w:rStyle w:val="PageNumber"/>
        <w:rFonts w:ascii="Book Antiqua" w:hAnsi="Book Antiqua" w:cs="Arial"/>
      </w:rPr>
      <w:instrText xml:space="preserve"> PAGE </w:instrText>
    </w:r>
    <w:r w:rsidRPr="004C3D55">
      <w:rPr>
        <w:rStyle w:val="PageNumber"/>
        <w:rFonts w:ascii="Book Antiqua" w:hAnsi="Book Antiqua" w:cs="Arial"/>
      </w:rPr>
      <w:fldChar w:fldCharType="separate"/>
    </w:r>
    <w:r w:rsidR="00187110">
      <w:rPr>
        <w:rStyle w:val="PageNumber"/>
        <w:rFonts w:ascii="Book Antiqua" w:hAnsi="Book Antiqua" w:cs="Arial"/>
        <w:noProof/>
      </w:rPr>
      <w:t>5</w:t>
    </w:r>
    <w:r w:rsidRPr="004C3D5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FB7577">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67E" w:rsidRDefault="0015167E">
      <w:r>
        <w:separator/>
      </w:r>
    </w:p>
  </w:footnote>
  <w:footnote w:type="continuationSeparator" w:id="0">
    <w:p w:rsidR="0015167E" w:rsidRDefault="00151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881F0F">
      <w:rPr>
        <w:rFonts w:ascii="Book Antiqua" w:hAnsi="Book Antiqua" w:cs="Arial"/>
        <w:sz w:val="16"/>
        <w:szCs w:val="16"/>
      </w:rPr>
      <w:t xml:space="preserve"> HU/21974/2016</w:t>
    </w:r>
  </w:p>
  <w:p w:rsidR="004C3D55" w:rsidRPr="009B7433" w:rsidRDefault="004C3D55"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F0F"/>
    <w:rsid w:val="00000621"/>
    <w:rsid w:val="000036C2"/>
    <w:rsid w:val="00004736"/>
    <w:rsid w:val="00012190"/>
    <w:rsid w:val="00016C1A"/>
    <w:rsid w:val="0002640B"/>
    <w:rsid w:val="000275D4"/>
    <w:rsid w:val="00033588"/>
    <w:rsid w:val="00033D3D"/>
    <w:rsid w:val="0004776F"/>
    <w:rsid w:val="00052895"/>
    <w:rsid w:val="0005642A"/>
    <w:rsid w:val="00062F02"/>
    <w:rsid w:val="00065E4E"/>
    <w:rsid w:val="00071A7E"/>
    <w:rsid w:val="000746C0"/>
    <w:rsid w:val="00074D1D"/>
    <w:rsid w:val="00092580"/>
    <w:rsid w:val="00093393"/>
    <w:rsid w:val="00093D4D"/>
    <w:rsid w:val="00094ACE"/>
    <w:rsid w:val="000A0743"/>
    <w:rsid w:val="000C5ECC"/>
    <w:rsid w:val="000C749A"/>
    <w:rsid w:val="000D3DFC"/>
    <w:rsid w:val="000D5D94"/>
    <w:rsid w:val="000F1A0E"/>
    <w:rsid w:val="0010109F"/>
    <w:rsid w:val="00101E6D"/>
    <w:rsid w:val="0011023F"/>
    <w:rsid w:val="001165A7"/>
    <w:rsid w:val="001273B5"/>
    <w:rsid w:val="00134491"/>
    <w:rsid w:val="001457F1"/>
    <w:rsid w:val="0015167E"/>
    <w:rsid w:val="00151DD4"/>
    <w:rsid w:val="00155C07"/>
    <w:rsid w:val="0016508E"/>
    <w:rsid w:val="00167D3A"/>
    <w:rsid w:val="00173F50"/>
    <w:rsid w:val="00184350"/>
    <w:rsid w:val="00185986"/>
    <w:rsid w:val="00187110"/>
    <w:rsid w:val="00187896"/>
    <w:rsid w:val="001A3082"/>
    <w:rsid w:val="001A53AD"/>
    <w:rsid w:val="001B186A"/>
    <w:rsid w:val="001B2F75"/>
    <w:rsid w:val="001B5A14"/>
    <w:rsid w:val="001C2F1E"/>
    <w:rsid w:val="001C6F5F"/>
    <w:rsid w:val="001D0913"/>
    <w:rsid w:val="001D6167"/>
    <w:rsid w:val="001F2716"/>
    <w:rsid w:val="001F3AC0"/>
    <w:rsid w:val="00207617"/>
    <w:rsid w:val="0023134B"/>
    <w:rsid w:val="00236A56"/>
    <w:rsid w:val="002459BC"/>
    <w:rsid w:val="002469D6"/>
    <w:rsid w:val="00283659"/>
    <w:rsid w:val="002B0B08"/>
    <w:rsid w:val="002C6BD4"/>
    <w:rsid w:val="002D68BF"/>
    <w:rsid w:val="002E4541"/>
    <w:rsid w:val="002E5A79"/>
    <w:rsid w:val="002F1F7D"/>
    <w:rsid w:val="002F6B98"/>
    <w:rsid w:val="00317846"/>
    <w:rsid w:val="00327B58"/>
    <w:rsid w:val="00330B01"/>
    <w:rsid w:val="00336CBF"/>
    <w:rsid w:val="00343FE3"/>
    <w:rsid w:val="00350E29"/>
    <w:rsid w:val="003546C8"/>
    <w:rsid w:val="003823D3"/>
    <w:rsid w:val="003825D4"/>
    <w:rsid w:val="00385815"/>
    <w:rsid w:val="003A7CF2"/>
    <w:rsid w:val="003C5CE5"/>
    <w:rsid w:val="003D6AEA"/>
    <w:rsid w:val="003D6FAD"/>
    <w:rsid w:val="003E267B"/>
    <w:rsid w:val="003E7CD1"/>
    <w:rsid w:val="003F2BD4"/>
    <w:rsid w:val="00402B9E"/>
    <w:rsid w:val="004249CB"/>
    <w:rsid w:val="0044127D"/>
    <w:rsid w:val="004424A4"/>
    <w:rsid w:val="004448DB"/>
    <w:rsid w:val="00446C9A"/>
    <w:rsid w:val="00452F2B"/>
    <w:rsid w:val="00453A78"/>
    <w:rsid w:val="00477193"/>
    <w:rsid w:val="00486BA8"/>
    <w:rsid w:val="00492E0F"/>
    <w:rsid w:val="004A1848"/>
    <w:rsid w:val="004A2D15"/>
    <w:rsid w:val="004A534C"/>
    <w:rsid w:val="004A6F4A"/>
    <w:rsid w:val="004B70D7"/>
    <w:rsid w:val="004C05C3"/>
    <w:rsid w:val="004C3D55"/>
    <w:rsid w:val="004D39CB"/>
    <w:rsid w:val="004D6B45"/>
    <w:rsid w:val="004E4717"/>
    <w:rsid w:val="00500F78"/>
    <w:rsid w:val="005035FC"/>
    <w:rsid w:val="00507EFA"/>
    <w:rsid w:val="00507FEC"/>
    <w:rsid w:val="00510F0E"/>
    <w:rsid w:val="0051155A"/>
    <w:rsid w:val="005479E1"/>
    <w:rsid w:val="00553028"/>
    <w:rsid w:val="00553557"/>
    <w:rsid w:val="00553E0A"/>
    <w:rsid w:val="005570FD"/>
    <w:rsid w:val="005575EA"/>
    <w:rsid w:val="0057790C"/>
    <w:rsid w:val="00587BB7"/>
    <w:rsid w:val="00593795"/>
    <w:rsid w:val="005951E9"/>
    <w:rsid w:val="005A005D"/>
    <w:rsid w:val="005A75FF"/>
    <w:rsid w:val="005B02CD"/>
    <w:rsid w:val="005C6248"/>
    <w:rsid w:val="005D10AB"/>
    <w:rsid w:val="005D1BC7"/>
    <w:rsid w:val="005E0745"/>
    <w:rsid w:val="00601D8F"/>
    <w:rsid w:val="00605582"/>
    <w:rsid w:val="00606A60"/>
    <w:rsid w:val="00611F34"/>
    <w:rsid w:val="00621045"/>
    <w:rsid w:val="00621FE8"/>
    <w:rsid w:val="00637F69"/>
    <w:rsid w:val="006401A3"/>
    <w:rsid w:val="006434B6"/>
    <w:rsid w:val="00647258"/>
    <w:rsid w:val="00653E97"/>
    <w:rsid w:val="006667DB"/>
    <w:rsid w:val="00684A74"/>
    <w:rsid w:val="0068620A"/>
    <w:rsid w:val="00690B8A"/>
    <w:rsid w:val="006A1DA2"/>
    <w:rsid w:val="006C396F"/>
    <w:rsid w:val="006E0996"/>
    <w:rsid w:val="006E23E4"/>
    <w:rsid w:val="006E624E"/>
    <w:rsid w:val="006F2CF1"/>
    <w:rsid w:val="006F3B2B"/>
    <w:rsid w:val="006F52F0"/>
    <w:rsid w:val="00700D50"/>
    <w:rsid w:val="007038ED"/>
    <w:rsid w:val="00703BC3"/>
    <w:rsid w:val="00704B61"/>
    <w:rsid w:val="0071211D"/>
    <w:rsid w:val="00715A64"/>
    <w:rsid w:val="007173A3"/>
    <w:rsid w:val="0072736E"/>
    <w:rsid w:val="007356B0"/>
    <w:rsid w:val="00740C1F"/>
    <w:rsid w:val="00744667"/>
    <w:rsid w:val="00750446"/>
    <w:rsid w:val="007526F4"/>
    <w:rsid w:val="007552A9"/>
    <w:rsid w:val="0075658A"/>
    <w:rsid w:val="00761858"/>
    <w:rsid w:val="0076329F"/>
    <w:rsid w:val="00767D59"/>
    <w:rsid w:val="00776E97"/>
    <w:rsid w:val="00780F86"/>
    <w:rsid w:val="007912AD"/>
    <w:rsid w:val="00791A43"/>
    <w:rsid w:val="007B0824"/>
    <w:rsid w:val="007B5D3C"/>
    <w:rsid w:val="007C423F"/>
    <w:rsid w:val="007D5A06"/>
    <w:rsid w:val="008072E4"/>
    <w:rsid w:val="00815011"/>
    <w:rsid w:val="00821B72"/>
    <w:rsid w:val="00823EF2"/>
    <w:rsid w:val="008303B8"/>
    <w:rsid w:val="008322E8"/>
    <w:rsid w:val="00833DCE"/>
    <w:rsid w:val="00833E86"/>
    <w:rsid w:val="00834B7E"/>
    <w:rsid w:val="00871D34"/>
    <w:rsid w:val="00881F0F"/>
    <w:rsid w:val="008A25EC"/>
    <w:rsid w:val="008A6059"/>
    <w:rsid w:val="008A6EB8"/>
    <w:rsid w:val="008B270C"/>
    <w:rsid w:val="008B2D80"/>
    <w:rsid w:val="008B5078"/>
    <w:rsid w:val="008C0172"/>
    <w:rsid w:val="008C3D3D"/>
    <w:rsid w:val="008D4131"/>
    <w:rsid w:val="008E63AD"/>
    <w:rsid w:val="008F1932"/>
    <w:rsid w:val="008F7C88"/>
    <w:rsid w:val="008F7E81"/>
    <w:rsid w:val="0090151B"/>
    <w:rsid w:val="009042A9"/>
    <w:rsid w:val="00904F98"/>
    <w:rsid w:val="009050A6"/>
    <w:rsid w:val="00921062"/>
    <w:rsid w:val="00924E30"/>
    <w:rsid w:val="00925344"/>
    <w:rsid w:val="00953F1A"/>
    <w:rsid w:val="009578FA"/>
    <w:rsid w:val="009722BC"/>
    <w:rsid w:val="009727A3"/>
    <w:rsid w:val="00973FD8"/>
    <w:rsid w:val="0097736F"/>
    <w:rsid w:val="0098353D"/>
    <w:rsid w:val="00987774"/>
    <w:rsid w:val="0099177A"/>
    <w:rsid w:val="00991E82"/>
    <w:rsid w:val="00996B75"/>
    <w:rsid w:val="009A11E8"/>
    <w:rsid w:val="009B440E"/>
    <w:rsid w:val="009B4C35"/>
    <w:rsid w:val="009B7433"/>
    <w:rsid w:val="009C57C8"/>
    <w:rsid w:val="009D7546"/>
    <w:rsid w:val="009D776B"/>
    <w:rsid w:val="009F06A7"/>
    <w:rsid w:val="009F0AE8"/>
    <w:rsid w:val="009F17E5"/>
    <w:rsid w:val="009F5220"/>
    <w:rsid w:val="00A0505F"/>
    <w:rsid w:val="00A0741B"/>
    <w:rsid w:val="00A07919"/>
    <w:rsid w:val="00A15234"/>
    <w:rsid w:val="00A172F5"/>
    <w:rsid w:val="00A17D95"/>
    <w:rsid w:val="00A201AB"/>
    <w:rsid w:val="00A31C8B"/>
    <w:rsid w:val="00A34EEC"/>
    <w:rsid w:val="00A36CC3"/>
    <w:rsid w:val="00A509FA"/>
    <w:rsid w:val="00A53A56"/>
    <w:rsid w:val="00A56F4D"/>
    <w:rsid w:val="00A7637D"/>
    <w:rsid w:val="00A845DC"/>
    <w:rsid w:val="00AA29FA"/>
    <w:rsid w:val="00AB7F29"/>
    <w:rsid w:val="00AC536D"/>
    <w:rsid w:val="00B26AA2"/>
    <w:rsid w:val="00B300C2"/>
    <w:rsid w:val="00B3524D"/>
    <w:rsid w:val="00B40F69"/>
    <w:rsid w:val="00B46616"/>
    <w:rsid w:val="00B47B0C"/>
    <w:rsid w:val="00B528BB"/>
    <w:rsid w:val="00B55245"/>
    <w:rsid w:val="00B56B9B"/>
    <w:rsid w:val="00B7040A"/>
    <w:rsid w:val="00B83391"/>
    <w:rsid w:val="00B860C2"/>
    <w:rsid w:val="00B95326"/>
    <w:rsid w:val="00BA3BAA"/>
    <w:rsid w:val="00BB4F04"/>
    <w:rsid w:val="00BB7190"/>
    <w:rsid w:val="00BC1D8D"/>
    <w:rsid w:val="00BC513A"/>
    <w:rsid w:val="00BD4196"/>
    <w:rsid w:val="00BF22CA"/>
    <w:rsid w:val="00BF23BB"/>
    <w:rsid w:val="00C23DFC"/>
    <w:rsid w:val="00C25C5D"/>
    <w:rsid w:val="00C26032"/>
    <w:rsid w:val="00C33556"/>
    <w:rsid w:val="00C345E1"/>
    <w:rsid w:val="00C37A74"/>
    <w:rsid w:val="00C405A8"/>
    <w:rsid w:val="00C4311A"/>
    <w:rsid w:val="00C43BFD"/>
    <w:rsid w:val="00C531B2"/>
    <w:rsid w:val="00C57D17"/>
    <w:rsid w:val="00C6048A"/>
    <w:rsid w:val="00C659D4"/>
    <w:rsid w:val="00C7388A"/>
    <w:rsid w:val="00C748AB"/>
    <w:rsid w:val="00C9683E"/>
    <w:rsid w:val="00CA6FBF"/>
    <w:rsid w:val="00CB6E35"/>
    <w:rsid w:val="00CD70B6"/>
    <w:rsid w:val="00CE09B1"/>
    <w:rsid w:val="00CE1093"/>
    <w:rsid w:val="00CE1A46"/>
    <w:rsid w:val="00CE3C79"/>
    <w:rsid w:val="00CF1C4D"/>
    <w:rsid w:val="00CF2624"/>
    <w:rsid w:val="00D01939"/>
    <w:rsid w:val="00D05EA6"/>
    <w:rsid w:val="00D20757"/>
    <w:rsid w:val="00D22636"/>
    <w:rsid w:val="00D277F9"/>
    <w:rsid w:val="00D40FD9"/>
    <w:rsid w:val="00D46E9F"/>
    <w:rsid w:val="00D53769"/>
    <w:rsid w:val="00D60593"/>
    <w:rsid w:val="00D606FA"/>
    <w:rsid w:val="00D6602D"/>
    <w:rsid w:val="00D767B7"/>
    <w:rsid w:val="00D81F2B"/>
    <w:rsid w:val="00D85C13"/>
    <w:rsid w:val="00D87FD0"/>
    <w:rsid w:val="00D9111A"/>
    <w:rsid w:val="00D9196B"/>
    <w:rsid w:val="00D91BE3"/>
    <w:rsid w:val="00D949B7"/>
    <w:rsid w:val="00D94AFC"/>
    <w:rsid w:val="00DA1C7E"/>
    <w:rsid w:val="00DB70AE"/>
    <w:rsid w:val="00DC64C1"/>
    <w:rsid w:val="00DD5071"/>
    <w:rsid w:val="00DD5C39"/>
    <w:rsid w:val="00DE4A7E"/>
    <w:rsid w:val="00DE5CD4"/>
    <w:rsid w:val="00DE7DB7"/>
    <w:rsid w:val="00DF5F85"/>
    <w:rsid w:val="00DF7308"/>
    <w:rsid w:val="00E00A0A"/>
    <w:rsid w:val="00E066DE"/>
    <w:rsid w:val="00E07F57"/>
    <w:rsid w:val="00E25605"/>
    <w:rsid w:val="00E30683"/>
    <w:rsid w:val="00E403E4"/>
    <w:rsid w:val="00E414BD"/>
    <w:rsid w:val="00E42107"/>
    <w:rsid w:val="00E453D8"/>
    <w:rsid w:val="00E50BCE"/>
    <w:rsid w:val="00E51C4F"/>
    <w:rsid w:val="00E574BF"/>
    <w:rsid w:val="00E61292"/>
    <w:rsid w:val="00E634CF"/>
    <w:rsid w:val="00E77C4D"/>
    <w:rsid w:val="00E81D01"/>
    <w:rsid w:val="00E81E60"/>
    <w:rsid w:val="00E83065"/>
    <w:rsid w:val="00E9419A"/>
    <w:rsid w:val="00E958E7"/>
    <w:rsid w:val="00EA0FC6"/>
    <w:rsid w:val="00EA79AF"/>
    <w:rsid w:val="00EB2B01"/>
    <w:rsid w:val="00EB485A"/>
    <w:rsid w:val="00EB6B22"/>
    <w:rsid w:val="00EE45D8"/>
    <w:rsid w:val="00EF3A40"/>
    <w:rsid w:val="00EF4579"/>
    <w:rsid w:val="00F046F3"/>
    <w:rsid w:val="00F07F87"/>
    <w:rsid w:val="00F14C44"/>
    <w:rsid w:val="00F22EDA"/>
    <w:rsid w:val="00F3218F"/>
    <w:rsid w:val="00F37F1A"/>
    <w:rsid w:val="00F470D6"/>
    <w:rsid w:val="00F5589A"/>
    <w:rsid w:val="00F559E2"/>
    <w:rsid w:val="00F60C8D"/>
    <w:rsid w:val="00F768D4"/>
    <w:rsid w:val="00F8456D"/>
    <w:rsid w:val="00F85A3B"/>
    <w:rsid w:val="00F874D1"/>
    <w:rsid w:val="00FB7577"/>
    <w:rsid w:val="00FC40FA"/>
    <w:rsid w:val="00FD3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27515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2198</Words>
  <Characters>10629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2018-10-08T16:26:00Z</dcterms:created>
  <dcterms:modified xsi:type="dcterms:W3CDTF">2018-10-08T16:26:00Z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