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1923" w14:textId="0C8537EB" w:rsidR="00037D53" w:rsidRDefault="006F1390">
      <w:pPr>
        <w:jc w:val="center"/>
        <w:rPr>
          <w:rFonts w:ascii="Book Antiqua" w:hAnsi="Book Antiqua" w:cs="Arial"/>
          <w:sz w:val="16"/>
          <w:szCs w:val="16"/>
        </w:rPr>
      </w:pPr>
      <w:r>
        <w:rPr>
          <w:noProof/>
        </w:rPr>
        <w:drawing>
          <wp:inline distT="0" distB="0" distL="0" distR="0" wp14:anchorId="225E2AF2" wp14:editId="2169C556">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23A37427" w14:textId="77777777" w:rsidR="00037D53" w:rsidRDefault="00037D53">
      <w:pPr>
        <w:tabs>
          <w:tab w:val="right" w:pos="9639"/>
        </w:tabs>
        <w:rPr>
          <w:rFonts w:ascii="Book Antiqua" w:hAnsi="Book Antiqua" w:cs="Arial"/>
          <w:b/>
        </w:rPr>
      </w:pPr>
      <w:r>
        <w:rPr>
          <w:rFonts w:ascii="Book Antiqua" w:hAnsi="Book Antiqua" w:cs="Arial"/>
          <w:b/>
        </w:rPr>
        <w:t>Upper Tribunal</w:t>
      </w:r>
    </w:p>
    <w:p w14:paraId="50ABBCD5" w14:textId="1E23D510" w:rsidR="00037D53" w:rsidRPr="0004031E" w:rsidRDefault="00037D53">
      <w:pPr>
        <w:tabs>
          <w:tab w:val="right" w:pos="9639"/>
        </w:tabs>
        <w:rPr>
          <w:rFonts w:ascii="Book Antiqua" w:hAnsi="Book Antiqua" w:cs="Arial"/>
          <w:b/>
        </w:rPr>
      </w:pPr>
      <w:r>
        <w:rPr>
          <w:rFonts w:ascii="Book Antiqua" w:hAnsi="Book Antiqua" w:cs="Arial"/>
          <w:b/>
        </w:rPr>
        <w:t>(</w:t>
      </w:r>
      <w:r w:rsidR="0004031E">
        <w:rPr>
          <w:rFonts w:ascii="Book Antiqua" w:hAnsi="Book Antiqua" w:cs="Arial"/>
          <w:b/>
        </w:rPr>
        <w:t xml:space="preserve">Immigration and Asylum </w:t>
      </w:r>
      <w:proofErr w:type="gramStart"/>
      <w:r w:rsidR="0004031E">
        <w:rPr>
          <w:rFonts w:ascii="Book Antiqua" w:hAnsi="Book Antiqua" w:cs="Arial"/>
          <w:b/>
        </w:rPr>
        <w:t xml:space="preserve">Chamber)   </w:t>
      </w:r>
      <w:proofErr w:type="gramEnd"/>
      <w:r w:rsidR="0004031E">
        <w:rPr>
          <w:rFonts w:ascii="Book Antiqua" w:hAnsi="Book Antiqua" w:cs="Arial"/>
          <w:b/>
        </w:rPr>
        <w:t xml:space="preserve">                 </w:t>
      </w:r>
      <w:r w:rsidRPr="0004031E">
        <w:rPr>
          <w:rFonts w:ascii="Book Antiqua" w:hAnsi="Book Antiqua" w:cs="Arial"/>
          <w:b/>
        </w:rPr>
        <w:t>Appeal Number: HU/22112/2016</w:t>
      </w:r>
    </w:p>
    <w:p w14:paraId="02D2132F" w14:textId="77777777" w:rsidR="00037D53" w:rsidRPr="0004031E" w:rsidRDefault="00037D53">
      <w:pPr>
        <w:jc w:val="center"/>
        <w:rPr>
          <w:rFonts w:ascii="Book Antiqua" w:hAnsi="Book Antiqua" w:cs="Arial"/>
          <w:b/>
        </w:rPr>
      </w:pPr>
    </w:p>
    <w:p w14:paraId="5036B582" w14:textId="77777777" w:rsidR="00037D53" w:rsidRDefault="00037D53">
      <w:pPr>
        <w:jc w:val="center"/>
        <w:rPr>
          <w:rFonts w:ascii="Book Antiqua" w:hAnsi="Book Antiqua" w:cs="Arial"/>
          <w:b/>
          <w:u w:val="single"/>
        </w:rPr>
      </w:pPr>
      <w:r>
        <w:rPr>
          <w:rFonts w:ascii="Book Antiqua" w:hAnsi="Book Antiqua" w:cs="Arial"/>
          <w:b/>
          <w:u w:val="single"/>
        </w:rPr>
        <w:t>THE IMMIGRATION ACTS</w:t>
      </w:r>
    </w:p>
    <w:p w14:paraId="5DDE2859" w14:textId="77777777" w:rsidR="00037D53" w:rsidRDefault="00037D53">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4962"/>
        <w:gridCol w:w="906"/>
        <w:gridCol w:w="3986"/>
      </w:tblGrid>
      <w:tr w:rsidR="00037D53" w14:paraId="45F69DDC" w14:textId="77777777" w:rsidTr="0004031E">
        <w:tc>
          <w:tcPr>
            <w:tcW w:w="4962" w:type="dxa"/>
          </w:tcPr>
          <w:p w14:paraId="69BCD2D7" w14:textId="77777777" w:rsidR="00037D53" w:rsidRDefault="00037D53">
            <w:pPr>
              <w:jc w:val="both"/>
              <w:rPr>
                <w:rFonts w:ascii="Book Antiqua" w:hAnsi="Book Antiqua" w:cs="Arial"/>
                <w:b/>
              </w:rPr>
            </w:pPr>
            <w:r>
              <w:rPr>
                <w:rFonts w:ascii="Book Antiqua" w:hAnsi="Book Antiqua" w:cs="Arial"/>
                <w:b/>
              </w:rPr>
              <w:t>Heard at Field House</w:t>
            </w:r>
          </w:p>
        </w:tc>
        <w:tc>
          <w:tcPr>
            <w:tcW w:w="4892" w:type="dxa"/>
            <w:gridSpan w:val="2"/>
          </w:tcPr>
          <w:p w14:paraId="0BF15FD8" w14:textId="3DAD9539" w:rsidR="00037D53" w:rsidRDefault="0004031E" w:rsidP="0004031E">
            <w:pPr>
              <w:rPr>
                <w:rFonts w:ascii="Book Antiqua" w:hAnsi="Book Antiqua" w:cs="Arial"/>
                <w:b/>
              </w:rPr>
            </w:pPr>
            <w:r>
              <w:rPr>
                <w:rFonts w:ascii="Book Antiqua" w:hAnsi="Book Antiqua" w:cs="Arial"/>
                <w:b/>
              </w:rPr>
              <w:t xml:space="preserve">  </w:t>
            </w:r>
            <w:r w:rsidR="00037D53">
              <w:rPr>
                <w:rFonts w:ascii="Book Antiqua" w:hAnsi="Book Antiqua" w:cs="Arial"/>
                <w:b/>
              </w:rPr>
              <w:t>Decision &amp; Reasons Promulgated</w:t>
            </w:r>
          </w:p>
        </w:tc>
      </w:tr>
      <w:tr w:rsidR="00037D53" w14:paraId="7C4A7C74" w14:textId="77777777" w:rsidTr="0004031E">
        <w:tc>
          <w:tcPr>
            <w:tcW w:w="4962" w:type="dxa"/>
          </w:tcPr>
          <w:p w14:paraId="2112EA33" w14:textId="77777777" w:rsidR="00037D53" w:rsidRDefault="00037D53">
            <w:pPr>
              <w:jc w:val="both"/>
              <w:rPr>
                <w:rFonts w:ascii="Book Antiqua" w:hAnsi="Book Antiqua" w:cs="Arial"/>
                <w:b/>
              </w:rPr>
            </w:pPr>
            <w:r>
              <w:rPr>
                <w:rFonts w:ascii="Book Antiqua" w:hAnsi="Book Antiqua" w:cs="Arial"/>
                <w:b/>
              </w:rPr>
              <w:t>On 9 July 2018</w:t>
            </w:r>
          </w:p>
        </w:tc>
        <w:tc>
          <w:tcPr>
            <w:tcW w:w="4892" w:type="dxa"/>
            <w:gridSpan w:val="2"/>
          </w:tcPr>
          <w:p w14:paraId="6DAF61DE" w14:textId="2210B0F2" w:rsidR="00037D53" w:rsidRDefault="0004031E">
            <w:pPr>
              <w:jc w:val="both"/>
              <w:rPr>
                <w:rFonts w:ascii="Book Antiqua" w:hAnsi="Book Antiqua" w:cs="Arial"/>
                <w:b/>
              </w:rPr>
            </w:pPr>
            <w:r>
              <w:rPr>
                <w:rFonts w:ascii="Book Antiqua" w:hAnsi="Book Antiqua" w:cs="Arial"/>
                <w:b/>
              </w:rPr>
              <w:t xml:space="preserve">  </w:t>
            </w:r>
            <w:r w:rsidR="008E3858" w:rsidRPr="008E3858">
              <w:rPr>
                <w:rFonts w:ascii="Book Antiqua" w:hAnsi="Book Antiqua" w:cs="Arial"/>
                <w:b/>
              </w:rPr>
              <w:t>On 30 July 2018</w:t>
            </w:r>
          </w:p>
        </w:tc>
      </w:tr>
      <w:tr w:rsidR="00037D53" w14:paraId="3894D005" w14:textId="77777777" w:rsidTr="0004031E">
        <w:tc>
          <w:tcPr>
            <w:tcW w:w="5868" w:type="dxa"/>
            <w:gridSpan w:val="2"/>
          </w:tcPr>
          <w:p w14:paraId="50956341" w14:textId="77777777" w:rsidR="00037D53" w:rsidRDefault="00037D53">
            <w:pPr>
              <w:jc w:val="both"/>
              <w:rPr>
                <w:rFonts w:ascii="Book Antiqua" w:hAnsi="Book Antiqua" w:cs="Arial"/>
                <w:b/>
              </w:rPr>
            </w:pPr>
          </w:p>
        </w:tc>
        <w:tc>
          <w:tcPr>
            <w:tcW w:w="3986" w:type="dxa"/>
          </w:tcPr>
          <w:p w14:paraId="0E0D8ADC" w14:textId="77777777" w:rsidR="00037D53" w:rsidRDefault="00037D53">
            <w:pPr>
              <w:jc w:val="both"/>
              <w:rPr>
                <w:rFonts w:ascii="Book Antiqua" w:hAnsi="Book Antiqua" w:cs="Arial"/>
                <w:b/>
              </w:rPr>
            </w:pPr>
          </w:p>
        </w:tc>
      </w:tr>
    </w:tbl>
    <w:p w14:paraId="3FFD2F33" w14:textId="77777777" w:rsidR="00037D53" w:rsidRDefault="00037D53">
      <w:pPr>
        <w:jc w:val="center"/>
        <w:rPr>
          <w:rFonts w:ascii="Book Antiqua" w:hAnsi="Book Antiqua" w:cs="Arial"/>
        </w:rPr>
      </w:pPr>
    </w:p>
    <w:p w14:paraId="380DE5B1" w14:textId="77777777" w:rsidR="00037D53" w:rsidRDefault="00037D53">
      <w:pPr>
        <w:jc w:val="center"/>
        <w:rPr>
          <w:rFonts w:ascii="Book Antiqua" w:hAnsi="Book Antiqua" w:cs="Arial"/>
          <w:b/>
        </w:rPr>
      </w:pPr>
      <w:r>
        <w:rPr>
          <w:rFonts w:ascii="Book Antiqua" w:hAnsi="Book Antiqua" w:cs="Arial"/>
          <w:b/>
        </w:rPr>
        <w:t>Before</w:t>
      </w:r>
    </w:p>
    <w:p w14:paraId="08317AF7" w14:textId="77777777" w:rsidR="00037D53" w:rsidRDefault="00037D53">
      <w:pPr>
        <w:jc w:val="center"/>
        <w:rPr>
          <w:rFonts w:ascii="Book Antiqua" w:hAnsi="Book Antiqua" w:cs="Arial"/>
          <w:b/>
        </w:rPr>
      </w:pPr>
    </w:p>
    <w:p w14:paraId="6D470A07" w14:textId="77777777" w:rsidR="00037D53" w:rsidRDefault="00037D53">
      <w:pPr>
        <w:jc w:val="center"/>
        <w:rPr>
          <w:rFonts w:ascii="Book Antiqua" w:hAnsi="Book Antiqua" w:cs="Arial"/>
          <w:b/>
        </w:rPr>
      </w:pPr>
      <w:r>
        <w:rPr>
          <w:rFonts w:ascii="Book Antiqua" w:hAnsi="Book Antiqua" w:cs="Arial"/>
          <w:b/>
        </w:rPr>
        <w:t>DEPUTY UPPER TRIBUNAL JUDGE MONSON</w:t>
      </w:r>
    </w:p>
    <w:p w14:paraId="5958A680" w14:textId="77777777" w:rsidR="00037D53" w:rsidRDefault="00037D53">
      <w:pPr>
        <w:jc w:val="center"/>
        <w:rPr>
          <w:rFonts w:ascii="Book Antiqua" w:hAnsi="Book Antiqua" w:cs="Arial"/>
          <w:b/>
        </w:rPr>
      </w:pPr>
    </w:p>
    <w:p w14:paraId="38F8755C" w14:textId="77777777" w:rsidR="00037D53" w:rsidRDefault="00037D53">
      <w:pPr>
        <w:jc w:val="center"/>
        <w:rPr>
          <w:rFonts w:ascii="Book Antiqua" w:hAnsi="Book Antiqua" w:cs="Arial"/>
          <w:b/>
        </w:rPr>
      </w:pPr>
      <w:r>
        <w:rPr>
          <w:rFonts w:ascii="Book Antiqua" w:hAnsi="Book Antiqua" w:cs="Arial"/>
          <w:b/>
        </w:rPr>
        <w:t>Between</w:t>
      </w:r>
    </w:p>
    <w:p w14:paraId="2EBB23BD" w14:textId="77777777" w:rsidR="00037D53" w:rsidRDefault="00037D53">
      <w:pPr>
        <w:jc w:val="center"/>
        <w:rPr>
          <w:rFonts w:ascii="Book Antiqua" w:hAnsi="Book Antiqua" w:cs="Arial"/>
          <w:b/>
        </w:rPr>
      </w:pPr>
    </w:p>
    <w:p w14:paraId="5C56D0EA" w14:textId="77777777" w:rsidR="00037D53" w:rsidRDefault="004466D9">
      <w:pPr>
        <w:jc w:val="center"/>
        <w:rPr>
          <w:rFonts w:ascii="Book Antiqua" w:hAnsi="Book Antiqua" w:cs="Arial"/>
          <w:b/>
          <w:caps/>
        </w:rPr>
      </w:pPr>
      <w:r>
        <w:rPr>
          <w:rFonts w:ascii="Book Antiqua" w:hAnsi="Book Antiqua" w:cs="Arial"/>
          <w:b/>
          <w:caps/>
        </w:rPr>
        <w:t>edmond m</w:t>
      </w:r>
      <w:r w:rsidR="00037D53">
        <w:rPr>
          <w:rFonts w:ascii="Book Antiqua" w:hAnsi="Book Antiqua" w:cs="Arial"/>
          <w:b/>
          <w:caps/>
        </w:rPr>
        <w:t>ii aryee armah</w:t>
      </w:r>
    </w:p>
    <w:p w14:paraId="09999740" w14:textId="77777777" w:rsidR="00037D53" w:rsidRPr="0004031E" w:rsidRDefault="00037D53">
      <w:pPr>
        <w:jc w:val="center"/>
        <w:rPr>
          <w:rFonts w:ascii="Book Antiqua" w:hAnsi="Book Antiqua" w:cs="Arial"/>
          <w:caps/>
        </w:rPr>
      </w:pPr>
      <w:r w:rsidRPr="0004031E">
        <w:rPr>
          <w:rFonts w:ascii="Book Antiqua" w:hAnsi="Book Antiqua" w:cs="Arial"/>
          <w:caps/>
        </w:rPr>
        <w:t>(anonymity direction NOT MADE)</w:t>
      </w:r>
    </w:p>
    <w:p w14:paraId="644C177D" w14:textId="77777777" w:rsidR="00037D53" w:rsidRDefault="00037D53">
      <w:pPr>
        <w:jc w:val="right"/>
        <w:rPr>
          <w:rFonts w:ascii="Book Antiqua" w:hAnsi="Book Antiqua" w:cs="Arial"/>
          <w:u w:val="single"/>
        </w:rPr>
      </w:pPr>
      <w:r>
        <w:rPr>
          <w:rFonts w:ascii="Book Antiqua" w:hAnsi="Book Antiqua" w:cs="Arial"/>
          <w:u w:val="single"/>
        </w:rPr>
        <w:t>Appellant</w:t>
      </w:r>
    </w:p>
    <w:p w14:paraId="562DFAD0" w14:textId="77777777" w:rsidR="00037D53" w:rsidRDefault="00037D53">
      <w:pPr>
        <w:jc w:val="center"/>
        <w:rPr>
          <w:rFonts w:ascii="Book Antiqua" w:hAnsi="Book Antiqua" w:cs="Arial"/>
          <w:b/>
        </w:rPr>
      </w:pPr>
    </w:p>
    <w:p w14:paraId="3CFBE6B0" w14:textId="77777777" w:rsidR="00037D53" w:rsidRDefault="00037D53">
      <w:pPr>
        <w:jc w:val="center"/>
        <w:rPr>
          <w:rFonts w:ascii="Book Antiqua" w:hAnsi="Book Antiqua" w:cs="Arial"/>
          <w:b/>
        </w:rPr>
      </w:pPr>
      <w:r>
        <w:rPr>
          <w:rFonts w:ascii="Book Antiqua" w:hAnsi="Book Antiqua" w:cs="Arial"/>
          <w:b/>
        </w:rPr>
        <w:t>and</w:t>
      </w:r>
    </w:p>
    <w:p w14:paraId="26CDC1B6" w14:textId="77777777" w:rsidR="00037D53" w:rsidRDefault="00037D53">
      <w:pPr>
        <w:jc w:val="center"/>
        <w:rPr>
          <w:rFonts w:ascii="Book Antiqua" w:hAnsi="Book Antiqua" w:cs="Arial"/>
          <w:b/>
        </w:rPr>
      </w:pPr>
    </w:p>
    <w:p w14:paraId="3E8D1971" w14:textId="77777777" w:rsidR="00037D53" w:rsidRDefault="00037D53">
      <w:pPr>
        <w:jc w:val="center"/>
        <w:rPr>
          <w:rFonts w:ascii="Book Antiqua" w:hAnsi="Book Antiqua" w:cs="Arial"/>
          <w:b/>
          <w:caps/>
        </w:rPr>
      </w:pPr>
      <w:r>
        <w:rPr>
          <w:rFonts w:ascii="Book Antiqua" w:hAnsi="Book Antiqua" w:cs="Arial"/>
          <w:b/>
        </w:rPr>
        <w:t>E</w:t>
      </w:r>
      <w:r>
        <w:rPr>
          <w:rFonts w:ascii="Book Antiqua" w:hAnsi="Book Antiqua" w:cs="Arial"/>
          <w:b/>
          <w:caps/>
        </w:rPr>
        <w:t>ntry clearance officer</w:t>
      </w:r>
      <w:r>
        <w:rPr>
          <w:rFonts w:ascii="Book Antiqua" w:hAnsi="Book Antiqua" w:cs="Arial"/>
          <w:b/>
        </w:rPr>
        <w:t xml:space="preserve"> </w:t>
      </w:r>
    </w:p>
    <w:p w14:paraId="4615D1FA" w14:textId="77777777" w:rsidR="00037D53" w:rsidRDefault="00037D53">
      <w:pPr>
        <w:jc w:val="right"/>
        <w:rPr>
          <w:rFonts w:ascii="Book Antiqua" w:hAnsi="Book Antiqua" w:cs="Arial"/>
          <w:u w:val="single"/>
        </w:rPr>
      </w:pPr>
      <w:r>
        <w:rPr>
          <w:rFonts w:ascii="Book Antiqua" w:hAnsi="Book Antiqua" w:cs="Arial"/>
          <w:u w:val="single"/>
        </w:rPr>
        <w:t>Respondent</w:t>
      </w:r>
    </w:p>
    <w:p w14:paraId="4E253A10" w14:textId="77777777" w:rsidR="00037D53" w:rsidRDefault="00037D53">
      <w:pPr>
        <w:rPr>
          <w:rFonts w:ascii="Book Antiqua" w:hAnsi="Book Antiqua" w:cs="Arial"/>
          <w:u w:val="single"/>
        </w:rPr>
      </w:pPr>
    </w:p>
    <w:p w14:paraId="05315447" w14:textId="77777777" w:rsidR="00037D53" w:rsidRDefault="00037D53">
      <w:pPr>
        <w:rPr>
          <w:rFonts w:ascii="Book Antiqua" w:hAnsi="Book Antiqua" w:cs="Arial"/>
        </w:rPr>
      </w:pPr>
      <w:r>
        <w:rPr>
          <w:rFonts w:ascii="Book Antiqua" w:hAnsi="Book Antiqua" w:cs="Arial"/>
          <w:b/>
          <w:u w:val="single"/>
        </w:rPr>
        <w:t>Representation</w:t>
      </w:r>
      <w:r>
        <w:rPr>
          <w:rFonts w:ascii="Book Antiqua" w:hAnsi="Book Antiqua" w:cs="Arial"/>
          <w:b/>
        </w:rPr>
        <w:t>:</w:t>
      </w:r>
    </w:p>
    <w:p w14:paraId="507AE0D0" w14:textId="77777777" w:rsidR="00037D53" w:rsidRDefault="00037D53">
      <w:pPr>
        <w:rPr>
          <w:rFonts w:ascii="Book Antiqua" w:hAnsi="Book Antiqua" w:cs="Arial"/>
        </w:rPr>
      </w:pPr>
    </w:p>
    <w:p w14:paraId="150F6E2C" w14:textId="77777777" w:rsidR="00037D53" w:rsidRDefault="00037D53">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w:t>
      </w:r>
      <w:r w:rsidR="004466D9">
        <w:rPr>
          <w:rFonts w:ascii="Book Antiqua" w:hAnsi="Book Antiqua" w:cs="Arial"/>
        </w:rPr>
        <w:t xml:space="preserve"> Syed-Ali, Counsel instructed via</w:t>
      </w:r>
      <w:r>
        <w:rPr>
          <w:rFonts w:ascii="Book Antiqua" w:hAnsi="Book Antiqua" w:cs="Arial"/>
        </w:rPr>
        <w:t xml:space="preserve"> Direct Access </w:t>
      </w:r>
    </w:p>
    <w:p w14:paraId="0C0242F6" w14:textId="77777777" w:rsidR="00037D53" w:rsidRDefault="00037D53">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Ms A Everett, Senior Home Office Presenting Officer</w:t>
      </w:r>
    </w:p>
    <w:p w14:paraId="4DCF9AF4" w14:textId="77777777" w:rsidR="00037D53" w:rsidRDefault="00037D53">
      <w:pPr>
        <w:tabs>
          <w:tab w:val="left" w:pos="2520"/>
        </w:tabs>
        <w:jc w:val="center"/>
        <w:rPr>
          <w:rFonts w:ascii="Book Antiqua" w:hAnsi="Book Antiqua" w:cs="Arial"/>
        </w:rPr>
      </w:pPr>
    </w:p>
    <w:p w14:paraId="1394F6F7" w14:textId="77777777" w:rsidR="00037D53" w:rsidRDefault="00037D53">
      <w:pPr>
        <w:tabs>
          <w:tab w:val="left" w:pos="2520"/>
        </w:tabs>
        <w:jc w:val="center"/>
        <w:rPr>
          <w:rFonts w:ascii="Book Antiqua" w:hAnsi="Book Antiqua" w:cs="Arial"/>
        </w:rPr>
      </w:pPr>
      <w:r>
        <w:rPr>
          <w:rFonts w:ascii="Book Antiqua" w:hAnsi="Book Antiqua" w:cs="Arial"/>
          <w:b/>
          <w:u w:val="single"/>
        </w:rPr>
        <w:t>DECISION AND REASONS</w:t>
      </w:r>
    </w:p>
    <w:p w14:paraId="54D30D6A" w14:textId="77777777" w:rsidR="00037D53" w:rsidRDefault="00037D53">
      <w:pPr>
        <w:tabs>
          <w:tab w:val="left" w:pos="2520"/>
        </w:tabs>
        <w:jc w:val="both"/>
        <w:rPr>
          <w:rFonts w:ascii="Book Antiqua" w:hAnsi="Book Antiqua" w:cs="Arial"/>
        </w:rPr>
      </w:pPr>
    </w:p>
    <w:p w14:paraId="3FB67160" w14:textId="77777777" w:rsidR="00037D53" w:rsidRDefault="00037D53">
      <w:pPr>
        <w:numPr>
          <w:ilvl w:val="0"/>
          <w:numId w:val="1"/>
        </w:numPr>
        <w:spacing w:before="240"/>
        <w:jc w:val="both"/>
        <w:rPr>
          <w:rFonts w:ascii="Book Antiqua" w:hAnsi="Book Antiqua" w:cs="Arial"/>
        </w:rPr>
      </w:pPr>
      <w:r>
        <w:rPr>
          <w:rFonts w:ascii="Book Antiqua" w:hAnsi="Book Antiqua" w:cs="Arial"/>
        </w:rPr>
        <w:t>The appellant appeals from the decision of the First-tier Tribunal (Judge MA Khan sitting at H</w:t>
      </w:r>
      <w:r w:rsidR="004466D9">
        <w:rPr>
          <w:rFonts w:ascii="Book Antiqua" w:hAnsi="Book Antiqua" w:cs="Arial"/>
        </w:rPr>
        <w:t>a</w:t>
      </w:r>
      <w:r>
        <w:rPr>
          <w:rFonts w:ascii="Book Antiqua" w:hAnsi="Book Antiqua" w:cs="Arial"/>
        </w:rPr>
        <w:t>tton Cross on 31 August 2017) dismissing his appeal against the decision of an Entry Clearance Officer to refuse him entry clearance to join his father in the UK.  The principal issue in the appeal was whether the appellant’s father had had sole responsibility for his upbringing, and the Judge answered this question in the negative, as he attached significant weight to the fact that the appellant’s grandmother had been a</w:t>
      </w:r>
      <w:r w:rsidR="004466D9">
        <w:rPr>
          <w:rFonts w:ascii="Book Antiqua" w:hAnsi="Book Antiqua" w:cs="Arial"/>
        </w:rPr>
        <w:t>ppointed his guardian by a Ghan</w:t>
      </w:r>
      <w:r>
        <w:rPr>
          <w:rFonts w:ascii="Book Antiqua" w:hAnsi="Book Antiqua" w:cs="Arial"/>
        </w:rPr>
        <w:t>a</w:t>
      </w:r>
      <w:r w:rsidR="004466D9">
        <w:rPr>
          <w:rFonts w:ascii="Book Antiqua" w:hAnsi="Book Antiqua" w:cs="Arial"/>
        </w:rPr>
        <w:t>ia</w:t>
      </w:r>
      <w:r>
        <w:rPr>
          <w:rFonts w:ascii="Book Antiqua" w:hAnsi="Book Antiqua" w:cs="Arial"/>
        </w:rPr>
        <w:t>n Court on 16 November 2015.  The First-tier Tribunal did not make an anonymity direction, and I do not consider that the appellant requires anonymity for these proceedings in the Upper Tribunal.</w:t>
      </w:r>
    </w:p>
    <w:p w14:paraId="42248F5C" w14:textId="77777777" w:rsidR="00005A3C" w:rsidRDefault="00005A3C" w:rsidP="0004031E">
      <w:pPr>
        <w:tabs>
          <w:tab w:val="left" w:pos="8880"/>
        </w:tabs>
        <w:spacing w:before="240"/>
        <w:jc w:val="both"/>
        <w:rPr>
          <w:rFonts w:ascii="Book Antiqua" w:hAnsi="Book Antiqua" w:cs="Arial"/>
          <w:b/>
          <w:bCs/>
          <w:u w:val="single"/>
        </w:rPr>
      </w:pPr>
    </w:p>
    <w:p w14:paraId="111D6FBA" w14:textId="77777777" w:rsidR="00005A3C" w:rsidRDefault="00005A3C" w:rsidP="0004031E">
      <w:pPr>
        <w:tabs>
          <w:tab w:val="left" w:pos="8880"/>
        </w:tabs>
        <w:spacing w:before="240"/>
        <w:jc w:val="both"/>
        <w:rPr>
          <w:rFonts w:ascii="Book Antiqua" w:hAnsi="Book Antiqua" w:cs="Arial"/>
          <w:b/>
          <w:bCs/>
          <w:u w:val="single"/>
        </w:rPr>
      </w:pPr>
    </w:p>
    <w:p w14:paraId="55284FDB" w14:textId="49A9C5FE" w:rsidR="00037D53" w:rsidRDefault="00037D53" w:rsidP="0004031E">
      <w:pPr>
        <w:tabs>
          <w:tab w:val="left" w:pos="8880"/>
        </w:tabs>
        <w:spacing w:before="240"/>
        <w:jc w:val="both"/>
        <w:rPr>
          <w:rFonts w:ascii="Book Antiqua" w:hAnsi="Book Antiqua" w:cs="Arial"/>
          <w:b/>
          <w:bCs/>
          <w:u w:val="single"/>
        </w:rPr>
      </w:pPr>
      <w:r>
        <w:rPr>
          <w:rFonts w:ascii="Book Antiqua" w:hAnsi="Book Antiqua" w:cs="Arial"/>
          <w:b/>
          <w:bCs/>
          <w:u w:val="single"/>
        </w:rPr>
        <w:lastRenderedPageBreak/>
        <w:t>The Grounds of Appeal to the Upper Tribunal</w:t>
      </w:r>
      <w:r w:rsidR="0004031E" w:rsidRPr="0004031E">
        <w:rPr>
          <w:rFonts w:ascii="Book Antiqua" w:hAnsi="Book Antiqua" w:cs="Arial"/>
          <w:b/>
          <w:bCs/>
        </w:rPr>
        <w:tab/>
      </w:r>
    </w:p>
    <w:p w14:paraId="068C788D"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Although the appellant was legally represented before the First-tier Tribunal, his father </w:t>
      </w:r>
      <w:r w:rsidR="004466D9">
        <w:rPr>
          <w:rFonts w:ascii="Book Antiqua" w:hAnsi="Book Antiqua" w:cs="Arial"/>
        </w:rPr>
        <w:t xml:space="preserve">and sponsor </w:t>
      </w:r>
      <w:r>
        <w:rPr>
          <w:rFonts w:ascii="Book Antiqua" w:hAnsi="Book Antiqua" w:cs="Arial"/>
        </w:rPr>
        <w:t>was responsible for drafting the grounds of a</w:t>
      </w:r>
      <w:r w:rsidR="004466D9">
        <w:rPr>
          <w:rFonts w:ascii="Book Antiqua" w:hAnsi="Book Antiqua" w:cs="Arial"/>
        </w:rPr>
        <w:t>ppeal to the Upper Tribunal.  The sponsor</w:t>
      </w:r>
      <w:r>
        <w:rPr>
          <w:rFonts w:ascii="Book Antiqua" w:hAnsi="Book Antiqua" w:cs="Arial"/>
        </w:rPr>
        <w:t xml:space="preserve"> said he was frustrated by Judge Khan’s decision, as the guardianship order had been provided to show that the appellant’s case was stronger than that of his older sibling, Enoch, who had been successful in an application for entry clearance in 2012.  At that time, both the appellant’s </w:t>
      </w:r>
      <w:r w:rsidR="004466D9">
        <w:rPr>
          <w:rFonts w:ascii="Book Antiqua" w:hAnsi="Book Antiqua" w:cs="Arial"/>
        </w:rPr>
        <w:t>grandparents were still alive. N</w:t>
      </w:r>
      <w:r>
        <w:rPr>
          <w:rFonts w:ascii="Book Antiqua" w:hAnsi="Book Antiqua" w:cs="Arial"/>
        </w:rPr>
        <w:t xml:space="preserve">onetheless, the </w:t>
      </w:r>
      <w:r w:rsidR="004466D9">
        <w:rPr>
          <w:rFonts w:ascii="Book Antiqua" w:hAnsi="Book Antiqua" w:cs="Arial"/>
        </w:rPr>
        <w:t xml:space="preserve">ECO accepted </w:t>
      </w:r>
      <w:r>
        <w:rPr>
          <w:rFonts w:ascii="Book Antiqua" w:hAnsi="Book Antiqua" w:cs="Arial"/>
        </w:rPr>
        <w:t xml:space="preserve">that he had </w:t>
      </w:r>
      <w:r w:rsidR="004466D9">
        <w:rPr>
          <w:rFonts w:ascii="Book Antiqua" w:hAnsi="Book Antiqua" w:cs="Arial"/>
        </w:rPr>
        <w:t xml:space="preserve">had </w:t>
      </w:r>
      <w:r>
        <w:rPr>
          <w:rFonts w:ascii="Book Antiqua" w:hAnsi="Book Antiqua" w:cs="Arial"/>
        </w:rPr>
        <w:t>sole responsibility for Enoch’s upbringing, and so granted entr</w:t>
      </w:r>
      <w:r w:rsidR="004466D9">
        <w:rPr>
          <w:rFonts w:ascii="Book Antiqua" w:hAnsi="Book Antiqua" w:cs="Arial"/>
        </w:rPr>
        <w:t>y clearance on that basis.  After</w:t>
      </w:r>
      <w:r>
        <w:rPr>
          <w:rFonts w:ascii="Book Antiqua" w:hAnsi="Book Antiqua" w:cs="Arial"/>
        </w:rPr>
        <w:t xml:space="preserve"> his grandfather passed away, it meant that there was one less person looking after the appellant, and so it would be “</w:t>
      </w:r>
      <w:r>
        <w:rPr>
          <w:rFonts w:ascii="Book Antiqua" w:hAnsi="Book Antiqua" w:cs="Arial"/>
          <w:i/>
          <w:iCs/>
        </w:rPr>
        <w:t xml:space="preserve">a weaker situation” </w:t>
      </w:r>
      <w:r>
        <w:rPr>
          <w:rFonts w:ascii="Book Antiqua" w:hAnsi="Book Antiqua" w:cs="Arial"/>
        </w:rPr>
        <w:t xml:space="preserve">and more reason to say that he, the sponsor, had sole responsibility. </w:t>
      </w:r>
    </w:p>
    <w:p w14:paraId="55F97397" w14:textId="77777777" w:rsidR="00037D53" w:rsidRDefault="00037D53">
      <w:pPr>
        <w:numPr>
          <w:ilvl w:val="0"/>
          <w:numId w:val="1"/>
        </w:numPr>
        <w:spacing w:before="240"/>
        <w:jc w:val="both"/>
        <w:rPr>
          <w:rFonts w:ascii="Book Antiqua" w:hAnsi="Book Antiqua" w:cs="Arial"/>
        </w:rPr>
      </w:pPr>
      <w:r>
        <w:rPr>
          <w:rFonts w:ascii="Book Antiqua" w:hAnsi="Book Antiqua" w:cs="Arial"/>
        </w:rPr>
        <w:t>The sponsor continued: “</w:t>
      </w:r>
      <w:r>
        <w:rPr>
          <w:rFonts w:ascii="Book Antiqua" w:hAnsi="Book Antiqua" w:cs="Arial"/>
          <w:i/>
          <w:iCs/>
        </w:rPr>
        <w:t>The guardianship order was only made to show that now the situation was my mother was the one looking after my son simply because my father passed away.  That is the only reason it was made and nothing else.”</w:t>
      </w:r>
    </w:p>
    <w:p w14:paraId="5DD454CD" w14:textId="77777777" w:rsidR="00037D53" w:rsidRDefault="00037D53">
      <w:pPr>
        <w:numPr>
          <w:ilvl w:val="0"/>
          <w:numId w:val="1"/>
        </w:numPr>
        <w:spacing w:before="240"/>
        <w:jc w:val="both"/>
        <w:rPr>
          <w:rFonts w:ascii="Book Antiqua" w:hAnsi="Book Antiqua" w:cs="Arial"/>
        </w:rPr>
      </w:pPr>
      <w:r>
        <w:rPr>
          <w:rFonts w:ascii="Book Antiqua" w:hAnsi="Book Antiqua" w:cs="Arial"/>
        </w:rPr>
        <w:t>However, the First-tier Tribunal Judge had incorrectly - both factually and legally - taken this evidence complete</w:t>
      </w:r>
      <w:r w:rsidR="004466D9">
        <w:rPr>
          <w:rFonts w:ascii="Book Antiqua" w:hAnsi="Book Antiqua" w:cs="Arial"/>
        </w:rPr>
        <w:t>ly</w:t>
      </w:r>
      <w:r>
        <w:rPr>
          <w:rFonts w:ascii="Book Antiqua" w:hAnsi="Book Antiqua" w:cs="Arial"/>
        </w:rPr>
        <w:t xml:space="preserve"> the wrong way, and had used it to hold that sole responsibility lay with the a</w:t>
      </w:r>
      <w:r w:rsidR="004466D9">
        <w:rPr>
          <w:rFonts w:ascii="Book Antiqua" w:hAnsi="Book Antiqua" w:cs="Arial"/>
        </w:rPr>
        <w:t>ppellant’s grandmother.  This was</w:t>
      </w:r>
      <w:r>
        <w:rPr>
          <w:rFonts w:ascii="Book Antiqua" w:hAnsi="Book Antiqua" w:cs="Arial"/>
        </w:rPr>
        <w:t xml:space="preserve"> a complete misunderstanding of the evidence, and went against what the res</w:t>
      </w:r>
      <w:r w:rsidR="004466D9">
        <w:rPr>
          <w:rFonts w:ascii="Book Antiqua" w:hAnsi="Book Antiqua" w:cs="Arial"/>
        </w:rPr>
        <w:t xml:space="preserve">pondent had previously accepted </w:t>
      </w:r>
      <w:proofErr w:type="gramStart"/>
      <w:r>
        <w:rPr>
          <w:rFonts w:ascii="Book Antiqua" w:hAnsi="Book Antiqua" w:cs="Arial"/>
        </w:rPr>
        <w:t>with regard to</w:t>
      </w:r>
      <w:proofErr w:type="gramEnd"/>
      <w:r>
        <w:rPr>
          <w:rFonts w:ascii="Book Antiqua" w:hAnsi="Book Antiqua" w:cs="Arial"/>
        </w:rPr>
        <w:t xml:space="preserve"> Enoch.</w:t>
      </w:r>
    </w:p>
    <w:p w14:paraId="35C61A5C" w14:textId="77777777" w:rsidR="00037D53" w:rsidRDefault="00037D53">
      <w:pPr>
        <w:spacing w:before="240"/>
        <w:jc w:val="both"/>
        <w:rPr>
          <w:rFonts w:ascii="Book Antiqua" w:hAnsi="Book Antiqua" w:cs="Arial"/>
          <w:b/>
          <w:bCs/>
          <w:u w:val="single"/>
        </w:rPr>
      </w:pPr>
      <w:r>
        <w:rPr>
          <w:rFonts w:ascii="Book Antiqua" w:hAnsi="Book Antiqua" w:cs="Arial"/>
          <w:b/>
          <w:bCs/>
          <w:u w:val="single"/>
        </w:rPr>
        <w:t>The Reasons for the Initial Refusal of Permission to Appeal</w:t>
      </w:r>
    </w:p>
    <w:p w14:paraId="0BEE05C1"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On 4 December 2014, First-tier Tribunal Judge Parkes refused permission for the following reasons: </w:t>
      </w:r>
    </w:p>
    <w:p w14:paraId="455F77C8" w14:textId="77777777" w:rsidR="00037D53" w:rsidRPr="004466D9" w:rsidRDefault="00037D53">
      <w:pPr>
        <w:spacing w:before="240"/>
        <w:ind w:leftChars="400" w:left="960"/>
        <w:jc w:val="both"/>
        <w:rPr>
          <w:rFonts w:ascii="Book Antiqua" w:hAnsi="Book Antiqua" w:cs="Arial"/>
          <w:sz w:val="20"/>
          <w:szCs w:val="20"/>
        </w:rPr>
      </w:pPr>
      <w:r w:rsidRPr="004466D9">
        <w:rPr>
          <w:rFonts w:ascii="Book Antiqua" w:hAnsi="Book Antiqua" w:cs="Arial"/>
          <w:sz w:val="20"/>
          <w:szCs w:val="20"/>
        </w:rPr>
        <w:t>The decision shows that the Judge had in mind the relevant Immigration Rules and the case law underpinning it.  The grant of guardianship to the appellant’s grandmother, the sponsor’s mother, is a clear difference which the Judge was bound to have regard to and place wei</w:t>
      </w:r>
      <w:r w:rsidR="004466D9">
        <w:rPr>
          <w:rFonts w:ascii="Book Antiqua" w:hAnsi="Book Antiqua" w:cs="Arial"/>
          <w:sz w:val="20"/>
          <w:szCs w:val="20"/>
        </w:rPr>
        <w:t>ght on.  The grounds express an</w:t>
      </w:r>
      <w:r w:rsidRPr="004466D9">
        <w:rPr>
          <w:rFonts w:ascii="Book Antiqua" w:hAnsi="Book Antiqua" w:cs="Arial"/>
          <w:sz w:val="20"/>
          <w:szCs w:val="20"/>
        </w:rPr>
        <w:t xml:space="preserve"> understandable disappointment with the decision, but do not demonstrate that the Judge erred.</w:t>
      </w:r>
    </w:p>
    <w:p w14:paraId="7A83161C" w14:textId="77777777" w:rsidR="00037D53" w:rsidRDefault="00037D53">
      <w:pPr>
        <w:spacing w:before="240"/>
        <w:jc w:val="both"/>
        <w:rPr>
          <w:rFonts w:ascii="Book Antiqua" w:hAnsi="Book Antiqua" w:cs="Arial"/>
          <w:b/>
          <w:bCs/>
          <w:u w:val="single"/>
        </w:rPr>
      </w:pPr>
      <w:r>
        <w:rPr>
          <w:rFonts w:ascii="Book Antiqua" w:hAnsi="Book Antiqua" w:cs="Arial"/>
          <w:b/>
          <w:bCs/>
          <w:u w:val="single"/>
        </w:rPr>
        <w:t>The Reasons for the Eventual Grant for Permission to Appeal</w:t>
      </w:r>
    </w:p>
    <w:p w14:paraId="11F423F0" w14:textId="77777777" w:rsidR="00037D53" w:rsidRDefault="00037D53">
      <w:pPr>
        <w:numPr>
          <w:ilvl w:val="0"/>
          <w:numId w:val="1"/>
        </w:numPr>
        <w:spacing w:before="240"/>
        <w:jc w:val="both"/>
        <w:rPr>
          <w:rFonts w:ascii="Book Antiqua" w:hAnsi="Book Antiqua" w:cs="Arial"/>
        </w:rPr>
      </w:pPr>
      <w:r>
        <w:rPr>
          <w:rFonts w:ascii="Book Antiqua" w:hAnsi="Book Antiqua" w:cs="Arial"/>
        </w:rPr>
        <w:t>Upon a renewed application for permission to the Upper Tribunal, Upper Tribunal Judge Finch granted permission to appeal on 12 February 2018 for the following reasons:</w:t>
      </w:r>
    </w:p>
    <w:p w14:paraId="5E137A17" w14:textId="77777777" w:rsidR="00037D53" w:rsidRPr="004466D9" w:rsidRDefault="00037D53">
      <w:pPr>
        <w:spacing w:before="240"/>
        <w:ind w:leftChars="399" w:left="958"/>
        <w:jc w:val="both"/>
        <w:rPr>
          <w:rFonts w:ascii="Book Antiqua" w:hAnsi="Book Antiqua" w:cs="Arial"/>
          <w:sz w:val="20"/>
          <w:szCs w:val="20"/>
        </w:rPr>
      </w:pPr>
      <w:r w:rsidRPr="004466D9">
        <w:rPr>
          <w:rFonts w:ascii="Book Antiqua" w:hAnsi="Book Antiqua" w:cs="Arial"/>
          <w:sz w:val="20"/>
          <w:szCs w:val="20"/>
        </w:rPr>
        <w:t xml:space="preserve">The appeal before the First-tier Tribunal Judge was a human rights appeal as acknowledged by the Home Office Presenting Officer.  For such an appeal, the appellant’s ability to meet the requirements of the Immigration Rules is a factor to be </w:t>
      </w:r>
      <w:proofErr w:type="gramStart"/>
      <w:r w:rsidRPr="004466D9">
        <w:rPr>
          <w:rFonts w:ascii="Book Antiqua" w:hAnsi="Book Antiqua" w:cs="Arial"/>
          <w:sz w:val="20"/>
          <w:szCs w:val="20"/>
        </w:rPr>
        <w:t>taken into account</w:t>
      </w:r>
      <w:proofErr w:type="gramEnd"/>
      <w:r w:rsidRPr="004466D9">
        <w:rPr>
          <w:rFonts w:ascii="Book Antiqua" w:hAnsi="Book Antiqua" w:cs="Arial"/>
          <w:sz w:val="20"/>
          <w:szCs w:val="20"/>
        </w:rPr>
        <w:t xml:space="preserve"> within the human rights appeal.  The </w:t>
      </w:r>
      <w:proofErr w:type="gramStart"/>
      <w:r w:rsidRPr="004466D9">
        <w:rPr>
          <w:rFonts w:ascii="Book Antiqua" w:hAnsi="Book Antiqua" w:cs="Arial"/>
          <w:sz w:val="20"/>
          <w:szCs w:val="20"/>
        </w:rPr>
        <w:t>manner in which</w:t>
      </w:r>
      <w:proofErr w:type="gramEnd"/>
      <w:r w:rsidRPr="004466D9">
        <w:rPr>
          <w:rFonts w:ascii="Book Antiqua" w:hAnsi="Book Antiqua" w:cs="Arial"/>
          <w:sz w:val="20"/>
          <w:szCs w:val="20"/>
        </w:rPr>
        <w:t xml:space="preserve"> the First-tier Tribunal Judge addressed the human rights issues was insufficient and failed to make findings on the relevant elements of Article 8 of the ECHR or consider proportionality.  In addition, the analysis of the extent to which the appellant could meet the requirements of the Immigration Rules failed to </w:t>
      </w:r>
      <w:proofErr w:type="gramStart"/>
      <w:r w:rsidRPr="004466D9">
        <w:rPr>
          <w:rFonts w:ascii="Book Antiqua" w:hAnsi="Book Antiqua" w:cs="Arial"/>
          <w:sz w:val="20"/>
          <w:szCs w:val="20"/>
        </w:rPr>
        <w:t>take into account</w:t>
      </w:r>
      <w:proofErr w:type="gramEnd"/>
      <w:r w:rsidRPr="004466D9">
        <w:rPr>
          <w:rFonts w:ascii="Book Antiqua" w:hAnsi="Book Antiqua" w:cs="Arial"/>
          <w:sz w:val="20"/>
          <w:szCs w:val="20"/>
        </w:rPr>
        <w:t xml:space="preserve"> some relevant evidence and submissions.</w:t>
      </w:r>
    </w:p>
    <w:p w14:paraId="1A3B8EBA" w14:textId="26AEC02F" w:rsidR="0004031E" w:rsidRDefault="0004031E">
      <w:pPr>
        <w:spacing w:before="240"/>
        <w:jc w:val="both"/>
        <w:rPr>
          <w:rFonts w:ascii="Book Antiqua" w:hAnsi="Book Antiqua" w:cs="Arial"/>
          <w:b/>
          <w:bCs/>
          <w:u w:val="single"/>
        </w:rPr>
      </w:pPr>
    </w:p>
    <w:p w14:paraId="190F890B" w14:textId="77777777" w:rsidR="00005A3C" w:rsidRDefault="00005A3C">
      <w:pPr>
        <w:spacing w:before="240"/>
        <w:jc w:val="both"/>
        <w:rPr>
          <w:rFonts w:ascii="Book Antiqua" w:hAnsi="Book Antiqua" w:cs="Arial"/>
          <w:b/>
          <w:bCs/>
          <w:u w:val="single"/>
        </w:rPr>
      </w:pPr>
      <w:bookmarkStart w:id="0" w:name="_GoBack"/>
      <w:bookmarkEnd w:id="0"/>
    </w:p>
    <w:p w14:paraId="2C3F9E45" w14:textId="434070FE" w:rsidR="00037D53" w:rsidRDefault="00037D53">
      <w:pPr>
        <w:spacing w:before="240"/>
        <w:jc w:val="both"/>
        <w:rPr>
          <w:rFonts w:ascii="Book Antiqua" w:hAnsi="Book Antiqua" w:cs="Arial"/>
          <w:b/>
          <w:bCs/>
          <w:u w:val="single"/>
        </w:rPr>
      </w:pPr>
      <w:r>
        <w:rPr>
          <w:rFonts w:ascii="Book Antiqua" w:hAnsi="Book Antiqua" w:cs="Arial"/>
          <w:b/>
          <w:bCs/>
          <w:u w:val="single"/>
        </w:rPr>
        <w:lastRenderedPageBreak/>
        <w:t>The Rule 24 Response</w:t>
      </w:r>
    </w:p>
    <w:p w14:paraId="1FA795B5"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On 20 March 2018 Stefan </w:t>
      </w:r>
      <w:proofErr w:type="spellStart"/>
      <w:r>
        <w:rPr>
          <w:rFonts w:ascii="Book Antiqua" w:hAnsi="Book Antiqua" w:cs="Arial"/>
        </w:rPr>
        <w:t>Kot</w:t>
      </w:r>
      <w:r w:rsidR="004466D9">
        <w:rPr>
          <w:rFonts w:ascii="Book Antiqua" w:hAnsi="Book Antiqua" w:cs="Arial"/>
        </w:rPr>
        <w:t>as</w:t>
      </w:r>
      <w:proofErr w:type="spellEnd"/>
      <w:r w:rsidR="004466D9">
        <w:rPr>
          <w:rFonts w:ascii="Book Antiqua" w:hAnsi="Book Antiqua" w:cs="Arial"/>
        </w:rPr>
        <w:t xml:space="preserve"> of the Special Appeals Team settled a</w:t>
      </w:r>
      <w:r>
        <w:rPr>
          <w:rFonts w:ascii="Book Antiqua" w:hAnsi="Book Antiqua" w:cs="Arial"/>
        </w:rPr>
        <w:t xml:space="preserve"> Rule 24 response oppo</w:t>
      </w:r>
      <w:r w:rsidR="004466D9">
        <w:rPr>
          <w:rFonts w:ascii="Book Antiqua" w:hAnsi="Book Antiqua" w:cs="Arial"/>
        </w:rPr>
        <w:t>sing the appeal.  He pleaded</w:t>
      </w:r>
      <w:r>
        <w:rPr>
          <w:rFonts w:ascii="Book Antiqua" w:hAnsi="Book Antiqua" w:cs="Arial"/>
        </w:rPr>
        <w:t xml:space="preserve"> that the Judge of the First-tier had before him all the evidence and the benefit of hearing the sponsor’s oral evidence.  He identified the only issue as being that of sole responsibility.  It did not appear that it was argued on the appellant’s behalf that</w:t>
      </w:r>
      <w:r w:rsidR="004466D9">
        <w:rPr>
          <w:rFonts w:ascii="Book Antiqua" w:hAnsi="Book Antiqua" w:cs="Arial"/>
        </w:rPr>
        <w:t>, if</w:t>
      </w:r>
      <w:r>
        <w:rPr>
          <w:rFonts w:ascii="Book Antiqua" w:hAnsi="Book Antiqua" w:cs="Arial"/>
        </w:rPr>
        <w:t xml:space="preserve"> the Rules </w:t>
      </w:r>
      <w:r w:rsidR="004466D9">
        <w:rPr>
          <w:rFonts w:ascii="Book Antiqua" w:hAnsi="Book Antiqua" w:cs="Arial"/>
        </w:rPr>
        <w:t xml:space="preserve">could not be met under 297, </w:t>
      </w:r>
      <w:r>
        <w:rPr>
          <w:rFonts w:ascii="Book Antiqua" w:hAnsi="Book Antiqua" w:cs="Arial"/>
        </w:rPr>
        <w:t>nonetheless there was a wider Article 8 case for leave to be granted outside the Rules.  Indeed, the Judge found there to be no compelling case outside the Rules.  The findings of the Judge were rationally open to him on the evidence.</w:t>
      </w:r>
    </w:p>
    <w:p w14:paraId="7B271605" w14:textId="77777777" w:rsidR="00037D53" w:rsidRDefault="00037D53">
      <w:pPr>
        <w:spacing w:before="240"/>
        <w:jc w:val="both"/>
        <w:rPr>
          <w:rFonts w:ascii="Book Antiqua" w:hAnsi="Book Antiqua" w:cs="Arial"/>
          <w:b/>
          <w:bCs/>
          <w:u w:val="single"/>
        </w:rPr>
      </w:pPr>
      <w:r>
        <w:rPr>
          <w:rFonts w:ascii="Book Antiqua" w:hAnsi="Book Antiqua" w:cs="Arial"/>
          <w:b/>
          <w:bCs/>
          <w:u w:val="single"/>
        </w:rPr>
        <w:t>The Hearing in the Upper Tribunal</w:t>
      </w:r>
    </w:p>
    <w:p w14:paraId="2584B2C8" w14:textId="77777777" w:rsidR="004466D9" w:rsidRDefault="00037D53">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error of law was made out, Mr Syed-Ali developed the case that had been pleaded by the sponsor in the grounds of appeal.  </w:t>
      </w:r>
    </w:p>
    <w:p w14:paraId="6ECB6AF6" w14:textId="77777777" w:rsidR="00037D53" w:rsidRDefault="00037D53">
      <w:pPr>
        <w:numPr>
          <w:ilvl w:val="0"/>
          <w:numId w:val="1"/>
        </w:numPr>
        <w:spacing w:before="240"/>
        <w:jc w:val="both"/>
        <w:rPr>
          <w:rFonts w:ascii="Book Antiqua" w:hAnsi="Book Antiqua" w:cs="Arial"/>
        </w:rPr>
      </w:pPr>
      <w:r>
        <w:rPr>
          <w:rFonts w:ascii="Book Antiqua" w:hAnsi="Book Antiqua" w:cs="Arial"/>
        </w:rPr>
        <w:t>In</w:t>
      </w:r>
      <w:r w:rsidR="004466D9">
        <w:rPr>
          <w:rFonts w:ascii="Book Antiqua" w:hAnsi="Book Antiqua" w:cs="Arial"/>
        </w:rPr>
        <w:t xml:space="preserve"> his skeleton argument, Mr Syed-Ali submitted </w:t>
      </w:r>
      <w:r>
        <w:rPr>
          <w:rFonts w:ascii="Book Antiqua" w:hAnsi="Book Antiqua" w:cs="Arial"/>
        </w:rPr>
        <w:t>that permission to appeal had been granted on two grounds, the first of which is that the First-tier Tribunal Judge had failed to take into account relevant evidence and submissions; and, specifically, had given disproportionate weight to the grandmother’s “</w:t>
      </w:r>
      <w:r>
        <w:rPr>
          <w:rFonts w:ascii="Book Antiqua" w:hAnsi="Book Antiqua" w:cs="Arial"/>
          <w:i/>
          <w:iCs/>
        </w:rPr>
        <w:t>guardianship”</w:t>
      </w:r>
      <w:r>
        <w:rPr>
          <w:rFonts w:ascii="Book Antiqua" w:hAnsi="Book Antiqua" w:cs="Arial"/>
        </w:rPr>
        <w:t xml:space="preserve">; and </w:t>
      </w:r>
      <w:r w:rsidR="004466D9">
        <w:rPr>
          <w:rFonts w:ascii="Book Antiqua" w:hAnsi="Book Antiqua" w:cs="Arial"/>
        </w:rPr>
        <w:t xml:space="preserve">had </w:t>
      </w:r>
      <w:r>
        <w:rPr>
          <w:rFonts w:ascii="Book Antiqua" w:hAnsi="Book Antiqua" w:cs="Arial"/>
        </w:rPr>
        <w:t>failed to consider the significance and weight of the “</w:t>
      </w:r>
      <w:r>
        <w:rPr>
          <w:rFonts w:ascii="Book Antiqua" w:hAnsi="Book Antiqua" w:cs="Arial"/>
          <w:i/>
          <w:iCs/>
        </w:rPr>
        <w:t xml:space="preserve">accepted fact” </w:t>
      </w:r>
      <w:r>
        <w:rPr>
          <w:rFonts w:ascii="Book Antiqua" w:hAnsi="Book Antiqua" w:cs="Arial"/>
        </w:rPr>
        <w:t>that sole responsibility had been accepted on the previous occasion for another child of the same sponsor.</w:t>
      </w:r>
    </w:p>
    <w:p w14:paraId="0CD34413"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Mr Syed-Ali submitted that the Judge had accepted, at paragraph </w:t>
      </w:r>
      <w:r w:rsidR="004466D9">
        <w:rPr>
          <w:rFonts w:ascii="Book Antiqua" w:hAnsi="Book Antiqua" w:cs="Arial"/>
        </w:rPr>
        <w:t>[</w:t>
      </w:r>
      <w:r>
        <w:rPr>
          <w:rFonts w:ascii="Book Antiqua" w:hAnsi="Book Antiqua" w:cs="Arial"/>
        </w:rPr>
        <w:t>27</w:t>
      </w:r>
      <w:r w:rsidR="004466D9">
        <w:rPr>
          <w:rFonts w:ascii="Book Antiqua" w:hAnsi="Book Antiqua" w:cs="Arial"/>
        </w:rPr>
        <w:t>]</w:t>
      </w:r>
      <w:r>
        <w:rPr>
          <w:rFonts w:ascii="Book Antiqua" w:hAnsi="Book Antiqua" w:cs="Arial"/>
        </w:rPr>
        <w:t xml:space="preserve"> of his decision, that Enoch was granted entry clearance </w:t>
      </w:r>
      <w:proofErr w:type="gramStart"/>
      <w:r>
        <w:rPr>
          <w:rFonts w:ascii="Book Antiqua" w:hAnsi="Book Antiqua" w:cs="Arial"/>
        </w:rPr>
        <w:t>on the basis of</w:t>
      </w:r>
      <w:proofErr w:type="gramEnd"/>
      <w:r>
        <w:rPr>
          <w:rFonts w:ascii="Book Antiqua" w:hAnsi="Book Antiqua" w:cs="Arial"/>
        </w:rPr>
        <w:t xml:space="preserve"> the father’s sole responsibility in 2012.  </w:t>
      </w:r>
      <w:r w:rsidR="004466D9">
        <w:rPr>
          <w:rFonts w:ascii="Book Antiqua" w:hAnsi="Book Antiqua" w:cs="Arial"/>
        </w:rPr>
        <w:t xml:space="preserve">There was no </w:t>
      </w:r>
      <w:r>
        <w:rPr>
          <w:rFonts w:ascii="Book Antiqua" w:hAnsi="Book Antiqua" w:cs="Arial"/>
        </w:rPr>
        <w:t xml:space="preserve">enquiry as to why this had changed simply </w:t>
      </w:r>
      <w:proofErr w:type="gramStart"/>
      <w:r>
        <w:rPr>
          <w:rFonts w:ascii="Book Antiqua" w:hAnsi="Book Antiqua" w:cs="Arial"/>
        </w:rPr>
        <w:t>by virtue of</w:t>
      </w:r>
      <w:proofErr w:type="gramEnd"/>
      <w:r>
        <w:rPr>
          <w:rFonts w:ascii="Book Antiqua" w:hAnsi="Book Antiqua" w:cs="Arial"/>
        </w:rPr>
        <w:t xml:space="preserve"> the guardianship documents of the grandmother.  The father’s evidence was that he continued to be solely responsible - even more so after the death of the grandfather.  The document that had assumed such a central role in the findings of the Judge was not even before the Tribunal, as the</w:t>
      </w:r>
      <w:r w:rsidR="004466D9">
        <w:rPr>
          <w:rFonts w:ascii="Book Antiqua" w:hAnsi="Book Antiqua" w:cs="Arial"/>
        </w:rPr>
        <w:t xml:space="preserve"> Judge observed </w:t>
      </w:r>
      <w:r>
        <w:rPr>
          <w:rFonts w:ascii="Book Antiqua" w:hAnsi="Book Antiqua" w:cs="Arial"/>
        </w:rPr>
        <w:t xml:space="preserve">at paragraph </w:t>
      </w:r>
      <w:r w:rsidR="004466D9">
        <w:rPr>
          <w:rFonts w:ascii="Book Antiqua" w:hAnsi="Book Antiqua" w:cs="Arial"/>
        </w:rPr>
        <w:t>[</w:t>
      </w:r>
      <w:r>
        <w:rPr>
          <w:rFonts w:ascii="Book Antiqua" w:hAnsi="Book Antiqua" w:cs="Arial"/>
        </w:rPr>
        <w:t>28</w:t>
      </w:r>
      <w:r w:rsidR="004466D9">
        <w:rPr>
          <w:rFonts w:ascii="Book Antiqua" w:hAnsi="Book Antiqua" w:cs="Arial"/>
        </w:rPr>
        <w:t>]</w:t>
      </w:r>
      <w:r>
        <w:rPr>
          <w:rFonts w:ascii="Book Antiqua" w:hAnsi="Book Antiqua" w:cs="Arial"/>
        </w:rPr>
        <w:t xml:space="preserve">.  The Judge had assumed that the </w:t>
      </w:r>
      <w:r w:rsidR="004466D9">
        <w:rPr>
          <w:rFonts w:ascii="Book Antiqua" w:hAnsi="Book Antiqua" w:cs="Arial"/>
        </w:rPr>
        <w:t xml:space="preserve">Ghana </w:t>
      </w:r>
      <w:r>
        <w:rPr>
          <w:rFonts w:ascii="Book Antiqua" w:hAnsi="Book Antiqua" w:cs="Arial"/>
        </w:rPr>
        <w:t xml:space="preserve">Court must have been satisfied that the grandmother was the carer without any enquiry into why this guardianship order was necessary and under what circumstances it was obtained.  The Judge </w:t>
      </w:r>
      <w:r w:rsidR="004466D9">
        <w:rPr>
          <w:rFonts w:ascii="Book Antiqua" w:hAnsi="Book Antiqua" w:cs="Arial"/>
        </w:rPr>
        <w:t xml:space="preserve">found </w:t>
      </w:r>
      <w:r>
        <w:rPr>
          <w:rFonts w:ascii="Book Antiqua" w:hAnsi="Book Antiqua" w:cs="Arial"/>
        </w:rPr>
        <w:t xml:space="preserve">at paragraph </w:t>
      </w:r>
      <w:r w:rsidR="004466D9">
        <w:rPr>
          <w:rFonts w:ascii="Book Antiqua" w:hAnsi="Book Antiqua" w:cs="Arial"/>
        </w:rPr>
        <w:t>[29]</w:t>
      </w:r>
      <w:r>
        <w:rPr>
          <w:rFonts w:ascii="Book Antiqua" w:hAnsi="Book Antiqua" w:cs="Arial"/>
        </w:rPr>
        <w:t xml:space="preserve"> that things had changed, but this was only based upon the Judge’s own assumption.  There was no factual finding as to when sole responsibility had supposedly come to an end, and why the grandmother had become a significant decision-maker.</w:t>
      </w:r>
    </w:p>
    <w:p w14:paraId="1FE7452D" w14:textId="77777777" w:rsidR="00037D53" w:rsidRDefault="00037D53">
      <w:pPr>
        <w:numPr>
          <w:ilvl w:val="0"/>
          <w:numId w:val="1"/>
        </w:numPr>
        <w:spacing w:before="240"/>
        <w:jc w:val="both"/>
        <w:rPr>
          <w:rFonts w:ascii="Book Antiqua" w:hAnsi="Book Antiqua" w:cs="Arial"/>
        </w:rPr>
      </w:pPr>
      <w:r>
        <w:rPr>
          <w:rFonts w:ascii="Book Antiqua" w:hAnsi="Book Antiqua" w:cs="Arial"/>
        </w:rPr>
        <w:t>In his oral submissions, Mr Syed-Ali submitted that the Judge was mistaken in his belief that there was a gua</w:t>
      </w:r>
      <w:r w:rsidR="004466D9">
        <w:rPr>
          <w:rFonts w:ascii="Book Antiqua" w:hAnsi="Book Antiqua" w:cs="Arial"/>
        </w:rPr>
        <w:t>rdianship order made by a Ghanaian</w:t>
      </w:r>
      <w:r>
        <w:rPr>
          <w:rFonts w:ascii="Book Antiqua" w:hAnsi="Book Antiqua" w:cs="Arial"/>
        </w:rPr>
        <w:t xml:space="preserve"> Court.  In fact, the appellant’s grandmother, Mrs Sofia </w:t>
      </w:r>
      <w:proofErr w:type="spellStart"/>
      <w:r>
        <w:rPr>
          <w:rFonts w:ascii="Book Antiqua" w:hAnsi="Book Antiqua" w:cs="Arial"/>
        </w:rPr>
        <w:t>Armah</w:t>
      </w:r>
      <w:proofErr w:type="spellEnd"/>
      <w:r>
        <w:rPr>
          <w:rFonts w:ascii="Book Antiqua" w:hAnsi="Book Antiqua" w:cs="Arial"/>
        </w:rPr>
        <w:t>, had simply made a statutory declaration on 16 November 2015 in which she declared that she was the guardian of three</w:t>
      </w:r>
      <w:r w:rsidR="004466D9">
        <w:rPr>
          <w:rFonts w:ascii="Book Antiqua" w:hAnsi="Book Antiqua" w:cs="Arial"/>
        </w:rPr>
        <w:t xml:space="preserve"> </w:t>
      </w:r>
      <w:r>
        <w:rPr>
          <w:rFonts w:ascii="Book Antiqua" w:hAnsi="Book Antiqua" w:cs="Arial"/>
        </w:rPr>
        <w:t>children</w:t>
      </w:r>
      <w:r w:rsidR="004466D9">
        <w:rPr>
          <w:rFonts w:ascii="Book Antiqua" w:hAnsi="Book Antiqua" w:cs="Arial"/>
        </w:rPr>
        <w:t xml:space="preserve"> fathe</w:t>
      </w:r>
      <w:r w:rsidR="00327A9D">
        <w:rPr>
          <w:rFonts w:ascii="Book Antiqua" w:hAnsi="Book Antiqua" w:cs="Arial"/>
        </w:rPr>
        <w:t>r</w:t>
      </w:r>
      <w:r w:rsidR="004466D9">
        <w:rPr>
          <w:rFonts w:ascii="Book Antiqua" w:hAnsi="Book Antiqua" w:cs="Arial"/>
        </w:rPr>
        <w:t>ed by the sponsor</w:t>
      </w:r>
      <w:r>
        <w:rPr>
          <w:rFonts w:ascii="Book Antiqua" w:hAnsi="Book Antiqua" w:cs="Arial"/>
        </w:rPr>
        <w:t xml:space="preserve">, the oldest of whom was the appellant.  He </w:t>
      </w:r>
      <w:r w:rsidR="00624A8F">
        <w:rPr>
          <w:rFonts w:ascii="Book Antiqua" w:hAnsi="Book Antiqua" w:cs="Arial"/>
        </w:rPr>
        <w:t xml:space="preserve">produced a copy of this statutory declaration, </w:t>
      </w:r>
      <w:proofErr w:type="gramStart"/>
      <w:r w:rsidR="00624A8F">
        <w:rPr>
          <w:rFonts w:ascii="Book Antiqua" w:hAnsi="Book Antiqua" w:cs="Arial"/>
        </w:rPr>
        <w:t>and</w:t>
      </w:r>
      <w:r>
        <w:rPr>
          <w:rFonts w:ascii="Book Antiqua" w:hAnsi="Book Antiqua" w:cs="Arial"/>
        </w:rPr>
        <w:t xml:space="preserve"> also</w:t>
      </w:r>
      <w:proofErr w:type="gramEnd"/>
      <w:r>
        <w:rPr>
          <w:rFonts w:ascii="Book Antiqua" w:hAnsi="Book Antiqua" w:cs="Arial"/>
        </w:rPr>
        <w:t xml:space="preserve"> a copy of a statutory declaration in similar terms made by the appellant’s grandfather on 7 September 2010.</w:t>
      </w:r>
    </w:p>
    <w:p w14:paraId="065592A3" w14:textId="77777777" w:rsidR="00037D53" w:rsidRDefault="00037D53">
      <w:pPr>
        <w:numPr>
          <w:ilvl w:val="0"/>
          <w:numId w:val="1"/>
        </w:numPr>
        <w:spacing w:before="240"/>
        <w:jc w:val="both"/>
        <w:rPr>
          <w:rFonts w:ascii="Book Antiqua" w:hAnsi="Book Antiqua" w:cs="Arial"/>
        </w:rPr>
      </w:pPr>
      <w:r>
        <w:rPr>
          <w:rFonts w:ascii="Book Antiqua" w:hAnsi="Book Antiqua" w:cs="Arial"/>
        </w:rPr>
        <w:t>Mr Syed-Ali submitted that these documents showed that the Judge was wrong to treat the grandmother’s guardianship as being indicative of her assuming co-parental responsibility for the appellant, rather than the opposite, which was to affir</w:t>
      </w:r>
      <w:r w:rsidR="00A36EF6">
        <w:rPr>
          <w:rFonts w:ascii="Book Antiqua" w:hAnsi="Book Antiqua" w:cs="Arial"/>
        </w:rPr>
        <w:t xml:space="preserve">m on a formal basis that </w:t>
      </w:r>
      <w:r>
        <w:rPr>
          <w:rFonts w:ascii="Book Antiqua" w:hAnsi="Book Antiqua" w:cs="Arial"/>
        </w:rPr>
        <w:t xml:space="preserve">parental responsibility was </w:t>
      </w:r>
      <w:r w:rsidR="00A36EF6">
        <w:rPr>
          <w:rFonts w:ascii="Book Antiqua" w:hAnsi="Book Antiqua" w:cs="Arial"/>
        </w:rPr>
        <w:t xml:space="preserve">solely </w:t>
      </w:r>
      <w:r>
        <w:rPr>
          <w:rFonts w:ascii="Book Antiqua" w:hAnsi="Book Antiqua" w:cs="Arial"/>
        </w:rPr>
        <w:t>vested in her son (the sponsor)</w:t>
      </w:r>
      <w:r w:rsidR="00624A8F">
        <w:rPr>
          <w:rFonts w:ascii="Book Antiqua" w:hAnsi="Book Antiqua" w:cs="Arial"/>
        </w:rPr>
        <w:t>;</w:t>
      </w:r>
      <w:r>
        <w:rPr>
          <w:rFonts w:ascii="Book Antiqua" w:hAnsi="Book Antiqua" w:cs="Arial"/>
        </w:rPr>
        <w:t xml:space="preserve"> and that she was only discharging the functions which were delegated to her by her son.</w:t>
      </w:r>
    </w:p>
    <w:p w14:paraId="1BE72F0A" w14:textId="77777777" w:rsidR="00037D53" w:rsidRDefault="00037D53">
      <w:pPr>
        <w:numPr>
          <w:ilvl w:val="0"/>
          <w:numId w:val="1"/>
        </w:numPr>
        <w:spacing w:before="240"/>
        <w:jc w:val="both"/>
        <w:rPr>
          <w:rFonts w:ascii="Book Antiqua" w:hAnsi="Book Antiqua" w:cs="Arial"/>
        </w:rPr>
      </w:pPr>
      <w:r>
        <w:rPr>
          <w:rFonts w:ascii="Book Antiqua" w:hAnsi="Book Antiqua" w:cs="Arial"/>
        </w:rPr>
        <w:lastRenderedPageBreak/>
        <w:t>On behalf of the Entry Clearance Officer, Ms Everett submitted that it was not shown that the appellant’s legal represe</w:t>
      </w:r>
      <w:r w:rsidR="00624A8F">
        <w:rPr>
          <w:rFonts w:ascii="Book Antiqua" w:hAnsi="Book Antiqua" w:cs="Arial"/>
        </w:rPr>
        <w:t>ntatives were not responsible</w:t>
      </w:r>
      <w:r>
        <w:rPr>
          <w:rFonts w:ascii="Book Antiqua" w:hAnsi="Book Antiqua" w:cs="Arial"/>
        </w:rPr>
        <w:t xml:space="preserve"> for any alleged material mistake of fact in the Judge’s</w:t>
      </w:r>
      <w:r w:rsidR="00624A8F">
        <w:rPr>
          <w:rFonts w:ascii="Book Antiqua" w:hAnsi="Book Antiqua" w:cs="Arial"/>
        </w:rPr>
        <w:t xml:space="preserve"> decision.  It was clear </w:t>
      </w:r>
      <w:r>
        <w:rPr>
          <w:rFonts w:ascii="Book Antiqua" w:hAnsi="Book Antiqua" w:cs="Arial"/>
        </w:rPr>
        <w:t>that the Judge had addressed the evidence and the issues in accordance with the case that was put on the appellant’s be</w:t>
      </w:r>
      <w:r w:rsidR="00624A8F">
        <w:rPr>
          <w:rFonts w:ascii="Book Antiqua" w:hAnsi="Book Antiqua" w:cs="Arial"/>
        </w:rPr>
        <w:t xml:space="preserve">half by his representative, Mr </w:t>
      </w:r>
      <w:proofErr w:type="spellStart"/>
      <w:r w:rsidR="00624A8F">
        <w:rPr>
          <w:rFonts w:ascii="Book Antiqua" w:hAnsi="Book Antiqua" w:cs="Arial"/>
        </w:rPr>
        <w:t>M</w:t>
      </w:r>
      <w:r>
        <w:rPr>
          <w:rFonts w:ascii="Book Antiqua" w:hAnsi="Book Antiqua" w:cs="Arial"/>
        </w:rPr>
        <w:t>akal</w:t>
      </w:r>
      <w:proofErr w:type="spellEnd"/>
      <w:r>
        <w:rPr>
          <w:rFonts w:ascii="Book Antiqua" w:hAnsi="Book Antiqua" w:cs="Arial"/>
        </w:rPr>
        <w:t>.</w:t>
      </w:r>
    </w:p>
    <w:p w14:paraId="0F04527A" w14:textId="77777777" w:rsidR="00037D53" w:rsidRDefault="00037D53">
      <w:pPr>
        <w:spacing w:before="240"/>
        <w:jc w:val="both"/>
        <w:rPr>
          <w:rFonts w:ascii="Book Antiqua" w:hAnsi="Book Antiqua" w:cs="Arial"/>
          <w:b/>
          <w:bCs/>
          <w:u w:val="single"/>
        </w:rPr>
      </w:pPr>
      <w:r>
        <w:rPr>
          <w:rFonts w:ascii="Book Antiqua" w:hAnsi="Book Antiqua" w:cs="Arial"/>
          <w:b/>
          <w:bCs/>
          <w:u w:val="single"/>
        </w:rPr>
        <w:t>Discussion</w:t>
      </w:r>
    </w:p>
    <w:p w14:paraId="33DCBC82" w14:textId="77777777" w:rsidR="00037D53" w:rsidRDefault="00037D53">
      <w:pPr>
        <w:numPr>
          <w:ilvl w:val="0"/>
          <w:numId w:val="1"/>
        </w:numPr>
        <w:spacing w:before="240"/>
        <w:jc w:val="both"/>
        <w:rPr>
          <w:rFonts w:ascii="Book Antiqua" w:hAnsi="Book Antiqua" w:cs="Arial"/>
        </w:rPr>
      </w:pPr>
      <w:r>
        <w:rPr>
          <w:rFonts w:ascii="Book Antiqua" w:hAnsi="Book Antiqua" w:cs="Arial"/>
        </w:rPr>
        <w:t>What began as a reasons challenge has, to a significant extent, mutated into an error of law challenge based on the propositio</w:t>
      </w:r>
      <w:r w:rsidR="00624A8F">
        <w:rPr>
          <w:rFonts w:ascii="Book Antiqua" w:hAnsi="Book Antiqua" w:cs="Arial"/>
        </w:rPr>
        <w:t>n that the appellant has been a</w:t>
      </w:r>
      <w:r>
        <w:rPr>
          <w:rFonts w:ascii="Book Antiqua" w:hAnsi="Book Antiqua" w:cs="Arial"/>
        </w:rPr>
        <w:t xml:space="preserve"> victim of procedural unfairness arising from a</w:t>
      </w:r>
      <w:r w:rsidR="0093450C">
        <w:rPr>
          <w:rFonts w:ascii="Book Antiqua" w:hAnsi="Book Antiqua" w:cs="Arial"/>
        </w:rPr>
        <w:t>n alleged</w:t>
      </w:r>
      <w:r>
        <w:rPr>
          <w:rFonts w:ascii="Book Antiqua" w:hAnsi="Book Antiqua" w:cs="Arial"/>
        </w:rPr>
        <w:t xml:space="preserve"> material mistake of fact made by the Judge on the significance of his grandmother being his guardian.  However, Mr Syed-Ali maintains that an error of law is made out on the first basis, and so I begin with Ground 1 as developed in Mr Syed-Ali’s skeleton argument.</w:t>
      </w:r>
    </w:p>
    <w:p w14:paraId="363884D2" w14:textId="77777777" w:rsidR="00624A8F" w:rsidRPr="00624A8F" w:rsidRDefault="00624A8F" w:rsidP="00624A8F">
      <w:pPr>
        <w:spacing w:before="240"/>
        <w:jc w:val="both"/>
        <w:rPr>
          <w:rFonts w:ascii="Book Antiqua" w:hAnsi="Book Antiqua" w:cs="Arial"/>
          <w:i/>
        </w:rPr>
      </w:pPr>
      <w:r>
        <w:rPr>
          <w:rFonts w:ascii="Book Antiqua" w:hAnsi="Book Antiqua" w:cs="Arial"/>
          <w:i/>
        </w:rPr>
        <w:t>Ground 1 – Alleged inadequate reasoning and/or alleged misunderstanding of the evidence</w:t>
      </w:r>
    </w:p>
    <w:p w14:paraId="314C2B9B" w14:textId="77777777" w:rsidR="0050047C" w:rsidRDefault="0050047C" w:rsidP="0050047C">
      <w:pPr>
        <w:numPr>
          <w:ilvl w:val="0"/>
          <w:numId w:val="1"/>
        </w:numPr>
        <w:spacing w:before="240"/>
        <w:jc w:val="both"/>
        <w:rPr>
          <w:rFonts w:ascii="Book Antiqua" w:hAnsi="Book Antiqua" w:cs="Arial"/>
        </w:rPr>
      </w:pPr>
      <w:r>
        <w:rPr>
          <w:rFonts w:ascii="Book Antiqua" w:hAnsi="Book Antiqua" w:cs="Arial"/>
        </w:rPr>
        <w:t xml:space="preserve">In </w:t>
      </w:r>
      <w:r>
        <w:rPr>
          <w:rFonts w:ascii="Book Antiqua" w:hAnsi="Book Antiqua" w:cs="Arial"/>
          <w:b/>
          <w:u w:val="single"/>
        </w:rPr>
        <w:t xml:space="preserve">South Bucks District Council v Porter </w:t>
      </w:r>
      <w:r>
        <w:rPr>
          <w:rFonts w:ascii="Book Antiqua" w:hAnsi="Book Antiqua" w:cs="Arial"/>
          <w:b/>
        </w:rPr>
        <w:t>(</w:t>
      </w:r>
      <w:r w:rsidRPr="008234A9">
        <w:rPr>
          <w:rFonts w:ascii="Book Antiqua" w:hAnsi="Book Antiqua" w:cs="Arial"/>
          <w:b/>
          <w:u w:val="single"/>
        </w:rPr>
        <w:t>2</w:t>
      </w:r>
      <w:r>
        <w:rPr>
          <w:rFonts w:ascii="Book Antiqua" w:hAnsi="Book Antiqua" w:cs="Arial"/>
          <w:b/>
        </w:rPr>
        <w:t>) [2004] UKHL 33</w:t>
      </w:r>
      <w:r>
        <w:rPr>
          <w:rFonts w:ascii="Book Antiqua" w:hAnsi="Book Antiqua" w:cs="Arial"/>
        </w:rPr>
        <w:t xml:space="preserve"> Lord Brown said at [26]:</w:t>
      </w:r>
    </w:p>
    <w:p w14:paraId="52319F71" w14:textId="77777777" w:rsidR="00037D53" w:rsidRPr="0050047C" w:rsidRDefault="0050047C" w:rsidP="0050047C">
      <w:pPr>
        <w:spacing w:before="240"/>
        <w:ind w:left="1134"/>
        <w:jc w:val="both"/>
        <w:rPr>
          <w:rFonts w:ascii="Book Antiqua" w:hAnsi="Book Antiqua" w:cs="Arial"/>
          <w:sz w:val="20"/>
          <w:szCs w:val="20"/>
        </w:rPr>
      </w:pPr>
      <w:r w:rsidRPr="00A75E53">
        <w:rPr>
          <w:rFonts w:ascii="Book Antiqua" w:hAnsi="Book Antiqua" w:cs="Arial"/>
          <w:sz w:val="20"/>
          <w:szCs w:val="20"/>
        </w:rPr>
        <w:t xml:space="preserve">The reasons for a decision must be intelligible and they must be adequate.  They must enable the reader to understand why the matter was decided as it was and what conclusions were reached on the ‘principal important controversial issues’, disclosing how any issue of law or fact was resolved.  Reasons can be briefly stated, the degree of particularity required depending entirely on the nature of the issues falling for decision.  </w:t>
      </w:r>
      <w:r w:rsidRPr="00D121CF">
        <w:rPr>
          <w:rFonts w:ascii="Book Antiqua" w:hAnsi="Book Antiqua" w:cs="Arial"/>
          <w:i/>
          <w:sz w:val="20"/>
          <w:szCs w:val="20"/>
        </w:rPr>
        <w:t>The reasoning must not give rise to a substantial doubt as to whether the decision maker erred in law, for example, by misunderstanding some relevant policy or some other important matter or by failing to reach a rational decision on relevant grounds.  But such adverse inference will not readily be drawn</w:t>
      </w:r>
      <w:r>
        <w:rPr>
          <w:rFonts w:ascii="Book Antiqua" w:hAnsi="Book Antiqua" w:cs="Arial"/>
          <w:i/>
          <w:sz w:val="20"/>
          <w:szCs w:val="20"/>
        </w:rPr>
        <w:t xml:space="preserve"> </w:t>
      </w:r>
      <w:r>
        <w:rPr>
          <w:rFonts w:ascii="Book Antiqua" w:hAnsi="Book Antiqua" w:cs="Arial"/>
          <w:sz w:val="20"/>
          <w:szCs w:val="20"/>
        </w:rPr>
        <w:t>(My emphasis).</w:t>
      </w:r>
      <w:r w:rsidRPr="00A75E53">
        <w:rPr>
          <w:rFonts w:ascii="Book Antiqua" w:hAnsi="Book Antiqua" w:cs="Arial"/>
          <w:sz w:val="20"/>
          <w:szCs w:val="20"/>
        </w:rPr>
        <w:t xml:space="preserve"> </w:t>
      </w:r>
      <w:r>
        <w:rPr>
          <w:rFonts w:ascii="Book Antiqua" w:hAnsi="Book Antiqua" w:cs="Arial"/>
          <w:sz w:val="20"/>
          <w:szCs w:val="20"/>
        </w:rPr>
        <w:t xml:space="preserve"> </w:t>
      </w:r>
      <w:r w:rsidRPr="00A75E53">
        <w:rPr>
          <w:rFonts w:ascii="Book Antiqua" w:hAnsi="Book Antiqua" w:cs="Arial"/>
          <w:sz w:val="20"/>
          <w:szCs w:val="20"/>
        </w:rPr>
        <w:t>The reasons need only refer to the main issues in the dispute, not to every material consideration.</w:t>
      </w:r>
    </w:p>
    <w:p w14:paraId="54BE8C7D" w14:textId="77777777" w:rsidR="0050047C" w:rsidRDefault="0050047C" w:rsidP="0050047C">
      <w:pPr>
        <w:numPr>
          <w:ilvl w:val="0"/>
          <w:numId w:val="1"/>
        </w:numPr>
        <w:spacing w:before="240"/>
        <w:jc w:val="both"/>
        <w:rPr>
          <w:rFonts w:ascii="Book Antiqua" w:hAnsi="Book Antiqua" w:cs="Arial"/>
        </w:rPr>
      </w:pPr>
      <w:r>
        <w:rPr>
          <w:rFonts w:ascii="Book Antiqua" w:hAnsi="Book Antiqua" w:cs="Arial"/>
        </w:rPr>
        <w:t xml:space="preserve">The refusal decision of 21 August 2016 asserted the following: </w:t>
      </w:r>
      <w:r w:rsidR="00DA72FA">
        <w:rPr>
          <w:rFonts w:ascii="Book Antiqua" w:hAnsi="Book Antiqua" w:cs="Arial"/>
          <w:i/>
        </w:rPr>
        <w:t xml:space="preserve">“A court document issued in Ghana dated 16/11/15 states: Mrs Sophia </w:t>
      </w:r>
      <w:proofErr w:type="spellStart"/>
      <w:r w:rsidR="00DA72FA">
        <w:rPr>
          <w:rFonts w:ascii="Book Antiqua" w:hAnsi="Book Antiqua" w:cs="Arial"/>
          <w:i/>
        </w:rPr>
        <w:t>Armah</w:t>
      </w:r>
      <w:proofErr w:type="spellEnd"/>
      <w:r w:rsidR="00DA72FA">
        <w:rPr>
          <w:rFonts w:ascii="Book Antiqua" w:hAnsi="Book Antiqua" w:cs="Arial"/>
          <w:i/>
        </w:rPr>
        <w:t xml:space="preserve"> was awarded guardianship for your care. You have not provided any explanation as to why the care arrangements currently in place cannot continue.”</w:t>
      </w:r>
    </w:p>
    <w:p w14:paraId="2D207A78" w14:textId="31E7F363" w:rsidR="00037D53" w:rsidRPr="0050047C" w:rsidRDefault="00037D53" w:rsidP="0050047C">
      <w:pPr>
        <w:numPr>
          <w:ilvl w:val="0"/>
          <w:numId w:val="1"/>
        </w:numPr>
        <w:spacing w:before="240"/>
        <w:jc w:val="both"/>
        <w:rPr>
          <w:rFonts w:ascii="Book Antiqua" w:hAnsi="Book Antiqua" w:cs="Arial"/>
        </w:rPr>
      </w:pPr>
      <w:r>
        <w:rPr>
          <w:rFonts w:ascii="Book Antiqua" w:hAnsi="Book Antiqua" w:cs="Arial"/>
        </w:rPr>
        <w:t xml:space="preserve">For the purposes of the hearing in the First-tier Tribunal, the sponsor prepared a bundle of documents which contained a copy of the statutory declaration by Mrs Sofia </w:t>
      </w:r>
      <w:proofErr w:type="spellStart"/>
      <w:r>
        <w:rPr>
          <w:rFonts w:ascii="Book Antiqua" w:hAnsi="Book Antiqua" w:cs="Arial"/>
        </w:rPr>
        <w:t>Armah</w:t>
      </w:r>
      <w:proofErr w:type="spellEnd"/>
      <w:r>
        <w:rPr>
          <w:rFonts w:ascii="Book Antiqua" w:hAnsi="Book Antiqua" w:cs="Arial"/>
        </w:rPr>
        <w:t>, declared at Accr</w:t>
      </w:r>
      <w:r w:rsidR="0050047C">
        <w:rPr>
          <w:rFonts w:ascii="Book Antiqua" w:hAnsi="Book Antiqua" w:cs="Arial"/>
        </w:rPr>
        <w:t>a on 16 November 2</w:t>
      </w:r>
      <w:r w:rsidR="00DA72FA">
        <w:rPr>
          <w:rFonts w:ascii="Book Antiqua" w:hAnsi="Book Antiqua" w:cs="Arial"/>
        </w:rPr>
        <w:t>015.  She affirm</w:t>
      </w:r>
      <w:r w:rsidR="0050047C">
        <w:rPr>
          <w:rFonts w:ascii="Book Antiqua" w:hAnsi="Book Antiqua" w:cs="Arial"/>
        </w:rPr>
        <w:t>ed</w:t>
      </w:r>
      <w:r>
        <w:rPr>
          <w:rFonts w:ascii="Book Antiqua" w:hAnsi="Book Antiqua" w:cs="Arial"/>
        </w:rPr>
        <w:t xml:space="preserve"> that she was the guardian of three children </w:t>
      </w:r>
      <w:r w:rsidR="0050047C">
        <w:rPr>
          <w:rFonts w:ascii="Book Antiqua" w:hAnsi="Book Antiqua" w:cs="Arial"/>
        </w:rPr>
        <w:t xml:space="preserve">fathered </w:t>
      </w:r>
      <w:r>
        <w:rPr>
          <w:rFonts w:ascii="Book Antiqua" w:hAnsi="Book Antiqua" w:cs="Arial"/>
        </w:rPr>
        <w:t>by the sponsor, Edmund (born on 11 June 1998), A (born on 16 October 2001), and E (born on 30 April 2007).  She affirmed that the father of the children remitted money for their tuition and feeding “</w:t>
      </w:r>
      <w:r>
        <w:rPr>
          <w:rFonts w:ascii="Book Antiqua" w:hAnsi="Book Antiqua" w:cs="Arial"/>
          <w:i/>
          <w:iCs/>
        </w:rPr>
        <w:t xml:space="preserve">on regular basis and full responsibility.”  </w:t>
      </w:r>
      <w:r>
        <w:rPr>
          <w:rFonts w:ascii="Book Antiqua" w:hAnsi="Book Antiqua" w:cs="Arial"/>
        </w:rPr>
        <w:t xml:space="preserve"> She repeated this affirmation in paragraph 5 of the declaration, declaring that it was a real fact that the father had been “</w:t>
      </w:r>
      <w:r>
        <w:rPr>
          <w:rFonts w:ascii="Book Antiqua" w:hAnsi="Book Antiqua" w:cs="Arial"/>
          <w:i/>
          <w:iCs/>
        </w:rPr>
        <w:t xml:space="preserve">remitting his children on regular basis”.  </w:t>
      </w:r>
      <w:r w:rsidRPr="0050047C">
        <w:rPr>
          <w:rFonts w:ascii="Book Antiqua" w:hAnsi="Book Antiqua" w:cs="Arial"/>
        </w:rPr>
        <w:t>In the index to the bundle, the sponsor referred to the statutory declaration as follows: “</w:t>
      </w:r>
      <w:r w:rsidRPr="0050047C">
        <w:rPr>
          <w:rFonts w:ascii="Book Antiqua" w:hAnsi="Book Antiqua" w:cs="Arial"/>
          <w:i/>
          <w:iCs/>
        </w:rPr>
        <w:t xml:space="preserve">Affidavit from my mother in Ghana.”  </w:t>
      </w:r>
    </w:p>
    <w:p w14:paraId="52070604"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In his decision promulgated on 14 September 2017, Judge Khan set out the evidence given by the sponsor in cross-examination at paragraphs </w:t>
      </w:r>
      <w:r w:rsidR="0050047C">
        <w:rPr>
          <w:rFonts w:ascii="Book Antiqua" w:hAnsi="Book Antiqua" w:cs="Arial"/>
        </w:rPr>
        <w:t>[</w:t>
      </w:r>
      <w:r>
        <w:rPr>
          <w:rFonts w:ascii="Book Antiqua" w:hAnsi="Book Antiqua" w:cs="Arial"/>
        </w:rPr>
        <w:t>18</w:t>
      </w:r>
      <w:r w:rsidR="0050047C">
        <w:rPr>
          <w:rFonts w:ascii="Book Antiqua" w:hAnsi="Book Antiqua" w:cs="Arial"/>
        </w:rPr>
        <w:t>]</w:t>
      </w:r>
      <w:proofErr w:type="gramStart"/>
      <w:r>
        <w:rPr>
          <w:rFonts w:ascii="Book Antiqua" w:hAnsi="Book Antiqua" w:cs="Arial"/>
        </w:rPr>
        <w:t>-</w:t>
      </w:r>
      <w:r w:rsidR="0050047C">
        <w:rPr>
          <w:rFonts w:ascii="Book Antiqua" w:hAnsi="Book Antiqua" w:cs="Arial"/>
        </w:rPr>
        <w:t>[</w:t>
      </w:r>
      <w:proofErr w:type="gramEnd"/>
      <w:r>
        <w:rPr>
          <w:rFonts w:ascii="Book Antiqua" w:hAnsi="Book Antiqua" w:cs="Arial"/>
        </w:rPr>
        <w:t>21</w:t>
      </w:r>
      <w:r w:rsidR="0050047C">
        <w:rPr>
          <w:rFonts w:ascii="Book Antiqua" w:hAnsi="Book Antiqua" w:cs="Arial"/>
        </w:rPr>
        <w:t>]</w:t>
      </w:r>
      <w:r>
        <w:rPr>
          <w:rFonts w:ascii="Book Antiqua" w:hAnsi="Book Antiqua" w:cs="Arial"/>
        </w:rPr>
        <w:t xml:space="preserve">.  </w:t>
      </w:r>
      <w:r w:rsidR="0050047C">
        <w:rPr>
          <w:rFonts w:ascii="Book Antiqua" w:hAnsi="Book Antiqua" w:cs="Arial"/>
        </w:rPr>
        <w:t xml:space="preserve">He recorded that the sponsor </w:t>
      </w:r>
      <w:r>
        <w:rPr>
          <w:rFonts w:ascii="Book Antiqua" w:hAnsi="Book Antiqua" w:cs="Arial"/>
        </w:rPr>
        <w:t>stated as follows in cross-examination: “</w:t>
      </w:r>
      <w:r w:rsidR="0050047C">
        <w:rPr>
          <w:rFonts w:ascii="Book Antiqua" w:hAnsi="Book Antiqua" w:cs="Arial"/>
          <w:i/>
          <w:iCs/>
        </w:rPr>
        <w:t>He said that the Ghanai</w:t>
      </w:r>
      <w:r>
        <w:rPr>
          <w:rFonts w:ascii="Book Antiqua" w:hAnsi="Book Antiqua" w:cs="Arial"/>
          <w:i/>
          <w:iCs/>
        </w:rPr>
        <w:t>an Court granted guardianship to his mother because she was looking after the appellant with his father before he died.”</w:t>
      </w:r>
    </w:p>
    <w:p w14:paraId="727E98AC" w14:textId="77777777" w:rsidR="00037D53" w:rsidRDefault="00037D53">
      <w:pPr>
        <w:numPr>
          <w:ilvl w:val="0"/>
          <w:numId w:val="1"/>
        </w:numPr>
        <w:spacing w:before="240"/>
        <w:jc w:val="both"/>
        <w:rPr>
          <w:rFonts w:ascii="Book Antiqua" w:hAnsi="Book Antiqua" w:cs="Arial"/>
        </w:rPr>
      </w:pPr>
      <w:r>
        <w:rPr>
          <w:rFonts w:ascii="Book Antiqua" w:hAnsi="Book Antiqua" w:cs="Arial"/>
        </w:rPr>
        <w:lastRenderedPageBreak/>
        <w:t xml:space="preserve">The Judge recorded the closing submissions of the Presenting Officer and the appellant’s representative, Mr </w:t>
      </w:r>
      <w:proofErr w:type="spellStart"/>
      <w:r>
        <w:rPr>
          <w:rFonts w:ascii="Book Antiqua" w:hAnsi="Book Antiqua" w:cs="Arial"/>
        </w:rPr>
        <w:t>Makal</w:t>
      </w:r>
      <w:proofErr w:type="spellEnd"/>
      <w:r>
        <w:rPr>
          <w:rFonts w:ascii="Book Antiqua" w:hAnsi="Book Antiqua" w:cs="Arial"/>
        </w:rPr>
        <w:t xml:space="preserve">, at paragraphs </w:t>
      </w:r>
      <w:r w:rsidR="0050047C">
        <w:rPr>
          <w:rFonts w:ascii="Book Antiqua" w:hAnsi="Book Antiqua" w:cs="Arial"/>
        </w:rPr>
        <w:t>[</w:t>
      </w:r>
      <w:r>
        <w:rPr>
          <w:rFonts w:ascii="Book Antiqua" w:hAnsi="Book Antiqua" w:cs="Arial"/>
        </w:rPr>
        <w:t>23</w:t>
      </w:r>
      <w:r w:rsidR="0050047C">
        <w:rPr>
          <w:rFonts w:ascii="Book Antiqua" w:hAnsi="Book Antiqua" w:cs="Arial"/>
        </w:rPr>
        <w:t>]</w:t>
      </w:r>
      <w:r>
        <w:rPr>
          <w:rFonts w:ascii="Book Antiqua" w:hAnsi="Book Antiqua" w:cs="Arial"/>
        </w:rPr>
        <w:t xml:space="preserve"> and </w:t>
      </w:r>
      <w:r w:rsidR="0050047C">
        <w:rPr>
          <w:rFonts w:ascii="Book Antiqua" w:hAnsi="Book Antiqua" w:cs="Arial"/>
        </w:rPr>
        <w:t>[</w:t>
      </w:r>
      <w:r>
        <w:rPr>
          <w:rFonts w:ascii="Book Antiqua" w:hAnsi="Book Antiqua" w:cs="Arial"/>
        </w:rPr>
        <w:t>24</w:t>
      </w:r>
      <w:r w:rsidR="0050047C">
        <w:rPr>
          <w:rFonts w:ascii="Book Antiqua" w:hAnsi="Book Antiqua" w:cs="Arial"/>
        </w:rPr>
        <w:t>].  Mr Archie</w:t>
      </w:r>
      <w:r>
        <w:rPr>
          <w:rFonts w:ascii="Book Antiqua" w:hAnsi="Book Antiqua" w:cs="Arial"/>
        </w:rPr>
        <w:t>, the Presenting Officer, submitted that</w:t>
      </w:r>
      <w:r w:rsidR="0093450C">
        <w:rPr>
          <w:rFonts w:ascii="Book Antiqua" w:hAnsi="Book Antiqua" w:cs="Arial"/>
        </w:rPr>
        <w:t>,</w:t>
      </w:r>
      <w:r>
        <w:rPr>
          <w:rFonts w:ascii="Book Antiqua" w:hAnsi="Book Antiqua" w:cs="Arial"/>
        </w:rPr>
        <w:t xml:space="preserve"> as it was a human rights appeal, the time for consideration was the date of the hearing.  The appellant was now an adult, and he had lived most of his life with his grandparents</w:t>
      </w:r>
      <w:r w:rsidR="00DA72FA">
        <w:rPr>
          <w:rFonts w:ascii="Book Antiqua" w:hAnsi="Book Antiqua" w:cs="Arial"/>
        </w:rPr>
        <w:t>,</w:t>
      </w:r>
      <w:r>
        <w:rPr>
          <w:rFonts w:ascii="Book Antiqua" w:hAnsi="Book Antiqua" w:cs="Arial"/>
        </w:rPr>
        <w:t xml:space="preserve"> “</w:t>
      </w:r>
      <w:r>
        <w:rPr>
          <w:rFonts w:ascii="Book Antiqua" w:hAnsi="Book Antiqua" w:cs="Arial"/>
          <w:i/>
          <w:iCs/>
        </w:rPr>
        <w:t>and in November 2015, the Court in Ghana granted his grandmother the guardianship.”</w:t>
      </w:r>
    </w:p>
    <w:p w14:paraId="7DB3FAC9"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In reply, Mr </w:t>
      </w:r>
      <w:proofErr w:type="spellStart"/>
      <w:r>
        <w:rPr>
          <w:rFonts w:ascii="Book Antiqua" w:hAnsi="Book Antiqua" w:cs="Arial"/>
        </w:rPr>
        <w:t>Makal</w:t>
      </w:r>
      <w:proofErr w:type="spellEnd"/>
      <w:r>
        <w:rPr>
          <w:rFonts w:ascii="Book Antiqua" w:hAnsi="Book Antiqua" w:cs="Arial"/>
        </w:rPr>
        <w:t xml:space="preserve"> submitted</w:t>
      </w:r>
      <w:r w:rsidR="0050047C">
        <w:rPr>
          <w:rFonts w:ascii="Book Antiqua" w:hAnsi="Book Antiqua" w:cs="Arial"/>
        </w:rPr>
        <w:t xml:space="preserve"> </w:t>
      </w:r>
      <w:r>
        <w:rPr>
          <w:rFonts w:ascii="Book Antiqua" w:hAnsi="Book Antiqua" w:cs="Arial"/>
        </w:rPr>
        <w:t>as follows: “</w:t>
      </w:r>
      <w:r w:rsidR="0050047C">
        <w:rPr>
          <w:rFonts w:ascii="Book Antiqua" w:hAnsi="Book Antiqua" w:cs="Arial"/>
          <w:i/>
          <w:iCs/>
        </w:rPr>
        <w:t>The Ghan</w:t>
      </w:r>
      <w:r w:rsidR="00DA72FA">
        <w:rPr>
          <w:rFonts w:ascii="Book Antiqua" w:hAnsi="Book Antiqua" w:cs="Arial"/>
          <w:i/>
          <w:iCs/>
        </w:rPr>
        <w:t>a</w:t>
      </w:r>
      <w:r w:rsidR="0050047C">
        <w:rPr>
          <w:rFonts w:ascii="Book Antiqua" w:hAnsi="Book Antiqua" w:cs="Arial"/>
          <w:i/>
          <w:iCs/>
        </w:rPr>
        <w:t>i</w:t>
      </w:r>
      <w:r>
        <w:rPr>
          <w:rFonts w:ascii="Book Antiqua" w:hAnsi="Book Antiqua" w:cs="Arial"/>
          <w:i/>
          <w:iCs/>
        </w:rPr>
        <w:t>an Court may have decided to grant the appellant’s guardianship to the gran</w:t>
      </w:r>
      <w:r w:rsidR="0050047C">
        <w:rPr>
          <w:rFonts w:ascii="Book Antiqua" w:hAnsi="Book Antiqua" w:cs="Arial"/>
          <w:i/>
          <w:iCs/>
        </w:rPr>
        <w:t>dmother in accordance with the l</w:t>
      </w:r>
      <w:r>
        <w:rPr>
          <w:rFonts w:ascii="Book Antiqua" w:hAnsi="Book Antiqua" w:cs="Arial"/>
          <w:i/>
          <w:iCs/>
        </w:rPr>
        <w:t>aw in Ghana.  On the evidence [however] … I should be satisfied that the sponsor has had sole responsibility for the appellant in this case.”</w:t>
      </w:r>
    </w:p>
    <w:p w14:paraId="7CA8FE68" w14:textId="77777777" w:rsidR="00037D53" w:rsidRDefault="00037D53">
      <w:pPr>
        <w:numPr>
          <w:ilvl w:val="0"/>
          <w:numId w:val="1"/>
        </w:numPr>
        <w:spacing w:before="240"/>
        <w:jc w:val="both"/>
        <w:rPr>
          <w:rFonts w:ascii="Book Antiqua" w:hAnsi="Book Antiqua" w:cs="Arial"/>
        </w:rPr>
      </w:pPr>
      <w:r>
        <w:rPr>
          <w:rFonts w:ascii="Book Antiqua" w:hAnsi="Book Antiqua" w:cs="Arial"/>
        </w:rPr>
        <w:t>The Judge’s finding</w:t>
      </w:r>
      <w:r w:rsidR="0050047C">
        <w:rPr>
          <w:rFonts w:ascii="Book Antiqua" w:hAnsi="Book Antiqua" w:cs="Arial"/>
        </w:rPr>
        <w:t>s</w:t>
      </w:r>
      <w:r>
        <w:rPr>
          <w:rFonts w:ascii="Book Antiqua" w:hAnsi="Book Antiqua" w:cs="Arial"/>
        </w:rPr>
        <w:t xml:space="preserve"> of fact were </w:t>
      </w:r>
      <w:r w:rsidR="0050047C">
        <w:rPr>
          <w:rFonts w:ascii="Book Antiqua" w:hAnsi="Book Antiqua" w:cs="Arial"/>
        </w:rPr>
        <w:t xml:space="preserve">contained in paragraphs </w:t>
      </w:r>
      <w:r w:rsidR="0093450C">
        <w:rPr>
          <w:rFonts w:ascii="Book Antiqua" w:hAnsi="Book Antiqua" w:cs="Arial"/>
        </w:rPr>
        <w:t>[</w:t>
      </w:r>
      <w:r w:rsidR="0050047C">
        <w:rPr>
          <w:rFonts w:ascii="Book Antiqua" w:hAnsi="Book Antiqua" w:cs="Arial"/>
        </w:rPr>
        <w:t>25</w:t>
      </w:r>
      <w:r w:rsidR="0093450C">
        <w:rPr>
          <w:rFonts w:ascii="Book Antiqua" w:hAnsi="Book Antiqua" w:cs="Arial"/>
        </w:rPr>
        <w:t>]</w:t>
      </w:r>
      <w:r w:rsidR="0050047C">
        <w:rPr>
          <w:rFonts w:ascii="Book Antiqua" w:hAnsi="Book Antiqua" w:cs="Arial"/>
        </w:rPr>
        <w:t xml:space="preserve"> onwards.  At</w:t>
      </w:r>
      <w:r>
        <w:rPr>
          <w:rFonts w:ascii="Book Antiqua" w:hAnsi="Book Antiqua" w:cs="Arial"/>
        </w:rPr>
        <w:t xml:space="preserve"> paragraph </w:t>
      </w:r>
      <w:r w:rsidR="0050047C">
        <w:rPr>
          <w:rFonts w:ascii="Book Antiqua" w:hAnsi="Book Antiqua" w:cs="Arial"/>
        </w:rPr>
        <w:t>[</w:t>
      </w:r>
      <w:r>
        <w:rPr>
          <w:rFonts w:ascii="Book Antiqua" w:hAnsi="Book Antiqua" w:cs="Arial"/>
        </w:rPr>
        <w:t>27</w:t>
      </w:r>
      <w:r w:rsidR="0050047C">
        <w:rPr>
          <w:rFonts w:ascii="Book Antiqua" w:hAnsi="Book Antiqua" w:cs="Arial"/>
        </w:rPr>
        <w:t>]</w:t>
      </w:r>
      <w:r>
        <w:rPr>
          <w:rFonts w:ascii="Book Antiqua" w:hAnsi="Book Antiqua" w:cs="Arial"/>
        </w:rPr>
        <w:t>, he found that the sponsor had come to the UK in 2002 as a student, leaving the appellant and his older b</w:t>
      </w:r>
      <w:r w:rsidR="0050047C">
        <w:rPr>
          <w:rFonts w:ascii="Book Antiqua" w:hAnsi="Book Antiqua" w:cs="Arial"/>
        </w:rPr>
        <w:t>rother with his parents.  He</w:t>
      </w:r>
      <w:r>
        <w:rPr>
          <w:rFonts w:ascii="Book Antiqua" w:hAnsi="Book Antiqua" w:cs="Arial"/>
        </w:rPr>
        <w:t xml:space="preserve"> accepted that Enoch had been granted entry clearance to settle with the sponsor in 2012. </w:t>
      </w:r>
      <w:r w:rsidR="0050047C">
        <w:rPr>
          <w:rFonts w:ascii="Book Antiqua" w:hAnsi="Book Antiqua" w:cs="Arial"/>
        </w:rPr>
        <w:t xml:space="preserve"> However, he continued in </w:t>
      </w:r>
      <w:r>
        <w:rPr>
          <w:rFonts w:ascii="Book Antiqua" w:hAnsi="Book Antiqua" w:cs="Arial"/>
        </w:rPr>
        <w:t xml:space="preserve">paragraph </w:t>
      </w:r>
      <w:r w:rsidR="0050047C">
        <w:rPr>
          <w:rFonts w:ascii="Book Antiqua" w:hAnsi="Book Antiqua" w:cs="Arial"/>
        </w:rPr>
        <w:t>[</w:t>
      </w:r>
      <w:r>
        <w:rPr>
          <w:rFonts w:ascii="Book Antiqua" w:hAnsi="Book Antiqua" w:cs="Arial"/>
        </w:rPr>
        <w:t>28</w:t>
      </w:r>
      <w:r w:rsidR="0050047C">
        <w:rPr>
          <w:rFonts w:ascii="Book Antiqua" w:hAnsi="Book Antiqua" w:cs="Arial"/>
        </w:rPr>
        <w:t xml:space="preserve">], </w:t>
      </w:r>
      <w:r>
        <w:rPr>
          <w:rFonts w:ascii="Book Antiqua" w:hAnsi="Book Antiqua" w:cs="Arial"/>
        </w:rPr>
        <w:t>after the death of the sponsor’s father, his mother was granted guardianship for the appellant in November 2015: “</w:t>
      </w:r>
      <w:r>
        <w:rPr>
          <w:rFonts w:ascii="Book Antiqua" w:hAnsi="Book Antiqua" w:cs="Arial"/>
          <w:i/>
          <w:iCs/>
        </w:rPr>
        <w:t>The guardianship document is not before the Court, but the refusal mentions this fact and it is accepted by the sponsor that his mother was granted [the] appellant’s guardianship.”</w:t>
      </w:r>
    </w:p>
    <w:p w14:paraId="7A34D2B0"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At paragraph </w:t>
      </w:r>
      <w:r w:rsidR="00DA72FA">
        <w:rPr>
          <w:rFonts w:ascii="Book Antiqua" w:hAnsi="Book Antiqua" w:cs="Arial"/>
        </w:rPr>
        <w:t>[</w:t>
      </w:r>
      <w:r>
        <w:rPr>
          <w:rFonts w:ascii="Book Antiqua" w:hAnsi="Book Antiqua" w:cs="Arial"/>
        </w:rPr>
        <w:t>29</w:t>
      </w:r>
      <w:r w:rsidR="00DA72FA">
        <w:rPr>
          <w:rFonts w:ascii="Book Antiqua" w:hAnsi="Book Antiqua" w:cs="Arial"/>
        </w:rPr>
        <w:t>]</w:t>
      </w:r>
      <w:r>
        <w:rPr>
          <w:rFonts w:ascii="Book Antiqua" w:hAnsi="Book Antiqua" w:cs="Arial"/>
        </w:rPr>
        <w:t>, the Judge found the fact that the sponsor’s mother was granted guardianship to the appellant by a Court in Ghana in 2015 indicated that the Court must have been satisfied that she was “</w:t>
      </w:r>
      <w:r>
        <w:rPr>
          <w:rFonts w:ascii="Book Antiqua" w:hAnsi="Book Antiqua" w:cs="Arial"/>
          <w:i/>
          <w:iCs/>
        </w:rPr>
        <w:t xml:space="preserve">the carer” </w:t>
      </w:r>
      <w:r>
        <w:rPr>
          <w:rFonts w:ascii="Book Antiqua" w:hAnsi="Book Antiqua" w:cs="Arial"/>
        </w:rPr>
        <w:t>and the person who looked after the app</w:t>
      </w:r>
      <w:r w:rsidR="00DA72FA">
        <w:rPr>
          <w:rFonts w:ascii="Book Antiqua" w:hAnsi="Book Antiqua" w:cs="Arial"/>
        </w:rPr>
        <w:t>ellant’s wellbeing in Ghana.  He</w:t>
      </w:r>
      <w:r>
        <w:rPr>
          <w:rFonts w:ascii="Book Antiqua" w:hAnsi="Book Antiqua" w:cs="Arial"/>
        </w:rPr>
        <w:t xml:space="preserve"> distinguish</w:t>
      </w:r>
      <w:r w:rsidR="00DA72FA">
        <w:rPr>
          <w:rFonts w:ascii="Book Antiqua" w:hAnsi="Book Antiqua" w:cs="Arial"/>
        </w:rPr>
        <w:t>ed</w:t>
      </w:r>
      <w:r>
        <w:rPr>
          <w:rFonts w:ascii="Book Antiqua" w:hAnsi="Book Antiqua" w:cs="Arial"/>
        </w:rPr>
        <w:t xml:space="preserve"> the appellant’s position from that of his older brother, Enoch, on the basis that his grant of entry clearance had been three years earlier, and that by the time the grandmother was granted the appellant’s guardianship, “</w:t>
      </w:r>
      <w:r>
        <w:rPr>
          <w:rFonts w:ascii="Book Antiqua" w:hAnsi="Book Antiqua" w:cs="Arial"/>
          <w:i/>
          <w:iCs/>
        </w:rPr>
        <w:t xml:space="preserve">things had changed.”  </w:t>
      </w:r>
      <w:r w:rsidR="00DA72FA">
        <w:rPr>
          <w:rFonts w:ascii="Book Antiqua" w:hAnsi="Book Antiqua" w:cs="Arial"/>
        </w:rPr>
        <w:t>It was</w:t>
      </w:r>
      <w:r>
        <w:rPr>
          <w:rFonts w:ascii="Book Antiqua" w:hAnsi="Book Antiqua" w:cs="Arial"/>
        </w:rPr>
        <w:t xml:space="preserve"> clear that, by that time, the grandmother was “</w:t>
      </w:r>
      <w:r>
        <w:rPr>
          <w:rFonts w:ascii="Book Antiqua" w:hAnsi="Book Antiqua" w:cs="Arial"/>
          <w:i/>
          <w:iCs/>
        </w:rPr>
        <w:t xml:space="preserve">the sole carer” </w:t>
      </w:r>
      <w:r>
        <w:rPr>
          <w:rFonts w:ascii="Book Antiqua" w:hAnsi="Book Antiqua" w:cs="Arial"/>
        </w:rPr>
        <w:t>for the appellant in Ghana.  She had been there for him in the past, and she continued to play an important role in his life.  The sponsor provided some financial support for the appellant, but this was up to the time of application - and there was no further evidence of any continuous financial support from the date of refusal.  Further, there was very limited contact between the appellant and the sponsor.  The telephone record</w:t>
      </w:r>
      <w:r w:rsidR="00DA72FA">
        <w:rPr>
          <w:rFonts w:ascii="Book Antiqua" w:hAnsi="Book Antiqua" w:cs="Arial"/>
        </w:rPr>
        <w:t>s</w:t>
      </w:r>
      <w:r>
        <w:rPr>
          <w:rFonts w:ascii="Book Antiqua" w:hAnsi="Book Antiqua" w:cs="Arial"/>
        </w:rPr>
        <w:t xml:space="preserve"> showed that there were 15 calls to the appellant’s telephone, but there was not a single call which had lasted from more than a few seconds.  The Judge concluded, at paragraph </w:t>
      </w:r>
      <w:r w:rsidR="00DA72FA">
        <w:rPr>
          <w:rFonts w:ascii="Book Antiqua" w:hAnsi="Book Antiqua" w:cs="Arial"/>
        </w:rPr>
        <w:t>[</w:t>
      </w:r>
      <w:r>
        <w:rPr>
          <w:rFonts w:ascii="Book Antiqua" w:hAnsi="Book Antiqua" w:cs="Arial"/>
        </w:rPr>
        <w:t>33</w:t>
      </w:r>
      <w:r w:rsidR="00DA72FA">
        <w:rPr>
          <w:rFonts w:ascii="Book Antiqua" w:hAnsi="Book Antiqua" w:cs="Arial"/>
        </w:rPr>
        <w:t>]</w:t>
      </w:r>
      <w:r>
        <w:rPr>
          <w:rFonts w:ascii="Book Antiqua" w:hAnsi="Book Antiqua" w:cs="Arial"/>
        </w:rPr>
        <w:t>, that the sponsor had not had the sole responsibility for his son, “</w:t>
      </w:r>
      <w:r>
        <w:rPr>
          <w:rFonts w:ascii="Book Antiqua" w:hAnsi="Book Antiqua" w:cs="Arial"/>
          <w:i/>
          <w:iCs/>
        </w:rPr>
        <w:t xml:space="preserve">and that his mother has played the main role </w:t>
      </w:r>
      <w:r w:rsidR="00A36EF6">
        <w:rPr>
          <w:rFonts w:ascii="Book Antiqua" w:hAnsi="Book Antiqua" w:cs="Arial"/>
          <w:i/>
          <w:iCs/>
        </w:rPr>
        <w:t xml:space="preserve">in the appellant’s </w:t>
      </w:r>
      <w:proofErr w:type="spellStart"/>
      <w:r w:rsidR="00A36EF6">
        <w:rPr>
          <w:rFonts w:ascii="Book Antiqua" w:hAnsi="Book Antiqua" w:cs="Arial"/>
          <w:i/>
          <w:iCs/>
        </w:rPr>
        <w:t>upbring</w:t>
      </w:r>
      <w:proofErr w:type="spellEnd"/>
      <w:r w:rsidR="00A36EF6">
        <w:rPr>
          <w:rFonts w:ascii="Book Antiqua" w:hAnsi="Book Antiqua" w:cs="Arial"/>
          <w:i/>
          <w:iCs/>
        </w:rPr>
        <w:t>[</w:t>
      </w:r>
      <w:proofErr w:type="spellStart"/>
      <w:r w:rsidR="00A36EF6">
        <w:rPr>
          <w:rFonts w:ascii="Book Antiqua" w:hAnsi="Book Antiqua" w:cs="Arial"/>
          <w:i/>
          <w:iCs/>
        </w:rPr>
        <w:t>ing</w:t>
      </w:r>
      <w:proofErr w:type="spellEnd"/>
      <w:r w:rsidR="00A36EF6">
        <w:rPr>
          <w:rFonts w:ascii="Book Antiqua" w:hAnsi="Book Antiqua" w:cs="Arial"/>
          <w:i/>
          <w:iCs/>
        </w:rPr>
        <w:t>]</w:t>
      </w:r>
      <w:r>
        <w:rPr>
          <w:rFonts w:ascii="Book Antiqua" w:hAnsi="Book Antiqua" w:cs="Arial"/>
          <w:i/>
          <w:iCs/>
        </w:rPr>
        <w:t xml:space="preserve">”.  </w:t>
      </w:r>
    </w:p>
    <w:p w14:paraId="5783B454" w14:textId="77777777" w:rsidR="00037D53" w:rsidRDefault="00037D53">
      <w:pPr>
        <w:numPr>
          <w:ilvl w:val="0"/>
          <w:numId w:val="1"/>
        </w:numPr>
        <w:spacing w:before="240"/>
        <w:jc w:val="both"/>
        <w:rPr>
          <w:rFonts w:ascii="Book Antiqua" w:hAnsi="Book Antiqua" w:cs="Arial"/>
        </w:rPr>
      </w:pPr>
      <w:r>
        <w:rPr>
          <w:rFonts w:ascii="Book Antiqua" w:hAnsi="Book Antiqua" w:cs="Arial"/>
        </w:rPr>
        <w:t>I consider that the Judge has given adequate reasons for finding that the sponsor has not had sole responsibility for the appellant’s upbringing on the evidence that was presented to him at the hearing.  It was not the sponsor’s evidence that there was in fact no guardia</w:t>
      </w:r>
      <w:r w:rsidR="00DA72FA">
        <w:rPr>
          <w:rFonts w:ascii="Book Antiqua" w:hAnsi="Book Antiqua" w:cs="Arial"/>
        </w:rPr>
        <w:t>nship order made by a</w:t>
      </w:r>
      <w:r>
        <w:rPr>
          <w:rFonts w:ascii="Book Antiqua" w:hAnsi="Book Antiqua" w:cs="Arial"/>
        </w:rPr>
        <w:t xml:space="preserve"> Court</w:t>
      </w:r>
      <w:r w:rsidR="00DA72FA">
        <w:rPr>
          <w:rFonts w:ascii="Book Antiqua" w:hAnsi="Book Antiqua" w:cs="Arial"/>
        </w:rPr>
        <w:t xml:space="preserve"> in Ghana. It was not the sponsor’s evidence </w:t>
      </w:r>
      <w:r>
        <w:rPr>
          <w:rFonts w:ascii="Book Antiqua" w:hAnsi="Book Antiqua" w:cs="Arial"/>
        </w:rPr>
        <w:t>that the only guardianship document was the statutory declaration which his mother had made.</w:t>
      </w:r>
    </w:p>
    <w:p w14:paraId="72A9E73C" w14:textId="77777777" w:rsidR="00DA72FA" w:rsidRDefault="00037D53" w:rsidP="00DA72FA">
      <w:pPr>
        <w:numPr>
          <w:ilvl w:val="0"/>
          <w:numId w:val="1"/>
        </w:numPr>
        <w:spacing w:before="240"/>
        <w:jc w:val="both"/>
        <w:rPr>
          <w:rFonts w:ascii="Book Antiqua" w:hAnsi="Book Antiqua" w:cs="Arial"/>
        </w:rPr>
      </w:pPr>
      <w:r w:rsidRPr="00DA72FA">
        <w:rPr>
          <w:rFonts w:ascii="Book Antiqua" w:hAnsi="Book Antiqua" w:cs="Arial"/>
        </w:rPr>
        <w:t xml:space="preserve">It was open to the Judge to infer that the foreign law is the same as English Law, and that the appointment of the grandmother as the appellant’s guardian by a court in Ghana in November 2015 meant that the Court was satisfied that she was exercising </w:t>
      </w:r>
      <w:r w:rsidRPr="00DA72FA">
        <w:rPr>
          <w:rFonts w:ascii="Book Antiqua" w:hAnsi="Book Antiqua" w:cs="Arial"/>
        </w:rPr>
        <w:lastRenderedPageBreak/>
        <w:t>parental responsibility</w:t>
      </w:r>
      <w:r w:rsidR="00DA72FA" w:rsidRPr="00DA72FA">
        <w:rPr>
          <w:rFonts w:ascii="Book Antiqua" w:hAnsi="Book Antiqua" w:cs="Arial"/>
        </w:rPr>
        <w:t xml:space="preserve"> for the appellant’s upbringing and/or that she was assuming such responsibility through applying to be appointed his legal guardian.</w:t>
      </w:r>
      <w:r w:rsidRPr="00DA72FA">
        <w:rPr>
          <w:rFonts w:ascii="Book Antiqua" w:hAnsi="Book Antiqua" w:cs="Arial"/>
        </w:rPr>
        <w:t xml:space="preserve">  </w:t>
      </w:r>
    </w:p>
    <w:p w14:paraId="7B18D823" w14:textId="77777777" w:rsidR="00037D53" w:rsidRPr="00DA72FA" w:rsidRDefault="00037D53" w:rsidP="00DA72FA">
      <w:pPr>
        <w:numPr>
          <w:ilvl w:val="0"/>
          <w:numId w:val="1"/>
        </w:numPr>
        <w:spacing w:before="240"/>
        <w:jc w:val="both"/>
        <w:rPr>
          <w:rFonts w:ascii="Book Antiqua" w:hAnsi="Book Antiqua" w:cs="Arial"/>
        </w:rPr>
      </w:pPr>
      <w:r w:rsidRPr="00DA72FA">
        <w:rPr>
          <w:rFonts w:ascii="Book Antiqua" w:hAnsi="Book Antiqua" w:cs="Arial"/>
        </w:rPr>
        <w:t xml:space="preserve">Mr Syed-Ali is under the misapprehension that the statutory declaration of the grandmother </w:t>
      </w:r>
      <w:r w:rsidR="00DA72FA">
        <w:rPr>
          <w:rFonts w:ascii="Book Antiqua" w:hAnsi="Book Antiqua" w:cs="Arial"/>
        </w:rPr>
        <w:t>was not before the Tribunal. One of his submissions is</w:t>
      </w:r>
      <w:r w:rsidRPr="00DA72FA">
        <w:rPr>
          <w:rFonts w:ascii="Book Antiqua" w:hAnsi="Book Antiqua" w:cs="Arial"/>
        </w:rPr>
        <w:t xml:space="preserve"> that, if the Judge had seen it, the Judge would have appreciated the true nature of the grandmother’s guardianship.  I do not consider that the statutory declaration bears the weight that Mr Syed-Ali seeks to place on it. </w:t>
      </w:r>
      <w:r w:rsidR="00DA72FA">
        <w:rPr>
          <w:rFonts w:ascii="Book Antiqua" w:hAnsi="Book Antiqua" w:cs="Arial"/>
        </w:rPr>
        <w:t xml:space="preserve"> The appellant’s grandmother does</w:t>
      </w:r>
      <w:r w:rsidRPr="00DA72FA">
        <w:rPr>
          <w:rFonts w:ascii="Book Antiqua" w:hAnsi="Book Antiqua" w:cs="Arial"/>
        </w:rPr>
        <w:t xml:space="preserve"> not i</w:t>
      </w:r>
      <w:r w:rsidR="00DA72FA">
        <w:rPr>
          <w:rFonts w:ascii="Book Antiqua" w:hAnsi="Book Antiqua" w:cs="Arial"/>
        </w:rPr>
        <w:t>n terms affirm that she has</w:t>
      </w:r>
      <w:r w:rsidRPr="00DA72FA">
        <w:rPr>
          <w:rFonts w:ascii="Book Antiqua" w:hAnsi="Book Antiqua" w:cs="Arial"/>
        </w:rPr>
        <w:t xml:space="preserve"> the subordinate role in the care and upbringing of the appellant which is assigned to her by the sponsor.  What she says in the statutory declaration is entirely consiste</w:t>
      </w:r>
      <w:r w:rsidR="0093450C">
        <w:rPr>
          <w:rFonts w:ascii="Book Antiqua" w:hAnsi="Book Antiqua" w:cs="Arial"/>
        </w:rPr>
        <w:t xml:space="preserve">nt with the sponsor having </w:t>
      </w:r>
      <w:r w:rsidRPr="00DA72FA">
        <w:rPr>
          <w:rFonts w:ascii="Book Antiqua" w:hAnsi="Book Antiqua" w:cs="Arial"/>
        </w:rPr>
        <w:t>financial responsibility for the care of his three children who ar</w:t>
      </w:r>
      <w:r w:rsidR="00DA72FA">
        <w:rPr>
          <w:rFonts w:ascii="Book Antiqua" w:hAnsi="Book Antiqua" w:cs="Arial"/>
        </w:rPr>
        <w:t>e being looked after by her, without</w:t>
      </w:r>
      <w:r w:rsidRPr="00DA72FA">
        <w:rPr>
          <w:rFonts w:ascii="Book Antiqua" w:hAnsi="Book Antiqua" w:cs="Arial"/>
        </w:rPr>
        <w:t xml:space="preserve"> at the same time having sole responsibility for their care and upbringing.</w:t>
      </w:r>
    </w:p>
    <w:p w14:paraId="0328B3ED" w14:textId="77777777" w:rsidR="00037D53" w:rsidRDefault="00037D53">
      <w:pPr>
        <w:numPr>
          <w:ilvl w:val="0"/>
          <w:numId w:val="1"/>
        </w:numPr>
        <w:spacing w:before="240"/>
        <w:jc w:val="both"/>
        <w:rPr>
          <w:rFonts w:ascii="Book Antiqua" w:hAnsi="Book Antiqua" w:cs="Arial"/>
        </w:rPr>
      </w:pPr>
      <w:r>
        <w:rPr>
          <w:rFonts w:ascii="Book Antiqua" w:hAnsi="Book Antiqua" w:cs="Arial"/>
        </w:rPr>
        <w:t>For the above reasons, Ground 1 as developed in M</w:t>
      </w:r>
      <w:r w:rsidR="00DA72FA">
        <w:rPr>
          <w:rFonts w:ascii="Book Antiqua" w:hAnsi="Book Antiqua" w:cs="Arial"/>
        </w:rPr>
        <w:t xml:space="preserve">r Syed-Ali’s skeleton argument </w:t>
      </w:r>
      <w:r>
        <w:rPr>
          <w:rFonts w:ascii="Book Antiqua" w:hAnsi="Book Antiqua" w:cs="Arial"/>
        </w:rPr>
        <w:t>is not made out.  The Judge adequately engaged with the oral and documentary evidence that was place</w:t>
      </w:r>
      <w:r w:rsidR="0093450C">
        <w:rPr>
          <w:rFonts w:ascii="Book Antiqua" w:hAnsi="Book Antiqua" w:cs="Arial"/>
        </w:rPr>
        <w:t>d</w:t>
      </w:r>
      <w:r>
        <w:rPr>
          <w:rFonts w:ascii="Book Antiqua" w:hAnsi="Book Antiqua" w:cs="Arial"/>
        </w:rPr>
        <w:t xml:space="preserve"> before him</w:t>
      </w:r>
      <w:r w:rsidR="00DA72FA">
        <w:rPr>
          <w:rFonts w:ascii="Book Antiqua" w:hAnsi="Book Antiqua" w:cs="Arial"/>
        </w:rPr>
        <w:t xml:space="preserve"> on this issue, and he gave</w:t>
      </w:r>
      <w:r>
        <w:rPr>
          <w:rFonts w:ascii="Book Antiqua" w:hAnsi="Book Antiqua" w:cs="Arial"/>
        </w:rPr>
        <w:t xml:space="preserve"> adequate reasons for finding that sole responsibility is not made out.  He was fully aware of the thrust of</w:t>
      </w:r>
      <w:r w:rsidR="00DA72FA">
        <w:rPr>
          <w:rFonts w:ascii="Book Antiqua" w:hAnsi="Book Antiqua" w:cs="Arial"/>
        </w:rPr>
        <w:t xml:space="preserve"> the appellant’s case, and he did not misunderstand</w:t>
      </w:r>
      <w:r>
        <w:rPr>
          <w:rFonts w:ascii="Book Antiqua" w:hAnsi="Book Antiqua" w:cs="Arial"/>
        </w:rPr>
        <w:t xml:space="preserve"> the evidence which was put forward to support it.  On analysis, the error of law challenge is no more than an expression of disagreement with findings </w:t>
      </w:r>
      <w:r w:rsidR="0093450C">
        <w:rPr>
          <w:rFonts w:ascii="Book Antiqua" w:hAnsi="Book Antiqua" w:cs="Arial"/>
        </w:rPr>
        <w:t xml:space="preserve">that were reasonably </w:t>
      </w:r>
      <w:r>
        <w:rPr>
          <w:rFonts w:ascii="Book Antiqua" w:hAnsi="Book Antiqua" w:cs="Arial"/>
        </w:rPr>
        <w:t>open to the Judge on the evidence.</w:t>
      </w:r>
    </w:p>
    <w:p w14:paraId="4B8B2C4A" w14:textId="77777777" w:rsidR="006751E8" w:rsidRPr="006751E8" w:rsidRDefault="006751E8" w:rsidP="006751E8">
      <w:pPr>
        <w:spacing w:before="240"/>
        <w:jc w:val="both"/>
        <w:rPr>
          <w:rFonts w:ascii="Book Antiqua" w:hAnsi="Book Antiqua" w:cs="Arial"/>
          <w:i/>
        </w:rPr>
      </w:pPr>
      <w:r>
        <w:rPr>
          <w:rFonts w:ascii="Book Antiqua" w:hAnsi="Book Antiqua" w:cs="Arial"/>
          <w:i/>
        </w:rPr>
        <w:t>Ground 1 as developed in oral submissions – alleged material mistakes of fact leading to procedural unfairness</w:t>
      </w:r>
    </w:p>
    <w:p w14:paraId="352EFEA2"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I turn to consider whether there is any merit in the alternative line of argument, which was pursued by </w:t>
      </w:r>
      <w:r w:rsidR="006751E8">
        <w:rPr>
          <w:rFonts w:ascii="Book Antiqua" w:hAnsi="Book Antiqua" w:cs="Arial"/>
        </w:rPr>
        <w:t>Mr Syed-Ali in oral submissions.</w:t>
      </w:r>
    </w:p>
    <w:p w14:paraId="66EB5EF9" w14:textId="77777777" w:rsidR="00037D53" w:rsidRDefault="00037D53">
      <w:pPr>
        <w:numPr>
          <w:ilvl w:val="0"/>
          <w:numId w:val="1"/>
        </w:numPr>
        <w:spacing w:before="240"/>
        <w:jc w:val="both"/>
        <w:rPr>
          <w:rFonts w:ascii="Book Antiqua" w:hAnsi="Book Antiqua" w:cs="Arial"/>
        </w:rPr>
      </w:pPr>
      <w:r>
        <w:rPr>
          <w:rFonts w:ascii="Book Antiqua" w:hAnsi="Book Antiqua" w:cs="Arial"/>
        </w:rPr>
        <w:t>The first alleged mistake of fact is that there was in fact no guardianship order, but only the statutory declaration of the grandmother.  There is no evidence before me to show that this was a mistake of fact.  On the contrary, the sponsor is recorded as having confirmed in cross-examination that there was indeed a guardianship order.</w:t>
      </w:r>
    </w:p>
    <w:p w14:paraId="6EA7534A" w14:textId="77777777" w:rsidR="00037D53" w:rsidRDefault="00037D53">
      <w:pPr>
        <w:numPr>
          <w:ilvl w:val="0"/>
          <w:numId w:val="1"/>
        </w:numPr>
        <w:spacing w:before="240"/>
        <w:jc w:val="both"/>
        <w:rPr>
          <w:rFonts w:ascii="Book Antiqua" w:hAnsi="Book Antiqua" w:cs="Arial"/>
        </w:rPr>
      </w:pPr>
      <w:r>
        <w:rPr>
          <w:rFonts w:ascii="Book Antiqua" w:hAnsi="Book Antiqua" w:cs="Arial"/>
        </w:rPr>
        <w:t>The second alleged mistake of fact is that, neither in law or in fact does the grandmother’s guardianship of the appellant carry with it an assumption of parental responsibility.  But again, there is no satisfactory (still less</w:t>
      </w:r>
      <w:r w:rsidR="006751E8">
        <w:rPr>
          <w:rFonts w:ascii="Book Antiqua" w:hAnsi="Book Antiqua" w:cs="Arial"/>
        </w:rPr>
        <w:t xml:space="preserve"> uncontroversial) </w:t>
      </w:r>
      <w:r>
        <w:rPr>
          <w:rFonts w:ascii="Book Antiqua" w:hAnsi="Book Antiqua" w:cs="Arial"/>
        </w:rPr>
        <w:t>evidence before me to show that the Judge was mistaken as to the implications of the guardianship order referred to by the Entry Clearance Officer in his decision.  There is no expert evidence to</w:t>
      </w:r>
      <w:r w:rsidR="006751E8">
        <w:rPr>
          <w:rFonts w:ascii="Book Antiqua" w:hAnsi="Book Antiqua" w:cs="Arial"/>
        </w:rPr>
        <w:t xml:space="preserve"> substantiate the claim that a</w:t>
      </w:r>
      <w:r>
        <w:rPr>
          <w:rFonts w:ascii="Book Antiqua" w:hAnsi="Book Antiqua" w:cs="Arial"/>
        </w:rPr>
        <w:t xml:space="preserve"> guardianship order can be obtained in Ghana in the circumstances alleged by the sponsor - i.e. that a family member can be appointed as a guardian </w:t>
      </w:r>
      <w:r w:rsidR="006751E8">
        <w:rPr>
          <w:rFonts w:ascii="Book Antiqua" w:hAnsi="Book Antiqua" w:cs="Arial"/>
        </w:rPr>
        <w:t xml:space="preserve">by a Court </w:t>
      </w:r>
      <w:r>
        <w:rPr>
          <w:rFonts w:ascii="Book Antiqua" w:hAnsi="Book Antiqua" w:cs="Arial"/>
        </w:rPr>
        <w:t xml:space="preserve">in Ghana </w:t>
      </w:r>
      <w:r w:rsidR="006751E8">
        <w:rPr>
          <w:rFonts w:ascii="Book Antiqua" w:hAnsi="Book Antiqua" w:cs="Arial"/>
        </w:rPr>
        <w:t>for the restricted purpose of affirming his or her subordinate role as a day to day carer with no parental responsibility.</w:t>
      </w:r>
    </w:p>
    <w:p w14:paraId="2433401C"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The third alleged mistake of fact is that the Judge did not </w:t>
      </w:r>
      <w:proofErr w:type="gramStart"/>
      <w:r>
        <w:rPr>
          <w:rFonts w:ascii="Book Antiqua" w:hAnsi="Book Antiqua" w:cs="Arial"/>
        </w:rPr>
        <w:t>take into account</w:t>
      </w:r>
      <w:proofErr w:type="gramEnd"/>
      <w:r>
        <w:rPr>
          <w:rFonts w:ascii="Book Antiqua" w:hAnsi="Book Antiqua" w:cs="Arial"/>
        </w:rPr>
        <w:t xml:space="preserve"> that a similar statutory declaration had been made in 2010 by the appellant’s grandfather, and that, notwithstanding this statutory declaration, the Entry Clearance Officer in 2012 had granted Enoch entry clearance on the grounds that his father was exercising sole responsibility for his upbringing.</w:t>
      </w:r>
    </w:p>
    <w:p w14:paraId="5D2F4052" w14:textId="77777777" w:rsidR="00037D53" w:rsidRDefault="006751E8">
      <w:pPr>
        <w:numPr>
          <w:ilvl w:val="0"/>
          <w:numId w:val="1"/>
        </w:numPr>
        <w:spacing w:before="240"/>
        <w:jc w:val="both"/>
        <w:rPr>
          <w:rFonts w:ascii="Book Antiqua" w:hAnsi="Book Antiqua" w:cs="Arial"/>
        </w:rPr>
      </w:pPr>
      <w:r>
        <w:rPr>
          <w:rFonts w:ascii="Book Antiqua" w:hAnsi="Book Antiqua" w:cs="Arial"/>
        </w:rPr>
        <w:lastRenderedPageBreak/>
        <w:t>There was</w:t>
      </w:r>
      <w:r w:rsidR="00037D53">
        <w:rPr>
          <w:rFonts w:ascii="Book Antiqua" w:hAnsi="Book Antiqua" w:cs="Arial"/>
        </w:rPr>
        <w:t xml:space="preserve"> no documentary evidence before the First-tier Tribunal showing the basis on which Enoch had applied for entry clearance, and the Judge did not make a finding that he had been granted entry clearance because the Entry Clearance Officer in 2012 accepted that his father had had sole responsibility for his upbringing.  The Judge merely accepted that he had been granted entry clearance.  The sponsor was responsible for compiling the bundle of documents for the hearing, and he did not include in the bundle a copy of the statutory declaration made by the grandfather in 2010.  But even if he had done so, this would not have detracted from the crucial distinction drawn by the Judge between the position of Enoch in 2012 and the position of the appella</w:t>
      </w:r>
      <w:r w:rsidR="00327A9D">
        <w:rPr>
          <w:rFonts w:ascii="Book Antiqua" w:hAnsi="Book Antiqua" w:cs="Arial"/>
        </w:rPr>
        <w:t>nt three years later. It is not suggested that the appellant’s grandfather was appointed a guardian of the appellant or Enoch by a Court in Ghana in</w:t>
      </w:r>
      <w:r w:rsidR="00037D53">
        <w:rPr>
          <w:rFonts w:ascii="Book Antiqua" w:hAnsi="Book Antiqua" w:cs="Arial"/>
        </w:rPr>
        <w:t xml:space="preserve"> 2010.</w:t>
      </w:r>
    </w:p>
    <w:p w14:paraId="78C374EF" w14:textId="77777777" w:rsidR="00037D53" w:rsidRDefault="00037D53">
      <w:pPr>
        <w:numPr>
          <w:ilvl w:val="0"/>
          <w:numId w:val="1"/>
        </w:numPr>
        <w:spacing w:before="240"/>
        <w:jc w:val="both"/>
        <w:rPr>
          <w:rFonts w:ascii="Book Antiqua" w:hAnsi="Book Antiqua" w:cs="Arial"/>
        </w:rPr>
      </w:pPr>
      <w:r>
        <w:rPr>
          <w:rFonts w:ascii="Book Antiqua" w:hAnsi="Book Antiqua" w:cs="Arial"/>
        </w:rPr>
        <w:t>For the above reasons, Ground 1 is not made out on the alternative basis argued by Mr Syed-Ali in oral submissions.</w:t>
      </w:r>
    </w:p>
    <w:p w14:paraId="7D69EB48" w14:textId="77777777" w:rsidR="00327A9D" w:rsidRPr="00327A9D" w:rsidRDefault="00327A9D" w:rsidP="00327A9D">
      <w:pPr>
        <w:spacing w:before="240"/>
        <w:jc w:val="both"/>
        <w:rPr>
          <w:rFonts w:ascii="Book Antiqua" w:hAnsi="Book Antiqua" w:cs="Arial"/>
          <w:i/>
        </w:rPr>
      </w:pPr>
      <w:r>
        <w:rPr>
          <w:rFonts w:ascii="Book Antiqua" w:hAnsi="Book Antiqua" w:cs="Arial"/>
          <w:i/>
        </w:rPr>
        <w:t>Ground 2</w:t>
      </w:r>
      <w:r w:rsidR="00A36EF6">
        <w:rPr>
          <w:rFonts w:ascii="Book Antiqua" w:hAnsi="Book Antiqua" w:cs="Arial"/>
          <w:i/>
        </w:rPr>
        <w:t xml:space="preserve"> – Alleged inadequate analysis of human right claim</w:t>
      </w:r>
    </w:p>
    <w:p w14:paraId="6374301A" w14:textId="77777777" w:rsidR="00037D53" w:rsidRDefault="00037D53">
      <w:pPr>
        <w:numPr>
          <w:ilvl w:val="0"/>
          <w:numId w:val="1"/>
        </w:numPr>
        <w:spacing w:before="240"/>
        <w:jc w:val="both"/>
        <w:rPr>
          <w:rFonts w:ascii="Book Antiqua" w:hAnsi="Book Antiqua" w:cs="Arial"/>
        </w:rPr>
      </w:pPr>
      <w:r>
        <w:rPr>
          <w:rFonts w:ascii="Book Antiqua" w:hAnsi="Book Antiqua" w:cs="Arial"/>
        </w:rPr>
        <w:t>Ground 2 was not pursued by Mr Syed-Ali in oral submissions, and I do not consider that it has any merit.  Mr Syed-Ali agreed that sole responsibility was the key issue in the appeal.  Absent the sponsor having sole responsibility for the appellant’s upbringing, there wa</w:t>
      </w:r>
      <w:r w:rsidR="00A36EF6">
        <w:rPr>
          <w:rFonts w:ascii="Book Antiqua" w:hAnsi="Book Antiqua" w:cs="Arial"/>
        </w:rPr>
        <w:t>s and is little more to be said. T</w:t>
      </w:r>
      <w:r>
        <w:rPr>
          <w:rFonts w:ascii="Book Antiqua" w:hAnsi="Book Antiqua" w:cs="Arial"/>
        </w:rPr>
        <w:t xml:space="preserve">he Judge more than adequately addressed </w:t>
      </w:r>
      <w:r w:rsidR="00A36EF6">
        <w:rPr>
          <w:rFonts w:ascii="Book Antiqua" w:hAnsi="Book Antiqua" w:cs="Arial"/>
        </w:rPr>
        <w:t>the only</w:t>
      </w:r>
      <w:r>
        <w:rPr>
          <w:rFonts w:ascii="Book Antiqua" w:hAnsi="Book Antiqua" w:cs="Arial"/>
        </w:rPr>
        <w:t xml:space="preserve"> other potential basis on which the appellant could qualify under the R</w:t>
      </w:r>
      <w:r w:rsidR="0093450C">
        <w:rPr>
          <w:rFonts w:ascii="Book Antiqua" w:hAnsi="Book Antiqua" w:cs="Arial"/>
        </w:rPr>
        <w:t>ules, which was under Rule 297(</w:t>
      </w:r>
      <w:proofErr w:type="spellStart"/>
      <w:r w:rsidR="0093450C">
        <w:rPr>
          <w:rFonts w:ascii="Book Antiqua" w:hAnsi="Book Antiqua" w:cs="Arial"/>
        </w:rPr>
        <w:t>i</w:t>
      </w:r>
      <w:proofErr w:type="spellEnd"/>
      <w:r>
        <w:rPr>
          <w:rFonts w:ascii="Book Antiqua" w:hAnsi="Book Antiqua" w:cs="Arial"/>
        </w:rPr>
        <w:t xml:space="preserve">)(f).  It was open to the Judge to find, </w:t>
      </w:r>
      <w:r w:rsidR="00A36EF6">
        <w:rPr>
          <w:rFonts w:ascii="Book Antiqua" w:hAnsi="Book Antiqua" w:cs="Arial"/>
        </w:rPr>
        <w:t xml:space="preserve">as he did </w:t>
      </w:r>
      <w:r>
        <w:rPr>
          <w:rFonts w:ascii="Book Antiqua" w:hAnsi="Book Antiqua" w:cs="Arial"/>
        </w:rPr>
        <w:t xml:space="preserve">at paragraph </w:t>
      </w:r>
      <w:r w:rsidR="00A36EF6">
        <w:rPr>
          <w:rFonts w:ascii="Book Antiqua" w:hAnsi="Book Antiqua" w:cs="Arial"/>
        </w:rPr>
        <w:t>[</w:t>
      </w:r>
      <w:r>
        <w:rPr>
          <w:rFonts w:ascii="Book Antiqua" w:hAnsi="Book Antiqua" w:cs="Arial"/>
        </w:rPr>
        <w:t>37</w:t>
      </w:r>
      <w:r w:rsidR="00A36EF6">
        <w:rPr>
          <w:rFonts w:ascii="Book Antiqua" w:hAnsi="Book Antiqua" w:cs="Arial"/>
        </w:rPr>
        <w:t>]</w:t>
      </w:r>
      <w:r>
        <w:rPr>
          <w:rFonts w:ascii="Book Antiqua" w:hAnsi="Book Antiqua" w:cs="Arial"/>
        </w:rPr>
        <w:t>, that the evidence did not go near enough to show that there were serious compelling family o</w:t>
      </w:r>
      <w:r w:rsidR="0093450C">
        <w:rPr>
          <w:rFonts w:ascii="Book Antiqua" w:hAnsi="Book Antiqua" w:cs="Arial"/>
        </w:rPr>
        <w:t>r other considerations which mad</w:t>
      </w:r>
      <w:r>
        <w:rPr>
          <w:rFonts w:ascii="Book Antiqua" w:hAnsi="Book Antiqua" w:cs="Arial"/>
        </w:rPr>
        <w:t>e the appellant’s exclusion from the UK undesirable.</w:t>
      </w:r>
      <w:r w:rsidR="00A36EF6">
        <w:rPr>
          <w:rFonts w:ascii="Book Antiqua" w:hAnsi="Book Antiqua" w:cs="Arial"/>
        </w:rPr>
        <w:t xml:space="preserve">  In the circumstances, there was</w:t>
      </w:r>
      <w:r>
        <w:rPr>
          <w:rFonts w:ascii="Book Antiqua" w:hAnsi="Book Antiqua" w:cs="Arial"/>
        </w:rPr>
        <w:t xml:space="preserve"> no realist</w:t>
      </w:r>
      <w:r w:rsidR="00A36EF6">
        <w:rPr>
          <w:rFonts w:ascii="Book Antiqua" w:hAnsi="Book Antiqua" w:cs="Arial"/>
        </w:rPr>
        <w:t>ic prospect of the appellant fa</w:t>
      </w:r>
      <w:r>
        <w:rPr>
          <w:rFonts w:ascii="Book Antiqua" w:hAnsi="Book Antiqua" w:cs="Arial"/>
        </w:rPr>
        <w:t>ring any better in a human rights assessment outside t</w:t>
      </w:r>
      <w:r w:rsidR="00A36EF6">
        <w:rPr>
          <w:rFonts w:ascii="Book Antiqua" w:hAnsi="Book Antiqua" w:cs="Arial"/>
        </w:rPr>
        <w:t>he Rules, and Mr Syed-Ali does</w:t>
      </w:r>
      <w:r>
        <w:rPr>
          <w:rFonts w:ascii="Book Antiqua" w:hAnsi="Book Antiqua" w:cs="Arial"/>
        </w:rPr>
        <w:t xml:space="preserve"> not contend otherwise.</w:t>
      </w:r>
    </w:p>
    <w:p w14:paraId="7B663487" w14:textId="77777777" w:rsidR="00037D53" w:rsidRDefault="00037D53">
      <w:pPr>
        <w:numPr>
          <w:ilvl w:val="0"/>
          <w:numId w:val="1"/>
        </w:numPr>
        <w:spacing w:before="240"/>
        <w:jc w:val="both"/>
        <w:rPr>
          <w:rFonts w:ascii="Book Antiqua" w:hAnsi="Book Antiqua" w:cs="Arial"/>
        </w:rPr>
      </w:pPr>
      <w:r>
        <w:rPr>
          <w:rFonts w:ascii="Book Antiqua" w:hAnsi="Book Antiqua" w:cs="Arial"/>
        </w:rPr>
        <w:t xml:space="preserve">In his skeleton argument, Mr Syed-Ali’s complaint about the Judge’s Article </w:t>
      </w:r>
      <w:r w:rsidR="00A36EF6">
        <w:rPr>
          <w:rFonts w:ascii="Book Antiqua" w:hAnsi="Book Antiqua" w:cs="Arial"/>
        </w:rPr>
        <w:t>8 assessment was confined to the Judge’s</w:t>
      </w:r>
      <w:r>
        <w:rPr>
          <w:rFonts w:ascii="Book Antiqua" w:hAnsi="Book Antiqua" w:cs="Arial"/>
        </w:rPr>
        <w:t xml:space="preserve"> examination of the issue of sole responsibility.  Although </w:t>
      </w:r>
      <w:r w:rsidR="00A36EF6">
        <w:rPr>
          <w:rFonts w:ascii="Book Antiqua" w:hAnsi="Book Antiqua" w:cs="Arial"/>
        </w:rPr>
        <w:t xml:space="preserve">Upper </w:t>
      </w:r>
      <w:r>
        <w:rPr>
          <w:rFonts w:ascii="Book Antiqua" w:hAnsi="Book Antiqua" w:cs="Arial"/>
        </w:rPr>
        <w:t xml:space="preserve">Tribunal Judge Finch granted permission to appeal </w:t>
      </w:r>
      <w:proofErr w:type="gramStart"/>
      <w:r>
        <w:rPr>
          <w:rFonts w:ascii="Book Antiqua" w:hAnsi="Book Antiqua" w:cs="Arial"/>
        </w:rPr>
        <w:t>on the ground that</w:t>
      </w:r>
      <w:proofErr w:type="gramEnd"/>
      <w:r>
        <w:rPr>
          <w:rFonts w:ascii="Book Antiqua" w:hAnsi="Book Antiqua" w:cs="Arial"/>
        </w:rPr>
        <w:t xml:space="preserve"> it was arguable that the manner in which the Judge had addressed human rights issues was insufficient, and </w:t>
      </w:r>
      <w:r w:rsidR="00A36EF6">
        <w:rPr>
          <w:rFonts w:ascii="Book Antiqua" w:hAnsi="Book Antiqua" w:cs="Arial"/>
        </w:rPr>
        <w:t xml:space="preserve">that </w:t>
      </w:r>
      <w:r>
        <w:rPr>
          <w:rFonts w:ascii="Book Antiqua" w:hAnsi="Book Antiqua" w:cs="Arial"/>
        </w:rPr>
        <w:t xml:space="preserve">he failed to make findings on relevant elements of Article 8 or to consider proportionality, Mr Syed-Ali did not seek to persuade me that the Judge had erred in either his assessment </w:t>
      </w:r>
      <w:r w:rsidR="0093450C">
        <w:rPr>
          <w:rFonts w:ascii="Book Antiqua" w:hAnsi="Book Antiqua" w:cs="Arial"/>
        </w:rPr>
        <w:t>of the application of Rule 279(</w:t>
      </w:r>
      <w:proofErr w:type="spellStart"/>
      <w:r w:rsidR="0093450C">
        <w:rPr>
          <w:rFonts w:ascii="Book Antiqua" w:hAnsi="Book Antiqua" w:cs="Arial"/>
        </w:rPr>
        <w:t>i</w:t>
      </w:r>
      <w:proofErr w:type="spellEnd"/>
      <w:r>
        <w:rPr>
          <w:rFonts w:ascii="Book Antiqua" w:hAnsi="Book Antiqua" w:cs="Arial"/>
        </w:rPr>
        <w:t xml:space="preserve">)(f) or </w:t>
      </w:r>
      <w:r w:rsidR="00A36EF6">
        <w:rPr>
          <w:rFonts w:ascii="Book Antiqua" w:hAnsi="Book Antiqua" w:cs="Arial"/>
        </w:rPr>
        <w:t xml:space="preserve">in </w:t>
      </w:r>
      <w:r>
        <w:rPr>
          <w:rFonts w:ascii="Book Antiqua" w:hAnsi="Book Antiqua" w:cs="Arial"/>
        </w:rPr>
        <w:t>his brief disposal of an Article 8 claim outside the Rules.</w:t>
      </w:r>
    </w:p>
    <w:p w14:paraId="1AFA0C24" w14:textId="77777777" w:rsidR="00037D53" w:rsidRDefault="00037D53">
      <w:pPr>
        <w:jc w:val="both"/>
        <w:outlineLvl w:val="0"/>
        <w:rPr>
          <w:rFonts w:ascii="Book Antiqua" w:hAnsi="Book Antiqua" w:cs="Arial"/>
          <w:b/>
          <w:u w:val="single"/>
        </w:rPr>
      </w:pPr>
    </w:p>
    <w:p w14:paraId="05B0868A" w14:textId="77777777" w:rsidR="00037D53" w:rsidRDefault="00037D53">
      <w:pPr>
        <w:jc w:val="both"/>
        <w:outlineLvl w:val="0"/>
        <w:rPr>
          <w:rFonts w:ascii="Book Antiqua" w:hAnsi="Book Antiqua" w:cs="Arial"/>
          <w:b/>
          <w:u w:val="single"/>
        </w:rPr>
      </w:pPr>
      <w:r>
        <w:rPr>
          <w:rFonts w:ascii="Book Antiqua" w:hAnsi="Book Antiqua" w:cs="Arial"/>
          <w:b/>
          <w:u w:val="single"/>
        </w:rPr>
        <w:t>Notice of Decision</w:t>
      </w:r>
    </w:p>
    <w:p w14:paraId="60261E38" w14:textId="77777777" w:rsidR="00037D53" w:rsidRDefault="00037D53">
      <w:pPr>
        <w:tabs>
          <w:tab w:val="left" w:pos="567"/>
        </w:tabs>
        <w:jc w:val="both"/>
        <w:rPr>
          <w:rFonts w:ascii="Book Antiqua" w:hAnsi="Book Antiqua" w:cs="Arial"/>
        </w:rPr>
      </w:pPr>
    </w:p>
    <w:p w14:paraId="31622C20" w14:textId="77777777" w:rsidR="00037D53" w:rsidRDefault="00037D53">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14:paraId="1E43A30A" w14:textId="77777777" w:rsidR="00037D53" w:rsidRDefault="00037D53">
      <w:pPr>
        <w:tabs>
          <w:tab w:val="left" w:pos="567"/>
        </w:tabs>
        <w:jc w:val="both"/>
        <w:rPr>
          <w:rFonts w:ascii="Book Antiqua" w:hAnsi="Book Antiqua" w:cs="Arial"/>
        </w:rPr>
      </w:pPr>
    </w:p>
    <w:p w14:paraId="23D28130" w14:textId="77777777" w:rsidR="00037D53" w:rsidRPr="00A36EF6" w:rsidRDefault="00037D53">
      <w:pPr>
        <w:tabs>
          <w:tab w:val="left" w:pos="567"/>
        </w:tabs>
        <w:jc w:val="both"/>
        <w:rPr>
          <w:rFonts w:ascii="Book Antiqua" w:hAnsi="Book Antiqua" w:cs="Arial"/>
        </w:rPr>
      </w:pPr>
      <w:r w:rsidRPr="00A36EF6">
        <w:rPr>
          <w:rFonts w:ascii="Book Antiqua" w:hAnsi="Book Antiqua" w:cs="Arial"/>
        </w:rPr>
        <w:t>I make no anonymity direction.</w:t>
      </w:r>
    </w:p>
    <w:p w14:paraId="2913AC9A" w14:textId="77777777" w:rsidR="00037D53" w:rsidRDefault="00037D53">
      <w:pPr>
        <w:jc w:val="both"/>
        <w:rPr>
          <w:rFonts w:ascii="Book Antiqua" w:hAnsi="Book Antiqua" w:cs="Arial"/>
        </w:rPr>
      </w:pPr>
    </w:p>
    <w:p w14:paraId="72D15135" w14:textId="77777777" w:rsidR="00037D53" w:rsidRDefault="00037D53">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A36EF6">
        <w:rPr>
          <w:rFonts w:ascii="Book Antiqua" w:hAnsi="Book Antiqua" w:cs="Arial"/>
        </w:rPr>
        <w:t>Date 2</w:t>
      </w:r>
      <w:r>
        <w:rPr>
          <w:rFonts w:ascii="Book Antiqua" w:hAnsi="Book Antiqua" w:cs="Arial"/>
        </w:rPr>
        <w:t>1 July 2018</w:t>
      </w:r>
    </w:p>
    <w:p w14:paraId="6325401C" w14:textId="77777777" w:rsidR="00037D53" w:rsidRDefault="00037D53">
      <w:pPr>
        <w:jc w:val="both"/>
        <w:rPr>
          <w:rFonts w:ascii="Book Antiqua" w:hAnsi="Book Antiqua" w:cs="Arial"/>
        </w:rPr>
      </w:pPr>
    </w:p>
    <w:p w14:paraId="271954B4" w14:textId="77777777" w:rsidR="00037D53" w:rsidRDefault="00037D53">
      <w:pPr>
        <w:jc w:val="both"/>
        <w:rPr>
          <w:rFonts w:ascii="Book Antiqua" w:hAnsi="Book Antiqua" w:cs="Arial"/>
        </w:rPr>
      </w:pPr>
    </w:p>
    <w:p w14:paraId="11D351C3" w14:textId="77777777" w:rsidR="00037D53" w:rsidRDefault="00037D53">
      <w:pPr>
        <w:jc w:val="both"/>
        <w:rPr>
          <w:rFonts w:ascii="Book Antiqua" w:hAnsi="Book Antiqua" w:cs="Arial"/>
        </w:rPr>
      </w:pPr>
      <w:r>
        <w:rPr>
          <w:rFonts w:ascii="Book Antiqua" w:hAnsi="Book Antiqua" w:cs="Arial"/>
        </w:rPr>
        <w:t>Judge Monson</w:t>
      </w:r>
    </w:p>
    <w:p w14:paraId="6AC4FE56" w14:textId="4576A602" w:rsidR="0093450C" w:rsidRDefault="00037D53" w:rsidP="004F5D94">
      <w:pPr>
        <w:jc w:val="both"/>
        <w:rPr>
          <w:rFonts w:ascii="Book Antiqua" w:hAnsi="Book Antiqua" w:cs="Arial"/>
        </w:rPr>
      </w:pPr>
      <w:r>
        <w:rPr>
          <w:rFonts w:ascii="Book Antiqua" w:hAnsi="Book Antiqua" w:cs="Arial"/>
        </w:rPr>
        <w:t>Deputy Upper Tribunal Judge</w:t>
      </w:r>
      <w:r w:rsidR="004F5D94">
        <w:rPr>
          <w:rFonts w:ascii="Book Antiqua" w:hAnsi="Book Antiqua" w:cs="Arial"/>
        </w:rPr>
        <w:t xml:space="preserve"> </w:t>
      </w:r>
    </w:p>
    <w:sectPr w:rsidR="0093450C" w:rsidSect="004F5D94">
      <w:headerReference w:type="default" r:id="rId8"/>
      <w:footerReference w:type="default" r:id="rId9"/>
      <w:headerReference w:type="first" r:id="rId10"/>
      <w:footerReference w:type="first" r:id="rId11"/>
      <w:pgSz w:w="11906" w:h="16838"/>
      <w:pgMar w:top="426" w:right="1134" w:bottom="709"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2ACE6" w14:textId="77777777" w:rsidR="00E87D2A" w:rsidRDefault="00E87D2A">
      <w:r>
        <w:separator/>
      </w:r>
    </w:p>
  </w:endnote>
  <w:endnote w:type="continuationSeparator" w:id="0">
    <w:p w14:paraId="02817BF7" w14:textId="77777777" w:rsidR="00E87D2A" w:rsidRDefault="00E8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0D0BF" w14:textId="44D8C69C" w:rsidR="00037D53" w:rsidRPr="0004031E" w:rsidRDefault="00037D53">
    <w:pPr>
      <w:pStyle w:val="Footer"/>
      <w:jc w:val="center"/>
      <w:rPr>
        <w:rFonts w:ascii="Book Antiqua" w:hAnsi="Book Antiqua" w:cs="Arial"/>
      </w:rPr>
    </w:pPr>
    <w:r w:rsidRPr="0004031E">
      <w:rPr>
        <w:rFonts w:ascii="Book Antiqua" w:hAnsi="Book Antiqua" w:cs="Arial"/>
      </w:rPr>
      <w:fldChar w:fldCharType="begin"/>
    </w:r>
    <w:r w:rsidRPr="0004031E">
      <w:rPr>
        <w:rStyle w:val="PageNumber"/>
        <w:rFonts w:ascii="Book Antiqua" w:hAnsi="Book Antiqua" w:cs="Arial"/>
      </w:rPr>
      <w:instrText xml:space="preserve"> PAGE </w:instrText>
    </w:r>
    <w:r w:rsidRPr="0004031E">
      <w:rPr>
        <w:rFonts w:ascii="Book Antiqua" w:hAnsi="Book Antiqua" w:cs="Arial"/>
      </w:rPr>
      <w:fldChar w:fldCharType="separate"/>
    </w:r>
    <w:r w:rsidR="003C5F30">
      <w:rPr>
        <w:rStyle w:val="PageNumber"/>
        <w:rFonts w:ascii="Book Antiqua" w:hAnsi="Book Antiqua" w:cs="Arial"/>
        <w:noProof/>
      </w:rPr>
      <w:t>6</w:t>
    </w:r>
    <w:r w:rsidRPr="0004031E">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3D0FE" w14:textId="77777777" w:rsidR="00037D53" w:rsidRDefault="00037D53">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5D584" w14:textId="77777777" w:rsidR="00E87D2A" w:rsidRDefault="00E87D2A">
      <w:r>
        <w:separator/>
      </w:r>
    </w:p>
  </w:footnote>
  <w:footnote w:type="continuationSeparator" w:id="0">
    <w:p w14:paraId="052EDA65" w14:textId="77777777" w:rsidR="00E87D2A" w:rsidRDefault="00E87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39610" w14:textId="0D831AA6" w:rsidR="00037D53" w:rsidRDefault="00037D53">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HU/22112/2016</w:t>
    </w:r>
  </w:p>
  <w:p w14:paraId="79A204E1" w14:textId="77777777" w:rsidR="0004031E" w:rsidRDefault="0004031E">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D38BE" w14:textId="77777777" w:rsidR="00037D53" w:rsidRDefault="00037D53">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5121"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3C"/>
    <w:rsid w:val="00037D53"/>
    <w:rsid w:val="0004031E"/>
    <w:rsid w:val="00172A27"/>
    <w:rsid w:val="001F169F"/>
    <w:rsid w:val="00327A9D"/>
    <w:rsid w:val="003C5F30"/>
    <w:rsid w:val="004466D9"/>
    <w:rsid w:val="004F5D94"/>
    <w:rsid w:val="0050047C"/>
    <w:rsid w:val="005D6E93"/>
    <w:rsid w:val="006146EE"/>
    <w:rsid w:val="00624A8F"/>
    <w:rsid w:val="006751E8"/>
    <w:rsid w:val="006F1390"/>
    <w:rsid w:val="007E405D"/>
    <w:rsid w:val="008E3858"/>
    <w:rsid w:val="0093450C"/>
    <w:rsid w:val="00A36EF6"/>
    <w:rsid w:val="00DA72FA"/>
    <w:rsid w:val="00DF14D7"/>
    <w:rsid w:val="00E87D2A"/>
    <w:rsid w:val="01025BDF"/>
    <w:rsid w:val="017770E9"/>
    <w:rsid w:val="03E1783D"/>
    <w:rsid w:val="04840CCB"/>
    <w:rsid w:val="057D74F1"/>
    <w:rsid w:val="059A5658"/>
    <w:rsid w:val="07607570"/>
    <w:rsid w:val="080E350D"/>
    <w:rsid w:val="0B8E4AFF"/>
    <w:rsid w:val="0CE06A9D"/>
    <w:rsid w:val="0D9D376D"/>
    <w:rsid w:val="0E0202C3"/>
    <w:rsid w:val="0E1C2B52"/>
    <w:rsid w:val="0F19354B"/>
    <w:rsid w:val="11FF262C"/>
    <w:rsid w:val="126E172F"/>
    <w:rsid w:val="13F5090E"/>
    <w:rsid w:val="14132D1C"/>
    <w:rsid w:val="14B71948"/>
    <w:rsid w:val="15285C79"/>
    <w:rsid w:val="172C630B"/>
    <w:rsid w:val="174635BB"/>
    <w:rsid w:val="17914C39"/>
    <w:rsid w:val="1A25057E"/>
    <w:rsid w:val="1F036D4B"/>
    <w:rsid w:val="2029338F"/>
    <w:rsid w:val="20E00039"/>
    <w:rsid w:val="214841D7"/>
    <w:rsid w:val="21F903AD"/>
    <w:rsid w:val="23A82B18"/>
    <w:rsid w:val="23B57380"/>
    <w:rsid w:val="23C710EF"/>
    <w:rsid w:val="26D91087"/>
    <w:rsid w:val="2A74080D"/>
    <w:rsid w:val="2C7D6E9D"/>
    <w:rsid w:val="2CDF0A78"/>
    <w:rsid w:val="30593EC5"/>
    <w:rsid w:val="3360420D"/>
    <w:rsid w:val="34EC0560"/>
    <w:rsid w:val="3A1958AE"/>
    <w:rsid w:val="3FE14789"/>
    <w:rsid w:val="409A5032"/>
    <w:rsid w:val="4599530C"/>
    <w:rsid w:val="46F72B3E"/>
    <w:rsid w:val="47334429"/>
    <w:rsid w:val="47D5272C"/>
    <w:rsid w:val="48ED08B0"/>
    <w:rsid w:val="48F2781B"/>
    <w:rsid w:val="4A4C588A"/>
    <w:rsid w:val="4B2B4256"/>
    <w:rsid w:val="4C840235"/>
    <w:rsid w:val="4CC32A5F"/>
    <w:rsid w:val="4D8F66A6"/>
    <w:rsid w:val="4FF8249B"/>
    <w:rsid w:val="50905B05"/>
    <w:rsid w:val="529A0E8C"/>
    <w:rsid w:val="55CD7E67"/>
    <w:rsid w:val="5B6B5594"/>
    <w:rsid w:val="5C396EE6"/>
    <w:rsid w:val="5D6436BD"/>
    <w:rsid w:val="5E55107B"/>
    <w:rsid w:val="5E585404"/>
    <w:rsid w:val="5EF51AD7"/>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strokecolor="#739cc3">
      <v:fill angle="90" type="gradient">
        <o:fill v:ext="view" type="gradientUnscaled"/>
      </v:fill>
      <v:stroke color="#739cc3" weight="1.25pt"/>
    </o:shapedefaults>
    <o:shapelayout v:ext="edit">
      <o:idmap v:ext="edit" data="1"/>
    </o:shapelayout>
  </w:shapeDefaults>
  <w:decimalSymbol w:val="."/>
  <w:listSeparator w:val=","/>
  <w14:docId w14:val="3C72AC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3459</Words>
  <Characters>17299</Characters>
  <Application>Microsoft Office Word</Application>
  <DocSecurity>0</DocSecurity>
  <PresentationFormat/>
  <Lines>144</Lines>
  <Paragraphs>41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2018-08-13T12:35:00Z</dcterms:created>
  <dcterms:modified xsi:type="dcterms:W3CDTF">2018-08-13T12:43:00Z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