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FD7" w:rsidRPr="00BF350A" w:rsidRDefault="00FB7CA0" w:rsidP="00CB7FD7">
      <w:pPr>
        <w:jc w:val="center"/>
        <w:rPr>
          <w:rFonts w:ascii="Book Antiqua" w:hAnsi="Book Antiqua" w:cs="Arial"/>
          <w:sz w:val="16"/>
          <w:szCs w:val="16"/>
        </w:rPr>
      </w:pPr>
      <w:r w:rsidRPr="00BF350A">
        <w:rPr>
          <w:noProof/>
          <w:sz w:val="16"/>
          <w:szCs w:val="16"/>
        </w:rPr>
        <w:drawing>
          <wp:inline distT="0" distB="0" distL="0" distR="0">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rsidR="00D94AFC" w:rsidRPr="00BF350A" w:rsidRDefault="00D94AFC">
      <w:pPr>
        <w:rPr>
          <w:rFonts w:ascii="Book Antiqua" w:hAnsi="Book Antiqua" w:cs="Arial"/>
          <w:sz w:val="16"/>
          <w:szCs w:val="16"/>
        </w:rPr>
      </w:pPr>
    </w:p>
    <w:p w:rsidR="00CB7FD7" w:rsidRPr="00CE6902" w:rsidRDefault="00CB7FD7" w:rsidP="00B626FA">
      <w:pPr>
        <w:tabs>
          <w:tab w:val="right" w:pos="9639"/>
        </w:tabs>
        <w:rPr>
          <w:rFonts w:ascii="Book Antiqua" w:hAnsi="Book Antiqua" w:cs="Arial"/>
          <w:b/>
        </w:rPr>
      </w:pPr>
      <w:r w:rsidRPr="00CE6902">
        <w:rPr>
          <w:rFonts w:ascii="Book Antiqua" w:hAnsi="Book Antiqua" w:cs="Arial"/>
          <w:b/>
        </w:rPr>
        <w:t>Upper Tribunal</w:t>
      </w:r>
    </w:p>
    <w:p w:rsidR="007B0824" w:rsidRPr="00CE6902" w:rsidRDefault="00CB7FD7" w:rsidP="00B626FA">
      <w:pPr>
        <w:tabs>
          <w:tab w:val="right" w:pos="9639"/>
        </w:tabs>
        <w:rPr>
          <w:rFonts w:ascii="Book Antiqua" w:hAnsi="Book Antiqua" w:cs="Arial"/>
        </w:rPr>
      </w:pPr>
      <w:r w:rsidRPr="00CE6902">
        <w:rPr>
          <w:rFonts w:ascii="Book Antiqua" w:hAnsi="Book Antiqua" w:cs="Arial"/>
          <w:b/>
        </w:rPr>
        <w:t>(Immigration and Asylum Chamber)</w:t>
      </w:r>
      <w:r w:rsidR="00B626FA" w:rsidRPr="00CE6902">
        <w:rPr>
          <w:rFonts w:ascii="Book Antiqua" w:hAnsi="Book Antiqua" w:cs="Arial"/>
          <w:b/>
        </w:rPr>
        <w:tab/>
      </w:r>
      <w:r w:rsidR="00B3524D" w:rsidRPr="00CE6902">
        <w:rPr>
          <w:rFonts w:ascii="Book Antiqua" w:hAnsi="Book Antiqua" w:cs="Arial"/>
        </w:rPr>
        <w:t>Appeal Number</w:t>
      </w:r>
      <w:r w:rsidR="00D53769" w:rsidRPr="00CE6902">
        <w:rPr>
          <w:rFonts w:ascii="Book Antiqua" w:hAnsi="Book Antiqua" w:cs="Arial"/>
        </w:rPr>
        <w:t>:</w:t>
      </w:r>
      <w:r w:rsidR="00B3524D" w:rsidRPr="00CE6902">
        <w:rPr>
          <w:rFonts w:ascii="Book Antiqua" w:hAnsi="Book Antiqua" w:cs="Arial"/>
        </w:rPr>
        <w:t xml:space="preserve"> </w:t>
      </w:r>
      <w:bookmarkStart w:id="0" w:name="_GoBack"/>
      <w:r w:rsidR="00626080">
        <w:rPr>
          <w:rFonts w:ascii="Book Antiqua" w:hAnsi="Book Antiqua" w:cs="Arial"/>
          <w:caps/>
        </w:rPr>
        <w:t>HU/22432/2016</w:t>
      </w:r>
      <w:bookmarkEnd w:id="0"/>
    </w:p>
    <w:p w:rsidR="00C345E1" w:rsidRPr="00CE6902" w:rsidRDefault="00C345E1" w:rsidP="00C345E1">
      <w:pPr>
        <w:jc w:val="center"/>
        <w:rPr>
          <w:rFonts w:ascii="Book Antiqua" w:hAnsi="Book Antiqua" w:cs="Arial"/>
        </w:rPr>
      </w:pPr>
    </w:p>
    <w:p w:rsidR="00C345E1" w:rsidRPr="00CE6902" w:rsidRDefault="00C345E1" w:rsidP="00C345E1">
      <w:pPr>
        <w:jc w:val="center"/>
        <w:rPr>
          <w:rFonts w:ascii="Book Antiqua" w:hAnsi="Book Antiqua" w:cs="Arial"/>
        </w:rPr>
      </w:pPr>
    </w:p>
    <w:p w:rsidR="00C345E1" w:rsidRPr="00CE6902" w:rsidRDefault="00C345E1" w:rsidP="00C345E1">
      <w:pPr>
        <w:jc w:val="center"/>
        <w:rPr>
          <w:rFonts w:ascii="Book Antiqua" w:hAnsi="Book Antiqua" w:cs="Arial"/>
          <w:b/>
          <w:u w:val="single"/>
        </w:rPr>
      </w:pPr>
      <w:r w:rsidRPr="00CE6902">
        <w:rPr>
          <w:rFonts w:ascii="Book Antiqua" w:hAnsi="Book Antiqua" w:cs="Arial"/>
          <w:b/>
          <w:u w:val="single"/>
        </w:rPr>
        <w:t>THE IMMIGRATION ACTS</w:t>
      </w:r>
    </w:p>
    <w:p w:rsidR="00C345E1" w:rsidRPr="00CE6902" w:rsidRDefault="00C345E1" w:rsidP="00C345E1">
      <w:pPr>
        <w:jc w:val="center"/>
        <w:rPr>
          <w:rFonts w:ascii="Book Antiqua" w:hAnsi="Book Antiqua" w:cs="Arial"/>
          <w:b/>
          <w:u w:val="single"/>
        </w:rPr>
      </w:pPr>
    </w:p>
    <w:p w:rsidR="00C345E1" w:rsidRPr="00CE6902"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CE6902" w:rsidTr="00BF3B8C">
        <w:tc>
          <w:tcPr>
            <w:tcW w:w="6048" w:type="dxa"/>
          </w:tcPr>
          <w:p w:rsidR="00D22636" w:rsidRPr="00CE6902" w:rsidRDefault="00D22636" w:rsidP="004A1848">
            <w:pPr>
              <w:jc w:val="both"/>
              <w:rPr>
                <w:rFonts w:ascii="Book Antiqua" w:hAnsi="Book Antiqua" w:cs="Arial"/>
                <w:b/>
              </w:rPr>
            </w:pPr>
            <w:r w:rsidRPr="00CE6902">
              <w:rPr>
                <w:rFonts w:ascii="Book Antiqua" w:hAnsi="Book Antiqua" w:cs="Arial"/>
                <w:b/>
              </w:rPr>
              <w:t xml:space="preserve">Heard at </w:t>
            </w:r>
            <w:r w:rsidR="00626080">
              <w:rPr>
                <w:rFonts w:ascii="Book Antiqua" w:hAnsi="Book Antiqua" w:cs="Arial"/>
                <w:b/>
              </w:rPr>
              <w:t>Field House</w:t>
            </w:r>
          </w:p>
        </w:tc>
        <w:tc>
          <w:tcPr>
            <w:tcW w:w="3960" w:type="dxa"/>
          </w:tcPr>
          <w:p w:rsidR="00D22636" w:rsidRPr="00CE6902" w:rsidRDefault="00BF3B8C" w:rsidP="004A1848">
            <w:pPr>
              <w:jc w:val="both"/>
              <w:rPr>
                <w:rFonts w:ascii="Book Antiqua" w:hAnsi="Book Antiqua" w:cs="Arial"/>
                <w:b/>
              </w:rPr>
            </w:pPr>
            <w:r>
              <w:rPr>
                <w:rFonts w:ascii="Book Antiqua" w:hAnsi="Book Antiqua" w:cs="Arial"/>
                <w:b/>
              </w:rPr>
              <w:t>Decision &amp; Reasons</w:t>
            </w:r>
            <w:r w:rsidR="00283659" w:rsidRPr="00CE6902">
              <w:rPr>
                <w:rFonts w:ascii="Book Antiqua" w:hAnsi="Book Antiqua" w:cs="Arial"/>
                <w:b/>
              </w:rPr>
              <w:t xml:space="preserve"> Promulgated</w:t>
            </w:r>
          </w:p>
        </w:tc>
      </w:tr>
      <w:tr w:rsidR="00D22636" w:rsidRPr="00CE6902" w:rsidTr="00BF3B8C">
        <w:tc>
          <w:tcPr>
            <w:tcW w:w="6048" w:type="dxa"/>
          </w:tcPr>
          <w:p w:rsidR="00D22636" w:rsidRPr="00CE6902" w:rsidRDefault="00D22636" w:rsidP="004A1848">
            <w:pPr>
              <w:jc w:val="both"/>
              <w:rPr>
                <w:rFonts w:ascii="Book Antiqua" w:hAnsi="Book Antiqua" w:cs="Arial"/>
                <w:b/>
              </w:rPr>
            </w:pPr>
            <w:r w:rsidRPr="00CE6902">
              <w:rPr>
                <w:rFonts w:ascii="Book Antiqua" w:hAnsi="Book Antiqua" w:cs="Arial"/>
                <w:b/>
              </w:rPr>
              <w:t xml:space="preserve">On </w:t>
            </w:r>
            <w:r w:rsidR="00626080">
              <w:rPr>
                <w:rFonts w:ascii="Book Antiqua" w:hAnsi="Book Antiqua" w:cs="Arial"/>
                <w:b/>
              </w:rPr>
              <w:t>16</w:t>
            </w:r>
            <w:r w:rsidR="00626080" w:rsidRPr="00626080">
              <w:rPr>
                <w:rFonts w:ascii="Book Antiqua" w:hAnsi="Book Antiqua" w:cs="Arial"/>
                <w:b/>
                <w:vertAlign w:val="superscript"/>
              </w:rPr>
              <w:t>th</w:t>
            </w:r>
            <w:r w:rsidR="00626080">
              <w:rPr>
                <w:rFonts w:ascii="Book Antiqua" w:hAnsi="Book Antiqua" w:cs="Arial"/>
                <w:b/>
              </w:rPr>
              <w:t xml:space="preserve"> August 2018</w:t>
            </w:r>
          </w:p>
        </w:tc>
        <w:tc>
          <w:tcPr>
            <w:tcW w:w="3960" w:type="dxa"/>
          </w:tcPr>
          <w:p w:rsidR="00D22636" w:rsidRPr="00CE6902" w:rsidRDefault="007B4E8C" w:rsidP="004A1848">
            <w:pPr>
              <w:jc w:val="both"/>
              <w:rPr>
                <w:rFonts w:ascii="Book Antiqua" w:hAnsi="Book Antiqua" w:cs="Arial"/>
                <w:b/>
              </w:rPr>
            </w:pPr>
            <w:r>
              <w:rPr>
                <w:rFonts w:ascii="Book Antiqua" w:hAnsi="Book Antiqua" w:cs="Arial"/>
                <w:b/>
              </w:rPr>
              <w:t>On 3</w:t>
            </w:r>
            <w:r w:rsidRPr="007B4E8C">
              <w:rPr>
                <w:rFonts w:ascii="Book Antiqua" w:hAnsi="Book Antiqua" w:cs="Arial"/>
                <w:b/>
                <w:vertAlign w:val="superscript"/>
              </w:rPr>
              <w:t>rd</w:t>
            </w:r>
            <w:r>
              <w:rPr>
                <w:rFonts w:ascii="Book Antiqua" w:hAnsi="Book Antiqua" w:cs="Arial"/>
                <w:b/>
              </w:rPr>
              <w:t xml:space="preserve"> September 2018</w:t>
            </w:r>
          </w:p>
        </w:tc>
      </w:tr>
      <w:tr w:rsidR="00D22636" w:rsidRPr="00CE6902" w:rsidTr="00BF3B8C">
        <w:tc>
          <w:tcPr>
            <w:tcW w:w="6048" w:type="dxa"/>
          </w:tcPr>
          <w:p w:rsidR="00D22636" w:rsidRPr="00CE6902" w:rsidRDefault="00D22636" w:rsidP="004A1848">
            <w:pPr>
              <w:jc w:val="both"/>
              <w:rPr>
                <w:rFonts w:ascii="Book Antiqua" w:hAnsi="Book Antiqua" w:cs="Arial"/>
                <w:b/>
              </w:rPr>
            </w:pPr>
          </w:p>
        </w:tc>
        <w:tc>
          <w:tcPr>
            <w:tcW w:w="3960" w:type="dxa"/>
          </w:tcPr>
          <w:p w:rsidR="00D22636" w:rsidRPr="00CE6902" w:rsidRDefault="00D22636" w:rsidP="004A1848">
            <w:pPr>
              <w:jc w:val="both"/>
              <w:rPr>
                <w:rFonts w:ascii="Book Antiqua" w:hAnsi="Book Antiqua" w:cs="Arial"/>
                <w:b/>
              </w:rPr>
            </w:pPr>
          </w:p>
        </w:tc>
      </w:tr>
    </w:tbl>
    <w:p w:rsidR="00A15234" w:rsidRPr="00CE6902" w:rsidRDefault="00A15234" w:rsidP="00A15234">
      <w:pPr>
        <w:jc w:val="center"/>
        <w:rPr>
          <w:rFonts w:ascii="Book Antiqua" w:hAnsi="Book Antiqua" w:cs="Arial"/>
        </w:rPr>
      </w:pPr>
    </w:p>
    <w:p w:rsidR="00A15234" w:rsidRPr="00CE6902" w:rsidRDefault="00207617" w:rsidP="00A15234">
      <w:pPr>
        <w:jc w:val="center"/>
        <w:rPr>
          <w:rFonts w:ascii="Book Antiqua" w:hAnsi="Book Antiqua" w:cs="Arial"/>
          <w:b/>
        </w:rPr>
      </w:pPr>
      <w:r w:rsidRPr="00CE6902">
        <w:rPr>
          <w:rFonts w:ascii="Book Antiqua" w:hAnsi="Book Antiqua" w:cs="Arial"/>
          <w:b/>
        </w:rPr>
        <w:t>Befo</w:t>
      </w:r>
      <w:r w:rsidR="00A15234" w:rsidRPr="00CE6902">
        <w:rPr>
          <w:rFonts w:ascii="Book Antiqua" w:hAnsi="Book Antiqua" w:cs="Arial"/>
          <w:b/>
        </w:rPr>
        <w:t>re</w:t>
      </w:r>
    </w:p>
    <w:p w:rsidR="00A15234" w:rsidRPr="00CE6902" w:rsidRDefault="00A15234" w:rsidP="00A15234">
      <w:pPr>
        <w:jc w:val="center"/>
        <w:rPr>
          <w:rFonts w:ascii="Book Antiqua" w:hAnsi="Book Antiqua" w:cs="Arial"/>
          <w:b/>
        </w:rPr>
      </w:pPr>
    </w:p>
    <w:p w:rsidR="00A15234" w:rsidRPr="00CE6902" w:rsidRDefault="00561B4E" w:rsidP="00ED1BAF">
      <w:pPr>
        <w:jc w:val="center"/>
        <w:rPr>
          <w:rFonts w:ascii="Book Antiqua" w:hAnsi="Book Antiqua" w:cs="Arial"/>
          <w:b/>
          <w:caps/>
        </w:rPr>
      </w:pPr>
      <w:r>
        <w:rPr>
          <w:rFonts w:ascii="Book Antiqua" w:hAnsi="Book Antiqua" w:cs="Arial"/>
          <w:b/>
          <w:caps/>
        </w:rPr>
        <w:t xml:space="preserve">DEPUTY </w:t>
      </w:r>
      <w:r w:rsidR="00ED1BAF">
        <w:rPr>
          <w:rFonts w:ascii="Book Antiqua" w:hAnsi="Book Antiqua" w:cs="Arial"/>
          <w:b/>
          <w:caps/>
        </w:rPr>
        <w:t xml:space="preserve">UPPER TRIBUNAL </w:t>
      </w:r>
      <w:r w:rsidR="00B03FBE" w:rsidRPr="00CE6902">
        <w:rPr>
          <w:rFonts w:ascii="Book Antiqua" w:hAnsi="Book Antiqua" w:cs="Arial"/>
          <w:b/>
          <w:caps/>
        </w:rPr>
        <w:t>JUDGE D E TAYLOR</w:t>
      </w:r>
    </w:p>
    <w:p w:rsidR="00A845DC" w:rsidRDefault="00A845DC" w:rsidP="00A15234">
      <w:pPr>
        <w:jc w:val="center"/>
        <w:rPr>
          <w:rFonts w:ascii="Book Antiqua" w:hAnsi="Book Antiqua" w:cs="Arial"/>
          <w:b/>
        </w:rPr>
      </w:pPr>
    </w:p>
    <w:p w:rsidR="00BF350A" w:rsidRPr="00CE6902" w:rsidRDefault="00BF350A" w:rsidP="00A15234">
      <w:pPr>
        <w:jc w:val="center"/>
        <w:rPr>
          <w:rFonts w:ascii="Book Antiqua" w:hAnsi="Book Antiqua" w:cs="Arial"/>
          <w:b/>
        </w:rPr>
      </w:pPr>
    </w:p>
    <w:p w:rsidR="00A845DC" w:rsidRPr="00CE6902" w:rsidRDefault="00A845DC" w:rsidP="00A15234">
      <w:pPr>
        <w:jc w:val="center"/>
        <w:rPr>
          <w:rFonts w:ascii="Book Antiqua" w:hAnsi="Book Antiqua" w:cs="Arial"/>
          <w:b/>
        </w:rPr>
      </w:pPr>
      <w:r w:rsidRPr="00CE6902">
        <w:rPr>
          <w:rFonts w:ascii="Book Antiqua" w:hAnsi="Book Antiqua" w:cs="Arial"/>
          <w:b/>
        </w:rPr>
        <w:t>Between</w:t>
      </w:r>
    </w:p>
    <w:p w:rsidR="00A845DC" w:rsidRPr="00CE6902" w:rsidRDefault="00A845DC" w:rsidP="00A15234">
      <w:pPr>
        <w:jc w:val="center"/>
        <w:rPr>
          <w:rFonts w:ascii="Book Antiqua" w:hAnsi="Book Antiqua" w:cs="Arial"/>
          <w:b/>
        </w:rPr>
      </w:pPr>
    </w:p>
    <w:p w:rsidR="00FB7CA0" w:rsidRDefault="00FB7CA0" w:rsidP="00742A8D">
      <w:pPr>
        <w:jc w:val="center"/>
        <w:rPr>
          <w:rFonts w:ascii="Book Antiqua" w:hAnsi="Book Antiqua" w:cs="Arial"/>
          <w:b/>
          <w:caps/>
        </w:rPr>
      </w:pPr>
      <w:r w:rsidRPr="00CE690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CE6902">
        <w:rPr>
          <w:rFonts w:ascii="Book Antiqua" w:hAnsi="Book Antiqua" w:cs="Arial"/>
          <w:b/>
          <w:caps/>
        </w:rPr>
        <w:instrText xml:space="preserve"> FORMTEXT </w:instrText>
      </w:r>
      <w:r w:rsidRPr="00CE6902">
        <w:rPr>
          <w:rFonts w:ascii="Book Antiqua" w:hAnsi="Book Antiqua" w:cs="Arial"/>
          <w:b/>
          <w:caps/>
        </w:rPr>
      </w:r>
      <w:r w:rsidRPr="00CE6902">
        <w:rPr>
          <w:rFonts w:ascii="Book Antiqua" w:hAnsi="Book Antiqua" w:cs="Arial"/>
          <w:b/>
          <w:caps/>
        </w:rPr>
        <w:fldChar w:fldCharType="separate"/>
      </w:r>
      <w:r w:rsidRPr="00CE6902">
        <w:rPr>
          <w:rFonts w:ascii="Book Antiqua" w:hAnsi="Book Antiqua" w:cs="Arial"/>
          <w:b/>
          <w:caps/>
          <w:noProof/>
        </w:rPr>
        <w:t>THE SECRETARY OF STATE FOR THE HOME DEPARTMENT</w:t>
      </w:r>
      <w:r w:rsidRPr="00CE6902">
        <w:rPr>
          <w:rFonts w:ascii="Book Antiqua" w:hAnsi="Book Antiqua" w:cs="Arial"/>
          <w:b/>
          <w:caps/>
        </w:rPr>
        <w:fldChar w:fldCharType="end"/>
      </w:r>
      <w:bookmarkEnd w:id="1"/>
    </w:p>
    <w:p w:rsidR="00704B61" w:rsidRPr="00CE6902" w:rsidRDefault="00704B61" w:rsidP="00704B61">
      <w:pPr>
        <w:jc w:val="right"/>
        <w:rPr>
          <w:rFonts w:ascii="Book Antiqua" w:hAnsi="Book Antiqua" w:cs="Arial"/>
          <w:u w:val="single"/>
        </w:rPr>
      </w:pPr>
      <w:r w:rsidRPr="00CE6902">
        <w:rPr>
          <w:rFonts w:ascii="Book Antiqua" w:hAnsi="Book Antiqua" w:cs="Arial"/>
          <w:u w:val="single"/>
        </w:rPr>
        <w:t>Appellant</w:t>
      </w:r>
    </w:p>
    <w:p w:rsidR="00704B61" w:rsidRPr="00CE6902" w:rsidRDefault="00DD5071" w:rsidP="00704B61">
      <w:pPr>
        <w:jc w:val="center"/>
        <w:rPr>
          <w:rFonts w:ascii="Book Antiqua" w:hAnsi="Book Antiqua" w:cs="Arial"/>
          <w:b/>
        </w:rPr>
      </w:pPr>
      <w:r w:rsidRPr="00CE6902">
        <w:rPr>
          <w:rFonts w:ascii="Book Antiqua" w:hAnsi="Book Antiqua" w:cs="Arial"/>
          <w:b/>
        </w:rPr>
        <w:t>and</w:t>
      </w:r>
    </w:p>
    <w:p w:rsidR="00DD5071" w:rsidRPr="00CE6902" w:rsidRDefault="00DD5071" w:rsidP="00704B61">
      <w:pPr>
        <w:jc w:val="center"/>
        <w:rPr>
          <w:rFonts w:ascii="Book Antiqua" w:hAnsi="Book Antiqua" w:cs="Arial"/>
          <w:b/>
        </w:rPr>
      </w:pPr>
    </w:p>
    <w:p w:rsidR="00FB7CA0" w:rsidRDefault="00FB7CA0" w:rsidP="00FB7CA0">
      <w:pPr>
        <w:jc w:val="center"/>
        <w:rPr>
          <w:rFonts w:ascii="Book Antiqua" w:hAnsi="Book Antiqua" w:cs="Arial"/>
          <w:b/>
          <w:caps/>
        </w:rPr>
      </w:pPr>
      <w:r>
        <w:rPr>
          <w:rFonts w:ascii="Book Antiqua" w:hAnsi="Book Antiqua" w:cs="Arial"/>
          <w:b/>
          <w:caps/>
        </w:rPr>
        <w:t xml:space="preserve">mrs ahlam </w:t>
      </w:r>
      <w:r w:rsidR="00BF350A">
        <w:rPr>
          <w:rFonts w:ascii="Book Antiqua" w:hAnsi="Book Antiqua" w:cs="Arial"/>
          <w:b/>
          <w:caps/>
        </w:rPr>
        <w:t>[</w:t>
      </w:r>
      <w:r>
        <w:rPr>
          <w:rFonts w:ascii="Book Antiqua" w:hAnsi="Book Antiqua" w:cs="Arial"/>
          <w:b/>
          <w:caps/>
        </w:rPr>
        <w:t>a</w:t>
      </w:r>
      <w:r w:rsidR="00BF350A">
        <w:rPr>
          <w:rFonts w:ascii="Book Antiqua" w:hAnsi="Book Antiqua" w:cs="Arial"/>
          <w:b/>
          <w:caps/>
        </w:rPr>
        <w:t>]</w:t>
      </w:r>
    </w:p>
    <w:p w:rsidR="00FB7CA0" w:rsidRPr="00BF350A" w:rsidRDefault="00FB7CA0" w:rsidP="00FB7CA0">
      <w:pPr>
        <w:jc w:val="center"/>
        <w:rPr>
          <w:rFonts w:ascii="Book Antiqua" w:hAnsi="Book Antiqua" w:cs="Arial"/>
          <w:b/>
          <w:caps/>
          <w:sz w:val="22"/>
        </w:rPr>
      </w:pPr>
      <w:r w:rsidRPr="00BF350A">
        <w:rPr>
          <w:rFonts w:ascii="Book Antiqua" w:hAnsi="Book Antiqua" w:cs="Arial"/>
          <w:b/>
          <w:caps/>
          <w:sz w:val="22"/>
        </w:rPr>
        <w:t>(ANONYMITY DIRECTION</w:t>
      </w:r>
      <w:r w:rsidR="001C5EC8" w:rsidRPr="00BF350A">
        <w:rPr>
          <w:rFonts w:ascii="Book Antiqua" w:hAnsi="Book Antiqua" w:cs="Arial"/>
          <w:b/>
          <w:caps/>
          <w:sz w:val="22"/>
        </w:rPr>
        <w:t xml:space="preserve"> NOT MADE</w:t>
      </w:r>
      <w:r w:rsidRPr="00BF350A">
        <w:rPr>
          <w:rFonts w:ascii="Book Antiqua" w:hAnsi="Book Antiqua" w:cs="Arial"/>
          <w:b/>
          <w:caps/>
          <w:sz w:val="22"/>
        </w:rPr>
        <w:t>)</w:t>
      </w:r>
    </w:p>
    <w:p w:rsidR="00DD5071" w:rsidRPr="00CE6902" w:rsidRDefault="00DD5071" w:rsidP="00DD5071">
      <w:pPr>
        <w:jc w:val="right"/>
        <w:rPr>
          <w:rFonts w:ascii="Book Antiqua" w:hAnsi="Book Antiqua" w:cs="Arial"/>
          <w:u w:val="single"/>
        </w:rPr>
      </w:pPr>
      <w:r w:rsidRPr="00CE6902">
        <w:rPr>
          <w:rFonts w:ascii="Book Antiqua" w:hAnsi="Book Antiqua" w:cs="Arial"/>
          <w:u w:val="single"/>
        </w:rPr>
        <w:t>Respondent</w:t>
      </w:r>
    </w:p>
    <w:p w:rsidR="00DD5071" w:rsidRPr="00CE6902" w:rsidRDefault="00DD5071" w:rsidP="00DD5071">
      <w:pPr>
        <w:rPr>
          <w:rFonts w:ascii="Book Antiqua" w:hAnsi="Book Antiqua" w:cs="Arial"/>
          <w:u w:val="single"/>
        </w:rPr>
      </w:pPr>
    </w:p>
    <w:p w:rsidR="00DD5071" w:rsidRPr="00CE6902" w:rsidRDefault="00DD5071" w:rsidP="00DD5071">
      <w:pPr>
        <w:rPr>
          <w:rFonts w:ascii="Book Antiqua" w:hAnsi="Book Antiqua" w:cs="Arial"/>
          <w:u w:val="single"/>
        </w:rPr>
      </w:pPr>
    </w:p>
    <w:p w:rsidR="00DD5071" w:rsidRPr="00CE6902" w:rsidRDefault="00DE7DB7" w:rsidP="00DD5071">
      <w:pPr>
        <w:rPr>
          <w:rFonts w:ascii="Book Antiqua" w:hAnsi="Book Antiqua" w:cs="Arial"/>
        </w:rPr>
      </w:pPr>
      <w:r w:rsidRPr="00CE6902">
        <w:rPr>
          <w:rFonts w:ascii="Book Antiqua" w:hAnsi="Book Antiqua" w:cs="Arial"/>
          <w:b/>
          <w:u w:val="single"/>
        </w:rPr>
        <w:t>Representation</w:t>
      </w:r>
      <w:r w:rsidRPr="00CE6902">
        <w:rPr>
          <w:rFonts w:ascii="Book Antiqua" w:hAnsi="Book Antiqua" w:cs="Arial"/>
          <w:b/>
        </w:rPr>
        <w:t>:</w:t>
      </w:r>
    </w:p>
    <w:p w:rsidR="00DE7DB7" w:rsidRPr="00CE6902" w:rsidRDefault="00DE7DB7" w:rsidP="00DE7DB7">
      <w:pPr>
        <w:tabs>
          <w:tab w:val="left" w:pos="2520"/>
        </w:tabs>
        <w:rPr>
          <w:rFonts w:ascii="Book Antiqua" w:hAnsi="Book Antiqua" w:cs="Arial"/>
        </w:rPr>
      </w:pPr>
      <w:r w:rsidRPr="00CE6902">
        <w:rPr>
          <w:rFonts w:ascii="Book Antiqua" w:hAnsi="Book Antiqua" w:cs="Arial"/>
        </w:rPr>
        <w:t>For the Appellant:</w:t>
      </w:r>
      <w:r w:rsidRPr="00CE6902">
        <w:rPr>
          <w:rFonts w:ascii="Book Antiqua" w:hAnsi="Book Antiqua" w:cs="Arial"/>
        </w:rPr>
        <w:tab/>
      </w:r>
      <w:r w:rsidR="00626080">
        <w:rPr>
          <w:rFonts w:ascii="Book Antiqua" w:hAnsi="Book Antiqua" w:cs="Arial"/>
        </w:rPr>
        <w:t xml:space="preserve">Mr S Walker, Home Office Presenting Officer </w:t>
      </w:r>
    </w:p>
    <w:p w:rsidR="00DE7DB7" w:rsidRPr="00CE6902" w:rsidRDefault="00DE7DB7" w:rsidP="00DE7DB7">
      <w:pPr>
        <w:tabs>
          <w:tab w:val="left" w:pos="2520"/>
        </w:tabs>
        <w:rPr>
          <w:rFonts w:ascii="Book Antiqua" w:hAnsi="Book Antiqua" w:cs="Arial"/>
        </w:rPr>
      </w:pPr>
      <w:r w:rsidRPr="00CE6902">
        <w:rPr>
          <w:rFonts w:ascii="Book Antiqua" w:hAnsi="Book Antiqua" w:cs="Arial"/>
        </w:rPr>
        <w:t>For the Respondent:</w:t>
      </w:r>
      <w:r w:rsidRPr="00CE6902">
        <w:rPr>
          <w:rFonts w:ascii="Book Antiqua" w:hAnsi="Book Antiqua" w:cs="Arial"/>
        </w:rPr>
        <w:tab/>
      </w:r>
      <w:r w:rsidR="00626080">
        <w:rPr>
          <w:rFonts w:ascii="Book Antiqua" w:hAnsi="Book Antiqua" w:cs="Arial"/>
        </w:rPr>
        <w:t>Ms Rachel Francis, Counsel instructed by Milestone Solicitors</w:t>
      </w:r>
    </w:p>
    <w:p w:rsidR="00DE7DB7" w:rsidRPr="00CE6902" w:rsidRDefault="00DE7DB7" w:rsidP="00402B9E">
      <w:pPr>
        <w:tabs>
          <w:tab w:val="left" w:pos="2520"/>
        </w:tabs>
        <w:jc w:val="center"/>
        <w:rPr>
          <w:rFonts w:ascii="Book Antiqua" w:hAnsi="Book Antiqua" w:cs="Arial"/>
        </w:rPr>
      </w:pPr>
    </w:p>
    <w:p w:rsidR="00DE7DB7" w:rsidRPr="00CE6902" w:rsidRDefault="00DE7DB7" w:rsidP="00402B9E">
      <w:pPr>
        <w:tabs>
          <w:tab w:val="left" w:pos="2520"/>
        </w:tabs>
        <w:jc w:val="center"/>
        <w:rPr>
          <w:rFonts w:ascii="Book Antiqua" w:hAnsi="Book Antiqua" w:cs="Arial"/>
        </w:rPr>
      </w:pPr>
    </w:p>
    <w:p w:rsidR="00DE7DB7" w:rsidRPr="00CE6902" w:rsidRDefault="00BF3B8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E6902">
        <w:rPr>
          <w:rFonts w:ascii="Book Antiqua" w:hAnsi="Book Antiqua" w:cs="Arial"/>
          <w:b/>
          <w:u w:val="single"/>
        </w:rPr>
        <w:t>AND REASONS</w:t>
      </w:r>
    </w:p>
    <w:p w:rsidR="00626080" w:rsidRDefault="00626080" w:rsidP="00C665DF">
      <w:pPr>
        <w:numPr>
          <w:ilvl w:val="0"/>
          <w:numId w:val="3"/>
        </w:numPr>
        <w:spacing w:before="240"/>
        <w:jc w:val="both"/>
        <w:rPr>
          <w:rFonts w:ascii="Book Antiqua" w:hAnsi="Book Antiqua" w:cs="Arial"/>
        </w:rPr>
      </w:pPr>
      <w:r>
        <w:rPr>
          <w:rFonts w:ascii="Book Antiqua" w:hAnsi="Book Antiqua" w:cs="Arial"/>
        </w:rPr>
        <w:t>This is the Secretary of State’s appeal against the decision of Judge Greasley made following a hearing at Hatton Cross on 25</w:t>
      </w:r>
      <w:r w:rsidRPr="00626080">
        <w:rPr>
          <w:rFonts w:ascii="Book Antiqua" w:hAnsi="Book Antiqua" w:cs="Arial"/>
          <w:vertAlign w:val="superscript"/>
        </w:rPr>
        <w:t>th</w:t>
      </w:r>
      <w:r>
        <w:rPr>
          <w:rFonts w:ascii="Book Antiqua" w:hAnsi="Book Antiqua" w:cs="Arial"/>
        </w:rPr>
        <w:t xml:space="preserve"> January 2018.</w:t>
      </w:r>
    </w:p>
    <w:p w:rsidR="00C665DF" w:rsidRDefault="00626080" w:rsidP="00C665DF">
      <w:pPr>
        <w:numPr>
          <w:ilvl w:val="0"/>
          <w:numId w:val="3"/>
        </w:numPr>
        <w:spacing w:before="240"/>
        <w:jc w:val="both"/>
        <w:rPr>
          <w:rFonts w:ascii="Book Antiqua" w:hAnsi="Book Antiqua" w:cs="Arial"/>
        </w:rPr>
      </w:pPr>
      <w:r>
        <w:rPr>
          <w:rFonts w:ascii="Book Antiqua" w:hAnsi="Book Antiqua" w:cs="Arial"/>
        </w:rPr>
        <w:t>The claimant is a citizen of Algeria born on 19</w:t>
      </w:r>
      <w:r w:rsidRPr="00626080">
        <w:rPr>
          <w:rFonts w:ascii="Book Antiqua" w:hAnsi="Book Antiqua" w:cs="Arial"/>
          <w:vertAlign w:val="superscript"/>
        </w:rPr>
        <w:t>th</w:t>
      </w:r>
      <w:r>
        <w:rPr>
          <w:rFonts w:ascii="Book Antiqua" w:hAnsi="Book Antiqua" w:cs="Arial"/>
        </w:rPr>
        <w:t xml:space="preserve"> August 1980.  She arrived in the UK as a visitor with leave to remain from 1</w:t>
      </w:r>
      <w:r w:rsidRPr="00626080">
        <w:rPr>
          <w:rFonts w:ascii="Book Antiqua" w:hAnsi="Book Antiqua" w:cs="Arial"/>
          <w:vertAlign w:val="superscript"/>
        </w:rPr>
        <w:t>st</w:t>
      </w:r>
      <w:r>
        <w:rPr>
          <w:rFonts w:ascii="Book Antiqua" w:hAnsi="Book Antiqua" w:cs="Arial"/>
        </w:rPr>
        <w:t xml:space="preserve"> December 2015 until 1</w:t>
      </w:r>
      <w:r w:rsidRPr="00626080">
        <w:rPr>
          <w:rFonts w:ascii="Book Antiqua" w:hAnsi="Book Antiqua" w:cs="Arial"/>
          <w:vertAlign w:val="superscript"/>
        </w:rPr>
        <w:t>st</w:t>
      </w:r>
      <w:r>
        <w:rPr>
          <w:rFonts w:ascii="Book Antiqua" w:hAnsi="Book Antiqua" w:cs="Arial"/>
        </w:rPr>
        <w:t xml:space="preserve"> June 2016 having been refused leave to enter on three previous occasions.  She is married to a British citizen and the couple have two young children born in April 2012 and October 2013.   The children are British citizens</w:t>
      </w:r>
      <w:r w:rsidR="00217A1F">
        <w:rPr>
          <w:rFonts w:ascii="Book Antiqua" w:hAnsi="Book Antiqua" w:cs="Arial"/>
        </w:rPr>
        <w:t>,</w:t>
      </w:r>
      <w:r>
        <w:rPr>
          <w:rFonts w:ascii="Book Antiqua" w:hAnsi="Book Antiqua" w:cs="Arial"/>
        </w:rPr>
        <w:t xml:space="preserve"> as is her husband.</w:t>
      </w:r>
    </w:p>
    <w:p w:rsidR="00626080" w:rsidRDefault="00626080" w:rsidP="00C665DF">
      <w:pPr>
        <w:numPr>
          <w:ilvl w:val="0"/>
          <w:numId w:val="3"/>
        </w:numPr>
        <w:spacing w:before="240"/>
        <w:jc w:val="both"/>
        <w:rPr>
          <w:rFonts w:ascii="Book Antiqua" w:hAnsi="Book Antiqua" w:cs="Arial"/>
        </w:rPr>
      </w:pPr>
      <w:r>
        <w:rPr>
          <w:rFonts w:ascii="Book Antiqua" w:hAnsi="Book Antiqua" w:cs="Arial"/>
        </w:rPr>
        <w:lastRenderedPageBreak/>
        <w:t>The claimant returned to Algeria in January 2016 but came back to the UK one month later and made the present application for leave to remain as the partner of her British national spouse.  She was refused and the appeal came before Judge Greasley who allowed the appeal.</w:t>
      </w:r>
    </w:p>
    <w:p w:rsidR="00591F1C" w:rsidRDefault="00591F1C" w:rsidP="00C665DF">
      <w:pPr>
        <w:numPr>
          <w:ilvl w:val="0"/>
          <w:numId w:val="3"/>
        </w:numPr>
        <w:spacing w:before="240"/>
        <w:jc w:val="both"/>
        <w:rPr>
          <w:rFonts w:ascii="Book Antiqua" w:hAnsi="Book Antiqua" w:cs="Arial"/>
        </w:rPr>
      </w:pPr>
      <w:r>
        <w:rPr>
          <w:rFonts w:ascii="Book Antiqua" w:hAnsi="Book Antiqua" w:cs="Arial"/>
        </w:rPr>
        <w:t>The Secretary of State</w:t>
      </w:r>
      <w:r w:rsidR="00626080">
        <w:rPr>
          <w:rFonts w:ascii="Book Antiqua" w:hAnsi="Book Antiqua" w:cs="Arial"/>
        </w:rPr>
        <w:t xml:space="preserve"> sought permission to appeal against Judge Greasley’s decisi</w:t>
      </w:r>
      <w:r>
        <w:rPr>
          <w:rFonts w:ascii="Book Antiqua" w:hAnsi="Book Antiqua" w:cs="Arial"/>
        </w:rPr>
        <w:t>on on the grounds that he</w:t>
      </w:r>
      <w:r w:rsidR="00626080">
        <w:rPr>
          <w:rFonts w:ascii="Book Antiqua" w:hAnsi="Book Antiqua" w:cs="Arial"/>
        </w:rPr>
        <w:t xml:space="preserve"> had effectively treated the children’s best interests as a trump card, had failed to give adequate consideration as to whether the claimant should be expected to return to Algeria in order to make the appropriate entry clearance application and had erred in his reliance upon the cases of </w:t>
      </w:r>
      <w:r w:rsidR="00626080" w:rsidRPr="003F3E19">
        <w:rPr>
          <w:rFonts w:ascii="Book Antiqua" w:hAnsi="Book Antiqua" w:cs="Arial"/>
          <w:u w:val="single"/>
        </w:rPr>
        <w:t>Zambrano</w:t>
      </w:r>
      <w:r w:rsidR="00626080">
        <w:rPr>
          <w:rFonts w:ascii="Book Antiqua" w:hAnsi="Book Antiqua" w:cs="Arial"/>
        </w:rPr>
        <w:t xml:space="preserve"> and </w:t>
      </w:r>
      <w:r w:rsidR="00626080" w:rsidRPr="003F3E19">
        <w:rPr>
          <w:rFonts w:ascii="Book Antiqua" w:hAnsi="Book Antiqua" w:cs="Arial"/>
          <w:u w:val="single"/>
        </w:rPr>
        <w:t>SF and Others</w:t>
      </w:r>
      <w:r w:rsidR="00626080">
        <w:rPr>
          <w:rFonts w:ascii="Book Antiqua" w:hAnsi="Book Antiqua" w:cs="Arial"/>
        </w:rPr>
        <w:t xml:space="preserve"> (guidance post 2014) Albania [</w:t>
      </w:r>
      <w:r w:rsidR="00211C06">
        <w:rPr>
          <w:rFonts w:ascii="Book Antiqua" w:hAnsi="Book Antiqua" w:cs="Arial"/>
        </w:rPr>
        <w:t xml:space="preserve">2017] UKUT 11020.  </w:t>
      </w:r>
    </w:p>
    <w:p w:rsidR="00626080" w:rsidRDefault="00211C06" w:rsidP="00C665DF">
      <w:pPr>
        <w:numPr>
          <w:ilvl w:val="0"/>
          <w:numId w:val="3"/>
        </w:numPr>
        <w:spacing w:before="240"/>
        <w:jc w:val="both"/>
        <w:rPr>
          <w:rFonts w:ascii="Book Antiqua" w:hAnsi="Book Antiqua" w:cs="Arial"/>
        </w:rPr>
      </w:pPr>
      <w:r>
        <w:rPr>
          <w:rFonts w:ascii="Book Antiqua" w:hAnsi="Book Antiqua" w:cs="Arial"/>
        </w:rPr>
        <w:t>Permission to appeal was granted by Judge Burrell on 4</w:t>
      </w:r>
      <w:r w:rsidRPr="00211C06">
        <w:rPr>
          <w:rFonts w:ascii="Book Antiqua" w:hAnsi="Book Antiqua" w:cs="Arial"/>
          <w:vertAlign w:val="superscript"/>
        </w:rPr>
        <w:t>th</w:t>
      </w:r>
      <w:r>
        <w:rPr>
          <w:rFonts w:ascii="Book Antiqua" w:hAnsi="Book Antiqua" w:cs="Arial"/>
        </w:rPr>
        <w:t xml:space="preserve"> June 2018.  The claimant then served a detailed response on 8</w:t>
      </w:r>
      <w:r w:rsidRPr="00211C06">
        <w:rPr>
          <w:rFonts w:ascii="Book Antiqua" w:hAnsi="Book Antiqua" w:cs="Arial"/>
          <w:vertAlign w:val="superscript"/>
        </w:rPr>
        <w:t>th</w:t>
      </w:r>
      <w:r>
        <w:rPr>
          <w:rFonts w:ascii="Book Antiqua" w:hAnsi="Book Antiqua" w:cs="Arial"/>
        </w:rPr>
        <w:t xml:space="preserve"> July 2018.</w:t>
      </w:r>
    </w:p>
    <w:p w:rsidR="00211C06" w:rsidRDefault="00211C06" w:rsidP="00211C06">
      <w:pPr>
        <w:spacing w:before="240"/>
        <w:jc w:val="both"/>
        <w:rPr>
          <w:rFonts w:ascii="Book Antiqua" w:hAnsi="Book Antiqua" w:cs="Arial"/>
        </w:rPr>
      </w:pPr>
      <w:r>
        <w:rPr>
          <w:rFonts w:ascii="Book Antiqua" w:hAnsi="Book Antiqua" w:cs="Arial"/>
          <w:b/>
          <w:u w:val="single"/>
        </w:rPr>
        <w:t>The Hearing</w:t>
      </w:r>
    </w:p>
    <w:p w:rsidR="00211C06" w:rsidRDefault="00211C06" w:rsidP="00C665DF">
      <w:pPr>
        <w:numPr>
          <w:ilvl w:val="0"/>
          <w:numId w:val="3"/>
        </w:numPr>
        <w:spacing w:before="240"/>
        <w:jc w:val="both"/>
        <w:rPr>
          <w:rFonts w:ascii="Book Antiqua" w:hAnsi="Book Antiqua" w:cs="Arial"/>
        </w:rPr>
      </w:pPr>
      <w:r>
        <w:rPr>
          <w:rFonts w:ascii="Book Antiqua" w:hAnsi="Book Antiqua" w:cs="Arial"/>
        </w:rPr>
        <w:t xml:space="preserve">At the hearing Mr Walker acknowledged that the Rule 24 response </w:t>
      </w:r>
      <w:r w:rsidR="00591F1C">
        <w:rPr>
          <w:rFonts w:ascii="Book Antiqua" w:hAnsi="Book Antiqua" w:cs="Arial"/>
        </w:rPr>
        <w:t xml:space="preserve">filed by the claimant’s solicitors, </w:t>
      </w:r>
      <w:r>
        <w:rPr>
          <w:rFonts w:ascii="Book Antiqua" w:hAnsi="Book Antiqua" w:cs="Arial"/>
        </w:rPr>
        <w:t xml:space="preserve">had been extremely helpful and whilst he was not in a position to </w:t>
      </w:r>
      <w:r w:rsidR="00591F1C">
        <w:rPr>
          <w:rFonts w:ascii="Book Antiqua" w:hAnsi="Book Antiqua" w:cs="Arial"/>
        </w:rPr>
        <w:t>withdraw the grounds of a</w:t>
      </w:r>
      <w:r>
        <w:rPr>
          <w:rFonts w:ascii="Book Antiqua" w:hAnsi="Book Antiqua" w:cs="Arial"/>
        </w:rPr>
        <w:t xml:space="preserve">ppeal he did not wish to make any submissions upon them.  </w:t>
      </w:r>
    </w:p>
    <w:p w:rsidR="00211C06" w:rsidRDefault="00211C06" w:rsidP="00C665DF">
      <w:pPr>
        <w:numPr>
          <w:ilvl w:val="0"/>
          <w:numId w:val="3"/>
        </w:numPr>
        <w:spacing w:before="240"/>
        <w:jc w:val="both"/>
        <w:rPr>
          <w:rFonts w:ascii="Book Antiqua" w:hAnsi="Book Antiqua" w:cs="Arial"/>
        </w:rPr>
      </w:pPr>
      <w:r>
        <w:rPr>
          <w:rFonts w:ascii="Book Antiqua" w:hAnsi="Book Antiqua" w:cs="Arial"/>
        </w:rPr>
        <w:t>Ms Francis relied on her reply and submitted that the decision should stand.</w:t>
      </w:r>
    </w:p>
    <w:p w:rsidR="00211C06" w:rsidRDefault="00211C06" w:rsidP="00211C06">
      <w:pPr>
        <w:spacing w:before="240"/>
        <w:jc w:val="both"/>
        <w:rPr>
          <w:rFonts w:ascii="Book Antiqua" w:hAnsi="Book Antiqua" w:cs="Arial"/>
        </w:rPr>
      </w:pPr>
      <w:r>
        <w:rPr>
          <w:rFonts w:ascii="Book Antiqua" w:hAnsi="Book Antiqua" w:cs="Arial"/>
          <w:b/>
          <w:u w:val="single"/>
        </w:rPr>
        <w:t>Findings and Conclusions</w:t>
      </w:r>
    </w:p>
    <w:p w:rsidR="00211C06" w:rsidRDefault="00211C06" w:rsidP="00C665DF">
      <w:pPr>
        <w:numPr>
          <w:ilvl w:val="0"/>
          <w:numId w:val="3"/>
        </w:numPr>
        <w:spacing w:before="240"/>
        <w:jc w:val="both"/>
        <w:rPr>
          <w:rFonts w:ascii="Book Antiqua" w:hAnsi="Book Antiqua" w:cs="Arial"/>
        </w:rPr>
      </w:pPr>
      <w:r>
        <w:rPr>
          <w:rFonts w:ascii="Book Antiqua" w:hAnsi="Book Antiqua" w:cs="Arial"/>
        </w:rPr>
        <w:t>It is incorrect to say that the judge treated the best interests of the children as a trump card</w:t>
      </w:r>
      <w:r w:rsidR="00591F1C">
        <w:rPr>
          <w:rFonts w:ascii="Book Antiqua" w:hAnsi="Book Antiqua" w:cs="Arial"/>
        </w:rPr>
        <w:t>.  H</w:t>
      </w:r>
      <w:r>
        <w:rPr>
          <w:rFonts w:ascii="Book Antiqua" w:hAnsi="Book Antiqua" w:cs="Arial"/>
        </w:rPr>
        <w:t>e did consider their best interests in some detail</w:t>
      </w:r>
      <w:r w:rsidR="00591F1C">
        <w:rPr>
          <w:rFonts w:ascii="Book Antiqua" w:hAnsi="Book Antiqua" w:cs="Arial"/>
        </w:rPr>
        <w:t>,</w:t>
      </w:r>
      <w:r>
        <w:rPr>
          <w:rFonts w:ascii="Book Antiqua" w:hAnsi="Book Antiqua" w:cs="Arial"/>
        </w:rPr>
        <w:t xml:space="preserve"> but also had regard to other factors and specifically stated that they were only one factor to be considered in the balancing exercise as a whole.</w:t>
      </w:r>
    </w:p>
    <w:p w:rsidR="00211C06" w:rsidRDefault="00211C06" w:rsidP="00C665DF">
      <w:pPr>
        <w:numPr>
          <w:ilvl w:val="0"/>
          <w:numId w:val="3"/>
        </w:numPr>
        <w:spacing w:before="240"/>
        <w:jc w:val="both"/>
        <w:rPr>
          <w:rFonts w:ascii="Book Antiqua" w:hAnsi="Book Antiqua" w:cs="Arial"/>
        </w:rPr>
      </w:pPr>
      <w:r>
        <w:rPr>
          <w:rFonts w:ascii="Book Antiqua" w:hAnsi="Book Antiqua" w:cs="Arial"/>
        </w:rPr>
        <w:t>It is simply wrong to state that there was no consideration as to whether the claimant should return to apply for entry clearance</w:t>
      </w:r>
      <w:r w:rsidR="003F3E19">
        <w:rPr>
          <w:rFonts w:ascii="Book Antiqua" w:hAnsi="Book Antiqua" w:cs="Arial"/>
        </w:rPr>
        <w:t>.  At</w:t>
      </w:r>
      <w:r>
        <w:rPr>
          <w:rFonts w:ascii="Book Antiqua" w:hAnsi="Book Antiqua" w:cs="Arial"/>
        </w:rPr>
        <w:t xml:space="preserve"> paragraph 29 the judge stated that it was not reasonable or practical to expect the claimant to make an out of country application since the two very young children will be separated from their mother for an uncertain period of time.</w:t>
      </w:r>
    </w:p>
    <w:p w:rsidR="00211C06" w:rsidRDefault="00211C06" w:rsidP="00C665DF">
      <w:pPr>
        <w:numPr>
          <w:ilvl w:val="0"/>
          <w:numId w:val="3"/>
        </w:numPr>
        <w:spacing w:before="240"/>
        <w:jc w:val="both"/>
        <w:rPr>
          <w:rFonts w:ascii="Book Antiqua" w:hAnsi="Book Antiqua" w:cs="Arial"/>
        </w:rPr>
      </w:pPr>
      <w:r>
        <w:rPr>
          <w:rFonts w:ascii="Book Antiqua" w:hAnsi="Book Antiqua" w:cs="Arial"/>
        </w:rPr>
        <w:t xml:space="preserve">The Rule 24 response cites the policy guidance at paragraph 11.2.3 Appendix FM 1.0 family life (as a partner or parent) and private life: </w:t>
      </w:r>
      <w:proofErr w:type="gramStart"/>
      <w:r>
        <w:rPr>
          <w:rFonts w:ascii="Book Antiqua" w:hAnsi="Book Antiqua" w:cs="Arial"/>
        </w:rPr>
        <w:t>ten year</w:t>
      </w:r>
      <w:proofErr w:type="gramEnd"/>
      <w:r>
        <w:rPr>
          <w:rFonts w:ascii="Book Antiqua" w:hAnsi="Book Antiqua" w:cs="Arial"/>
        </w:rPr>
        <w:t xml:space="preserve"> route as follows:</w:t>
      </w:r>
    </w:p>
    <w:p w:rsidR="00A81EA1" w:rsidRDefault="003F3E19" w:rsidP="00BF350A">
      <w:pPr>
        <w:spacing w:before="120"/>
        <w:ind w:left="1134"/>
        <w:jc w:val="both"/>
        <w:rPr>
          <w:rFonts w:ascii="Book Antiqua" w:hAnsi="Book Antiqua" w:cs="Arial"/>
        </w:rPr>
      </w:pPr>
      <w:r>
        <w:rPr>
          <w:rFonts w:ascii="Book Antiqua" w:hAnsi="Book Antiqua" w:cs="Arial"/>
        </w:rPr>
        <w:t>“</w:t>
      </w:r>
      <w:r w:rsidR="00211C06">
        <w:rPr>
          <w:rFonts w:ascii="Book Antiqua" w:hAnsi="Book Antiqua" w:cs="Arial"/>
        </w:rPr>
        <w:t>Save in cases involving criminality the decision-maker must not take a decision in relation to the parent or primary carer of a British citizen child where the effect of that decision would be to force that British child to leave the EU regardless of the age of that child.</w:t>
      </w:r>
      <w:r w:rsidR="00A81EA1">
        <w:rPr>
          <w:rFonts w:ascii="Book Antiqua" w:hAnsi="Book Antiqua" w:cs="Arial"/>
        </w:rPr>
        <w:t xml:space="preserve">  This reflects the European Court of Justice judgment in </w:t>
      </w:r>
      <w:r w:rsidR="00A81EA1" w:rsidRPr="00A81EA1">
        <w:rPr>
          <w:rFonts w:ascii="Book Antiqua" w:hAnsi="Book Antiqua" w:cs="Arial"/>
          <w:u w:val="single"/>
        </w:rPr>
        <w:t>Zambrano</w:t>
      </w:r>
      <w:r w:rsidR="00A81EA1">
        <w:rPr>
          <w:rFonts w:ascii="Book Antiqua" w:hAnsi="Book Antiqua" w:cs="Arial"/>
        </w:rPr>
        <w:t>.</w:t>
      </w:r>
    </w:p>
    <w:p w:rsidR="00A81EA1" w:rsidRDefault="00A81EA1" w:rsidP="00BF350A">
      <w:pPr>
        <w:spacing w:before="120"/>
        <w:ind w:left="1134"/>
        <w:jc w:val="both"/>
        <w:rPr>
          <w:rFonts w:ascii="Book Antiqua" w:hAnsi="Book Antiqua" w:cs="Arial"/>
        </w:rPr>
      </w:pPr>
      <w:r>
        <w:rPr>
          <w:rFonts w:ascii="Book Antiqua" w:hAnsi="Book Antiqua" w:cs="Arial"/>
        </w:rPr>
        <w:t>In such cases it would usually be appropriate to grant leave to the parent or primary carer, to enable them to remain in the UK with the child, provided that there is satisfactory evidence of a genuine and subsisting parental relationship.</w:t>
      </w:r>
    </w:p>
    <w:p w:rsidR="00A81EA1" w:rsidRDefault="00A81EA1" w:rsidP="00BF350A">
      <w:pPr>
        <w:spacing w:before="120"/>
        <w:ind w:left="1134"/>
        <w:jc w:val="both"/>
        <w:rPr>
          <w:rFonts w:ascii="Book Antiqua" w:hAnsi="Book Antiqua" w:cs="Arial"/>
        </w:rPr>
      </w:pPr>
      <w:r>
        <w:rPr>
          <w:rFonts w:ascii="Book Antiqua" w:hAnsi="Book Antiqua" w:cs="Arial"/>
        </w:rPr>
        <w:lastRenderedPageBreak/>
        <w:t>It may however be appropriate to refuse to grant leave where the conduct of the parent or primary carer gives rise to considerations of such weight as to justify separation, if the child could otherwise stay with another parent or alternative primary carer in the UK or in the EU.</w:t>
      </w:r>
    </w:p>
    <w:p w:rsidR="00A81EA1" w:rsidRDefault="00A81EA1" w:rsidP="00BF350A">
      <w:pPr>
        <w:spacing w:before="120"/>
        <w:ind w:left="1134"/>
        <w:jc w:val="both"/>
        <w:rPr>
          <w:rFonts w:ascii="Book Antiqua" w:hAnsi="Book Antiqua" w:cs="Arial"/>
        </w:rPr>
      </w:pPr>
      <w:r>
        <w:rPr>
          <w:rFonts w:ascii="Book Antiqua" w:hAnsi="Book Antiqua" w:cs="Arial"/>
        </w:rPr>
        <w:t>The circumstances envisaged could cover amongst others:</w:t>
      </w:r>
    </w:p>
    <w:p w:rsidR="00A81EA1" w:rsidRDefault="00A81EA1" w:rsidP="00BF350A">
      <w:pPr>
        <w:spacing w:before="120"/>
        <w:ind w:left="1701" w:hanging="567"/>
        <w:jc w:val="both"/>
        <w:rPr>
          <w:rFonts w:ascii="Book Antiqua" w:hAnsi="Book Antiqua" w:cs="Arial"/>
        </w:rPr>
      </w:pPr>
      <w:r>
        <w:rPr>
          <w:rFonts w:ascii="Book Antiqua" w:hAnsi="Book Antiqua" w:cs="Arial"/>
        </w:rPr>
        <w:t>(a)</w:t>
      </w:r>
      <w:r>
        <w:rPr>
          <w:rFonts w:ascii="Book Antiqua" w:hAnsi="Book Antiqua" w:cs="Arial"/>
        </w:rPr>
        <w:tab/>
        <w:t>criminality falling below the threshold set out in paragraph 398 of the Immigration Rules;</w:t>
      </w:r>
    </w:p>
    <w:p w:rsidR="00211C06" w:rsidRDefault="00A81EA1" w:rsidP="00BF350A">
      <w:pPr>
        <w:spacing w:before="120"/>
        <w:ind w:left="1701" w:hanging="567"/>
        <w:jc w:val="both"/>
        <w:rPr>
          <w:rFonts w:ascii="Book Antiqua" w:hAnsi="Book Antiqua" w:cs="Arial"/>
        </w:rPr>
      </w:pPr>
      <w:r>
        <w:rPr>
          <w:rFonts w:ascii="Book Antiqua" w:hAnsi="Book Antiqua" w:cs="Arial"/>
        </w:rPr>
        <w:t xml:space="preserve">(b) </w:t>
      </w:r>
      <w:r>
        <w:rPr>
          <w:rFonts w:ascii="Book Antiqua" w:hAnsi="Book Antiqua" w:cs="Arial"/>
        </w:rPr>
        <w:tab/>
        <w:t>a very poor immigration history such as where the person has repeatedly and deliberately breached the Immigration Rules.”</w:t>
      </w:r>
      <w:r w:rsidR="00561FF2">
        <w:rPr>
          <w:rFonts w:ascii="Book Antiqua" w:hAnsi="Book Antiqua" w:cs="Arial"/>
        </w:rPr>
        <w:t xml:space="preserve">  </w:t>
      </w:r>
    </w:p>
    <w:p w:rsidR="00211C06" w:rsidRDefault="00A81EA1" w:rsidP="00C665DF">
      <w:pPr>
        <w:numPr>
          <w:ilvl w:val="0"/>
          <w:numId w:val="3"/>
        </w:numPr>
        <w:spacing w:before="240"/>
        <w:jc w:val="both"/>
        <w:rPr>
          <w:rFonts w:ascii="Book Antiqua" w:hAnsi="Book Antiqua" w:cs="Arial"/>
        </w:rPr>
      </w:pPr>
      <w:r>
        <w:rPr>
          <w:rFonts w:ascii="Book Antiqua" w:hAnsi="Book Antiqua" w:cs="Arial"/>
        </w:rPr>
        <w:t>In this case the Secretary of State accepts that the claimant has no criminal history and there are no suitability issues in her case.  Indeed, she appears to have complied with the requirements of her visit visa in that she left within the currency of that visa to return to Algeria in January 2016.  She is not someone who has shown a disregard for the requirements of the Immigration Rules.  Accordingly, there is no basis upon which to conclude that her case is not fully covered by the policy guidance such that the decision should fall in her favour.</w:t>
      </w:r>
    </w:p>
    <w:p w:rsidR="00A81EA1" w:rsidRDefault="00A81EA1" w:rsidP="00C665DF">
      <w:pPr>
        <w:numPr>
          <w:ilvl w:val="0"/>
          <w:numId w:val="3"/>
        </w:numPr>
        <w:spacing w:before="240"/>
        <w:jc w:val="both"/>
        <w:rPr>
          <w:rFonts w:ascii="Book Antiqua" w:hAnsi="Book Antiqua" w:cs="Arial"/>
        </w:rPr>
      </w:pPr>
      <w:r>
        <w:rPr>
          <w:rFonts w:ascii="Book Antiqua" w:hAnsi="Book Antiqua" w:cs="Arial"/>
        </w:rPr>
        <w:t>This decision was plainly open to the Immigration Judge</w:t>
      </w:r>
      <w:r w:rsidR="00A17BD2">
        <w:rPr>
          <w:rFonts w:ascii="Book Antiqua" w:hAnsi="Book Antiqua" w:cs="Arial"/>
        </w:rPr>
        <w:t>,</w:t>
      </w:r>
      <w:r>
        <w:rPr>
          <w:rFonts w:ascii="Book Antiqua" w:hAnsi="Book Antiqua" w:cs="Arial"/>
        </w:rPr>
        <w:t xml:space="preserve"> he was entitled to reach the decision which he did for the reasons which he gave.</w:t>
      </w:r>
    </w:p>
    <w:p w:rsidR="00BF3B8C" w:rsidRPr="00BF3B8C" w:rsidRDefault="00BF3B8C" w:rsidP="00BF3B8C">
      <w:pPr>
        <w:spacing w:before="240"/>
        <w:jc w:val="both"/>
        <w:rPr>
          <w:rFonts w:ascii="Book Antiqua" w:hAnsi="Book Antiqua" w:cs="Arial"/>
          <w:b/>
          <w:u w:val="single"/>
        </w:rPr>
      </w:pPr>
      <w:r w:rsidRPr="00BF3B8C">
        <w:rPr>
          <w:rFonts w:ascii="Book Antiqua" w:hAnsi="Book Antiqua" w:cs="Arial"/>
          <w:b/>
          <w:u w:val="single"/>
        </w:rPr>
        <w:t>Notice of Decision</w:t>
      </w:r>
    </w:p>
    <w:p w:rsidR="00BF3B8C" w:rsidRPr="00BF3B8C" w:rsidRDefault="00BF3B8C" w:rsidP="00BF3B8C">
      <w:pPr>
        <w:jc w:val="both"/>
        <w:rPr>
          <w:rFonts w:ascii="Book Antiqua" w:hAnsi="Book Antiqua" w:cs="Arial"/>
        </w:rPr>
      </w:pPr>
    </w:p>
    <w:p w:rsidR="00BF3B8C" w:rsidRPr="00BF3B8C" w:rsidRDefault="00A81EA1" w:rsidP="00BF3B8C">
      <w:pPr>
        <w:jc w:val="both"/>
        <w:rPr>
          <w:rFonts w:ascii="Book Antiqua" w:hAnsi="Book Antiqua" w:cs="Arial"/>
        </w:rPr>
      </w:pPr>
      <w:r>
        <w:rPr>
          <w:rFonts w:ascii="Book Antiqua" w:hAnsi="Book Antiqua" w:cs="Arial"/>
        </w:rPr>
        <w:t>The original Immigration Judge did not err in law and his decision stands.</w:t>
      </w:r>
      <w:r w:rsidRPr="00BF3B8C">
        <w:rPr>
          <w:rFonts w:ascii="Book Antiqua" w:hAnsi="Book Antiqua" w:cs="Arial"/>
        </w:rPr>
        <w:t xml:space="preserve"> </w:t>
      </w:r>
    </w:p>
    <w:p w:rsidR="00BF3B8C" w:rsidRPr="00BF3B8C" w:rsidRDefault="00BF3B8C" w:rsidP="00BF3B8C">
      <w:pPr>
        <w:jc w:val="both"/>
        <w:rPr>
          <w:rFonts w:ascii="Book Antiqua" w:hAnsi="Book Antiqua" w:cs="Arial"/>
        </w:rPr>
      </w:pPr>
    </w:p>
    <w:p w:rsidR="00BF3B8C" w:rsidRPr="00BF3B8C" w:rsidRDefault="00BF3B8C" w:rsidP="00BF3B8C">
      <w:pPr>
        <w:jc w:val="both"/>
        <w:rPr>
          <w:rFonts w:ascii="Book Antiqua" w:hAnsi="Book Antiqua" w:cs="Arial"/>
        </w:rPr>
      </w:pPr>
      <w:r w:rsidRPr="00BF3B8C">
        <w:rPr>
          <w:rFonts w:ascii="Book Antiqua" w:hAnsi="Book Antiqua" w:cs="Arial"/>
        </w:rPr>
        <w:t>No anonymity direction is made.</w:t>
      </w:r>
    </w:p>
    <w:p w:rsidR="00BF3B8C" w:rsidRPr="00CE6902" w:rsidRDefault="00BF3B8C" w:rsidP="00BF3B8C">
      <w:pPr>
        <w:jc w:val="both"/>
        <w:rPr>
          <w:rFonts w:ascii="Book Antiqua" w:hAnsi="Book Antiqua" w:cs="Arial"/>
        </w:rPr>
      </w:pPr>
    </w:p>
    <w:p w:rsidR="000369F5" w:rsidRPr="00CE6902" w:rsidRDefault="000369F5" w:rsidP="00BF3B8C">
      <w:pPr>
        <w:tabs>
          <w:tab w:val="left" w:pos="2520"/>
        </w:tabs>
        <w:jc w:val="both"/>
        <w:rPr>
          <w:rFonts w:ascii="Book Antiqua" w:hAnsi="Book Antiqua" w:cs="Arial"/>
        </w:rPr>
      </w:pPr>
    </w:p>
    <w:p w:rsidR="001F2716" w:rsidRPr="00CE6902" w:rsidRDefault="006E3C90" w:rsidP="000369F5">
      <w:pPr>
        <w:tabs>
          <w:tab w:val="left" w:pos="2520"/>
        </w:tabs>
        <w:jc w:val="both"/>
        <w:rPr>
          <w:rFonts w:ascii="Book Antiqua" w:hAnsi="Book Antiqua" w:cs="Arial"/>
        </w:rPr>
      </w:pPr>
      <w:r w:rsidRPr="00CE6902">
        <w:rPr>
          <w:rFonts w:ascii="Book Antiqua" w:hAnsi="Book Antiqua" w:cs="Arial"/>
        </w:rPr>
        <w:t>Signed</w:t>
      </w:r>
      <w:r w:rsidR="001C5EC8" w:rsidRPr="00F27BB4">
        <w:rPr>
          <w:noProof/>
        </w:rPr>
        <w:drawing>
          <wp:inline distT="0" distB="0" distL="0" distR="0" wp14:anchorId="53F620B4" wp14:editId="24518D15">
            <wp:extent cx="1421130" cy="60515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1130" cy="605155"/>
                    </a:xfrm>
                    <a:prstGeom prst="rect">
                      <a:avLst/>
                    </a:prstGeom>
                    <a:noFill/>
                    <a:ln>
                      <a:noFill/>
                    </a:ln>
                  </pic:spPr>
                </pic:pic>
              </a:graphicData>
            </a:graphic>
          </wp:inline>
        </w:drawing>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001F2716" w:rsidRPr="00CE6902">
        <w:rPr>
          <w:rFonts w:ascii="Book Antiqua" w:hAnsi="Book Antiqua" w:cs="Arial"/>
        </w:rPr>
        <w:t>Date</w:t>
      </w:r>
      <w:r w:rsidR="001C5EC8">
        <w:rPr>
          <w:rFonts w:ascii="Book Antiqua" w:hAnsi="Book Antiqua" w:cs="Arial"/>
        </w:rPr>
        <w:t xml:space="preserve"> 25 August 2018</w:t>
      </w:r>
    </w:p>
    <w:p w:rsidR="001F2716" w:rsidRPr="00CE6902" w:rsidRDefault="001F2716" w:rsidP="000369F5">
      <w:pPr>
        <w:tabs>
          <w:tab w:val="left" w:pos="2520"/>
        </w:tabs>
        <w:jc w:val="both"/>
        <w:rPr>
          <w:rFonts w:ascii="Book Antiqua" w:hAnsi="Book Antiqua" w:cs="Arial"/>
        </w:rPr>
      </w:pPr>
    </w:p>
    <w:p w:rsidR="005B7789" w:rsidRPr="00CE6902" w:rsidRDefault="00561B4E" w:rsidP="007B4E8C">
      <w:pPr>
        <w:tabs>
          <w:tab w:val="left" w:pos="2520"/>
        </w:tabs>
        <w:jc w:val="both"/>
        <w:rPr>
          <w:rFonts w:ascii="Book Antiqua" w:hAnsi="Book Antiqua" w:cs="Arial"/>
        </w:rPr>
      </w:pPr>
      <w:r>
        <w:rPr>
          <w:rFonts w:ascii="Book Antiqua" w:hAnsi="Book Antiqua" w:cs="Arial"/>
        </w:rPr>
        <w:t xml:space="preserve">Deputy </w:t>
      </w:r>
      <w:r w:rsidR="00ED1BAF">
        <w:rPr>
          <w:rFonts w:ascii="Book Antiqua" w:hAnsi="Book Antiqua" w:cs="Arial"/>
        </w:rPr>
        <w:t>Upper Tribunal</w:t>
      </w:r>
      <w:r w:rsidR="00AC5CF6" w:rsidRPr="00CE6902">
        <w:rPr>
          <w:rFonts w:ascii="Book Antiqua" w:hAnsi="Book Antiqua" w:cs="Arial"/>
        </w:rPr>
        <w:t xml:space="preserve"> Judge</w:t>
      </w:r>
      <w:r w:rsidR="00B03FBE" w:rsidRPr="00CE6902">
        <w:rPr>
          <w:rFonts w:ascii="Book Antiqua" w:hAnsi="Book Antiqua" w:cs="Arial"/>
        </w:rPr>
        <w:t xml:space="preserve"> Taylor</w:t>
      </w:r>
    </w:p>
    <w:sectPr w:rsidR="005B7789" w:rsidRPr="00CE6902"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C4D" w:rsidRDefault="00321C4D">
      <w:r>
        <w:separator/>
      </w:r>
    </w:p>
  </w:endnote>
  <w:endnote w:type="continuationSeparator" w:id="0">
    <w:p w:rsidR="00321C4D" w:rsidRDefault="0032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D7" w:rsidRPr="00CE6902" w:rsidRDefault="00CB7FD7" w:rsidP="00593795">
    <w:pPr>
      <w:pStyle w:val="Footer"/>
      <w:jc w:val="center"/>
      <w:rPr>
        <w:rFonts w:ascii="Book Antiqua" w:hAnsi="Book Antiqua" w:cs="Arial"/>
        <w:sz w:val="16"/>
        <w:szCs w:val="16"/>
      </w:rPr>
    </w:pPr>
    <w:r w:rsidRPr="00CE6902">
      <w:rPr>
        <w:rStyle w:val="PageNumber"/>
        <w:rFonts w:ascii="Book Antiqua" w:hAnsi="Book Antiqua" w:cs="Arial"/>
        <w:sz w:val="16"/>
        <w:szCs w:val="16"/>
      </w:rPr>
      <w:fldChar w:fldCharType="begin"/>
    </w:r>
    <w:r w:rsidRPr="00CE6902">
      <w:rPr>
        <w:rStyle w:val="PageNumber"/>
        <w:rFonts w:ascii="Book Antiqua" w:hAnsi="Book Antiqua" w:cs="Arial"/>
        <w:sz w:val="16"/>
        <w:szCs w:val="16"/>
      </w:rPr>
      <w:instrText xml:space="preserve"> PAGE </w:instrText>
    </w:r>
    <w:r w:rsidRPr="00CE6902">
      <w:rPr>
        <w:rStyle w:val="PageNumber"/>
        <w:rFonts w:ascii="Book Antiqua" w:hAnsi="Book Antiqua" w:cs="Arial"/>
        <w:sz w:val="16"/>
        <w:szCs w:val="16"/>
      </w:rPr>
      <w:fldChar w:fldCharType="separate"/>
    </w:r>
    <w:r w:rsidR="003B537F">
      <w:rPr>
        <w:rStyle w:val="PageNumber"/>
        <w:rFonts w:ascii="Book Antiqua" w:hAnsi="Book Antiqua" w:cs="Arial"/>
        <w:noProof/>
        <w:sz w:val="16"/>
        <w:szCs w:val="16"/>
      </w:rPr>
      <w:t>3</w:t>
    </w:r>
    <w:r w:rsidRPr="00CE690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D7" w:rsidRPr="00CE6902" w:rsidRDefault="00CB7FD7" w:rsidP="007404B2">
    <w:pPr>
      <w:jc w:val="center"/>
      <w:rPr>
        <w:rFonts w:ascii="Book Antiqua" w:hAnsi="Book Antiqua" w:cs="Arial"/>
        <w:b/>
      </w:rPr>
    </w:pPr>
    <w:r w:rsidRPr="00CE6902">
      <w:rPr>
        <w:rFonts w:ascii="Book Antiqua" w:hAnsi="Book Antiqua" w:cs="Arial"/>
        <w:b/>
        <w:spacing w:val="-6"/>
      </w:rPr>
      <w:t>©</w:t>
    </w:r>
    <w:r w:rsidR="00E04C9F">
      <w:rPr>
        <w:rFonts w:ascii="Book Antiqua" w:hAnsi="Book Antiqua" w:cs="Arial"/>
        <w:b/>
      </w:rPr>
      <w:t xml:space="preserve"> CROWN COPYRIGHT 201</w:t>
    </w:r>
    <w:r w:rsidR="00C73349">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C4D" w:rsidRDefault="00321C4D">
      <w:r>
        <w:separator/>
      </w:r>
    </w:p>
  </w:footnote>
  <w:footnote w:type="continuationSeparator" w:id="0">
    <w:p w:rsidR="00321C4D" w:rsidRDefault="00321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FD7" w:rsidRPr="00CE6902" w:rsidRDefault="00CB7FD7" w:rsidP="000369F5">
    <w:pPr>
      <w:pStyle w:val="Header"/>
      <w:tabs>
        <w:tab w:val="clear" w:pos="4153"/>
        <w:tab w:val="clear" w:pos="8306"/>
        <w:tab w:val="right" w:pos="9639"/>
      </w:tabs>
      <w:jc w:val="right"/>
      <w:rPr>
        <w:rFonts w:ascii="Book Antiqua" w:hAnsi="Book Antiqua" w:cs="Arial"/>
        <w:sz w:val="16"/>
        <w:szCs w:val="16"/>
      </w:rPr>
    </w:pPr>
    <w:r w:rsidRPr="00CE6902">
      <w:rPr>
        <w:rFonts w:ascii="Book Antiqua" w:hAnsi="Book Antiqua" w:cs="Arial"/>
        <w:sz w:val="16"/>
        <w:szCs w:val="16"/>
      </w:rPr>
      <w:t xml:space="preserve">Appeal Number: </w:t>
    </w:r>
    <w:r w:rsidR="00626080">
      <w:rPr>
        <w:rFonts w:ascii="Book Antiqua" w:hAnsi="Book Antiqua" w:cs="Arial"/>
        <w:sz w:val="16"/>
        <w:szCs w:val="16"/>
      </w:rPr>
      <w:t>HU/22432/2016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902" w:rsidRPr="00CE6902" w:rsidRDefault="00CE6902">
    <w:pPr>
      <w:pStyle w:val="Header"/>
      <w:rPr>
        <w:rFonts w:ascii="Book Antiqua" w:hAnsi="Book Antiqua"/>
      </w:rPr>
    </w:pPr>
    <w:r w:rsidRPr="00CE690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6B35C7"/>
    <w:multiLevelType w:val="multilevel"/>
    <w:tmpl w:val="6CA6ABA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4390705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B891B8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A0"/>
    <w:rsid w:val="00000621"/>
    <w:rsid w:val="000036C2"/>
    <w:rsid w:val="0000675D"/>
    <w:rsid w:val="00033D3D"/>
    <w:rsid w:val="000369F5"/>
    <w:rsid w:val="00071A7E"/>
    <w:rsid w:val="000746C0"/>
    <w:rsid w:val="00074D1D"/>
    <w:rsid w:val="00092580"/>
    <w:rsid w:val="000C5C20"/>
    <w:rsid w:val="000D5D94"/>
    <w:rsid w:val="000F38CB"/>
    <w:rsid w:val="00110F6F"/>
    <w:rsid w:val="00114924"/>
    <w:rsid w:val="001165A7"/>
    <w:rsid w:val="00151BB7"/>
    <w:rsid w:val="00152152"/>
    <w:rsid w:val="00163090"/>
    <w:rsid w:val="001653C0"/>
    <w:rsid w:val="00167D3A"/>
    <w:rsid w:val="001A24E4"/>
    <w:rsid w:val="001C5EC8"/>
    <w:rsid w:val="001E6D96"/>
    <w:rsid w:val="001F2716"/>
    <w:rsid w:val="0020133A"/>
    <w:rsid w:val="00207617"/>
    <w:rsid w:val="00211C06"/>
    <w:rsid w:val="00217A1F"/>
    <w:rsid w:val="00244A9E"/>
    <w:rsid w:val="00283659"/>
    <w:rsid w:val="00283EB8"/>
    <w:rsid w:val="0028690B"/>
    <w:rsid w:val="00297A75"/>
    <w:rsid w:val="002C4E73"/>
    <w:rsid w:val="002D68BF"/>
    <w:rsid w:val="00316625"/>
    <w:rsid w:val="00321C4D"/>
    <w:rsid w:val="00336CBF"/>
    <w:rsid w:val="00337A21"/>
    <w:rsid w:val="003546C8"/>
    <w:rsid w:val="003A7CF2"/>
    <w:rsid w:val="003B537F"/>
    <w:rsid w:val="003C5CE5"/>
    <w:rsid w:val="003E267B"/>
    <w:rsid w:val="003E7CD1"/>
    <w:rsid w:val="003F3E19"/>
    <w:rsid w:val="00402B9E"/>
    <w:rsid w:val="004229B4"/>
    <w:rsid w:val="00423932"/>
    <w:rsid w:val="004249CB"/>
    <w:rsid w:val="00436C72"/>
    <w:rsid w:val="0044127D"/>
    <w:rsid w:val="004448DB"/>
    <w:rsid w:val="00446C9A"/>
    <w:rsid w:val="004606D8"/>
    <w:rsid w:val="00477193"/>
    <w:rsid w:val="004A1848"/>
    <w:rsid w:val="004C1E34"/>
    <w:rsid w:val="00503969"/>
    <w:rsid w:val="00507FEC"/>
    <w:rsid w:val="00510F0E"/>
    <w:rsid w:val="00522434"/>
    <w:rsid w:val="005479E1"/>
    <w:rsid w:val="005570FD"/>
    <w:rsid w:val="005575EA"/>
    <w:rsid w:val="00561B4E"/>
    <w:rsid w:val="00561FF2"/>
    <w:rsid w:val="0057790C"/>
    <w:rsid w:val="00591F1C"/>
    <w:rsid w:val="00593795"/>
    <w:rsid w:val="005A75FF"/>
    <w:rsid w:val="005B51C3"/>
    <w:rsid w:val="005B7789"/>
    <w:rsid w:val="005C1F10"/>
    <w:rsid w:val="005E57FF"/>
    <w:rsid w:val="00626080"/>
    <w:rsid w:val="0065791C"/>
    <w:rsid w:val="00690B8A"/>
    <w:rsid w:val="006D1DFA"/>
    <w:rsid w:val="006D24EE"/>
    <w:rsid w:val="006D506B"/>
    <w:rsid w:val="006E3C90"/>
    <w:rsid w:val="00704B61"/>
    <w:rsid w:val="00717DBE"/>
    <w:rsid w:val="007404B2"/>
    <w:rsid w:val="00742A8D"/>
    <w:rsid w:val="007552A9"/>
    <w:rsid w:val="007602AA"/>
    <w:rsid w:val="0076043D"/>
    <w:rsid w:val="00761858"/>
    <w:rsid w:val="00767D59"/>
    <w:rsid w:val="00776E97"/>
    <w:rsid w:val="00780FD7"/>
    <w:rsid w:val="007912AD"/>
    <w:rsid w:val="007939C0"/>
    <w:rsid w:val="007B0824"/>
    <w:rsid w:val="007B4E8C"/>
    <w:rsid w:val="00807563"/>
    <w:rsid w:val="008303B8"/>
    <w:rsid w:val="00833DCE"/>
    <w:rsid w:val="00871D34"/>
    <w:rsid w:val="008749A9"/>
    <w:rsid w:val="008A0C3B"/>
    <w:rsid w:val="008B270C"/>
    <w:rsid w:val="008C3D3D"/>
    <w:rsid w:val="008D4131"/>
    <w:rsid w:val="008F1932"/>
    <w:rsid w:val="008F294D"/>
    <w:rsid w:val="00921062"/>
    <w:rsid w:val="00966ECF"/>
    <w:rsid w:val="009727A3"/>
    <w:rsid w:val="00987774"/>
    <w:rsid w:val="009A11E8"/>
    <w:rsid w:val="009F5220"/>
    <w:rsid w:val="009F7C4D"/>
    <w:rsid w:val="00A15234"/>
    <w:rsid w:val="00A17BD2"/>
    <w:rsid w:val="00A201AB"/>
    <w:rsid w:val="00A31C8B"/>
    <w:rsid w:val="00A341D2"/>
    <w:rsid w:val="00A34C0B"/>
    <w:rsid w:val="00A81EA1"/>
    <w:rsid w:val="00A845DC"/>
    <w:rsid w:val="00A957E0"/>
    <w:rsid w:val="00A97AEE"/>
    <w:rsid w:val="00AC5CF6"/>
    <w:rsid w:val="00AF3421"/>
    <w:rsid w:val="00B03FBE"/>
    <w:rsid w:val="00B144FA"/>
    <w:rsid w:val="00B25B10"/>
    <w:rsid w:val="00B30648"/>
    <w:rsid w:val="00B3524D"/>
    <w:rsid w:val="00B40F69"/>
    <w:rsid w:val="00B46616"/>
    <w:rsid w:val="00B61205"/>
    <w:rsid w:val="00B617C4"/>
    <w:rsid w:val="00B626FA"/>
    <w:rsid w:val="00B7040A"/>
    <w:rsid w:val="00BD4196"/>
    <w:rsid w:val="00BF22CA"/>
    <w:rsid w:val="00BF350A"/>
    <w:rsid w:val="00BF3B8C"/>
    <w:rsid w:val="00C26032"/>
    <w:rsid w:val="00C265B0"/>
    <w:rsid w:val="00C32BB1"/>
    <w:rsid w:val="00C345E1"/>
    <w:rsid w:val="00C665DF"/>
    <w:rsid w:val="00C73349"/>
    <w:rsid w:val="00C90C15"/>
    <w:rsid w:val="00C94A8F"/>
    <w:rsid w:val="00CB6E35"/>
    <w:rsid w:val="00CB7FD7"/>
    <w:rsid w:val="00CE1A46"/>
    <w:rsid w:val="00CE2079"/>
    <w:rsid w:val="00CE6902"/>
    <w:rsid w:val="00CF253F"/>
    <w:rsid w:val="00CF56B4"/>
    <w:rsid w:val="00D20F09"/>
    <w:rsid w:val="00D22636"/>
    <w:rsid w:val="00D40FD9"/>
    <w:rsid w:val="00D53769"/>
    <w:rsid w:val="00D53893"/>
    <w:rsid w:val="00D85C13"/>
    <w:rsid w:val="00D91BE3"/>
    <w:rsid w:val="00D94AFC"/>
    <w:rsid w:val="00DB70AE"/>
    <w:rsid w:val="00DB7231"/>
    <w:rsid w:val="00DD5071"/>
    <w:rsid w:val="00DD5C39"/>
    <w:rsid w:val="00DE26AF"/>
    <w:rsid w:val="00DE7DB7"/>
    <w:rsid w:val="00E00A0A"/>
    <w:rsid w:val="00E04C9F"/>
    <w:rsid w:val="00E07F57"/>
    <w:rsid w:val="00E16662"/>
    <w:rsid w:val="00E33145"/>
    <w:rsid w:val="00E50BCE"/>
    <w:rsid w:val="00E61292"/>
    <w:rsid w:val="00E76309"/>
    <w:rsid w:val="00E77C4D"/>
    <w:rsid w:val="00E81D01"/>
    <w:rsid w:val="00EB707E"/>
    <w:rsid w:val="00ED1BAF"/>
    <w:rsid w:val="00ED49AF"/>
    <w:rsid w:val="00EE3E65"/>
    <w:rsid w:val="00EE45D8"/>
    <w:rsid w:val="00EF1230"/>
    <w:rsid w:val="00F004CD"/>
    <w:rsid w:val="00F22EDA"/>
    <w:rsid w:val="00F33E0E"/>
    <w:rsid w:val="00FA17F3"/>
    <w:rsid w:val="00FB7CA0"/>
    <w:rsid w:val="00FB7E80"/>
    <w:rsid w:val="00FE6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3A843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NormalWeb">
    <w:name w:val="Normal (Web)"/>
    <w:basedOn w:val="Normal"/>
    <w:uiPriority w:val="99"/>
    <w:unhideWhenUsed/>
    <w:rsid w:val="0028690B"/>
    <w:pPr>
      <w:spacing w:before="100" w:beforeAutospacing="1" w:after="100" w:afterAutospacing="1"/>
    </w:pPr>
    <w:rPr>
      <w:rFonts w:eastAsiaTheme="minorEastAs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892</Words>
  <Characters>4343</Characters>
  <Application>Microsoft Office Word</Application>
  <DocSecurity>0</DocSecurity>
  <Lines>36</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2018-09-17T13:59:00Z</dcterms:created>
  <dcterms:modified xsi:type="dcterms:W3CDTF">2018-09-17T13:59:00Z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