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830E64" w:rsidP="00C321B5">
      <w:pPr>
        <w:jc w:val="center"/>
        <w:rPr>
          <w:rFonts w:ascii="Book Antiqua" w:hAnsi="Book Antiqua" w:cs="Arial"/>
          <w:sz w:val="16"/>
          <w:szCs w:val="16"/>
        </w:rPr>
      </w:pPr>
      <w:r>
        <w:rPr>
          <w:noProof/>
        </w:rPr>
        <w:drawing>
          <wp:inline distT="0" distB="0" distL="0" distR="0">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B705D9" w:rsidRPr="00F5664C" w:rsidRDefault="00B705D9">
      <w:pPr>
        <w:rPr>
          <w:rFonts w:ascii="Book Antiqua" w:hAnsi="Book Antiqua" w:cs="Arial"/>
          <w:sz w:val="16"/>
          <w:szCs w:val="16"/>
        </w:rPr>
      </w:pP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D34CF4">
        <w:rPr>
          <w:rFonts w:ascii="Book Antiqua" w:hAnsi="Book Antiqua" w:cs="Arial"/>
          <w:caps/>
        </w:rPr>
        <w:t>HU/22434/2016</w:t>
      </w:r>
      <w:bookmarkEnd w:id="0"/>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4815"/>
        <w:gridCol w:w="5193"/>
      </w:tblGrid>
      <w:tr w:rsidR="00B705D9" w:rsidRPr="00F5664C" w:rsidTr="00894A0C">
        <w:tc>
          <w:tcPr>
            <w:tcW w:w="4815"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5193" w:type="dxa"/>
          </w:tcPr>
          <w:p w:rsidR="00B705D9" w:rsidRPr="00321493" w:rsidRDefault="00E14A7C" w:rsidP="00321493">
            <w:pPr>
              <w:jc w:val="both"/>
              <w:rPr>
                <w:rFonts w:ascii="Book Antiqua" w:hAnsi="Book Antiqua" w:cs="Arial"/>
                <w:b/>
              </w:rPr>
            </w:pPr>
            <w:r>
              <w:rPr>
                <w:rFonts w:ascii="Book Antiqua" w:hAnsi="Book Antiqua" w:cs="Arial"/>
                <w:b/>
              </w:rPr>
              <w:t>Decision &amp; Reasons Promulgated</w:t>
            </w:r>
          </w:p>
        </w:tc>
      </w:tr>
      <w:tr w:rsidR="00B705D9" w:rsidRPr="00F5664C" w:rsidTr="00894A0C">
        <w:tc>
          <w:tcPr>
            <w:tcW w:w="4815"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3D0012">
              <w:rPr>
                <w:rFonts w:ascii="Book Antiqua" w:hAnsi="Book Antiqua" w:cs="Arial"/>
                <w:b/>
              </w:rPr>
              <w:t>11</w:t>
            </w:r>
            <w:r w:rsidR="00D34CF4">
              <w:rPr>
                <w:rFonts w:ascii="Book Antiqua" w:hAnsi="Book Antiqua" w:cs="Arial"/>
                <w:b/>
                <w:vertAlign w:val="superscript"/>
              </w:rPr>
              <w:t xml:space="preserve"> </w:t>
            </w:r>
            <w:r w:rsidR="00D34CF4">
              <w:rPr>
                <w:rFonts w:ascii="Book Antiqua" w:hAnsi="Book Antiqua" w:cs="Arial"/>
                <w:b/>
              </w:rPr>
              <w:t>July 2018</w:t>
            </w:r>
          </w:p>
        </w:tc>
        <w:tc>
          <w:tcPr>
            <w:tcW w:w="5193" w:type="dxa"/>
          </w:tcPr>
          <w:p w:rsidR="00B705D9" w:rsidRPr="00321493" w:rsidRDefault="00E14A7C" w:rsidP="00321493">
            <w:pPr>
              <w:jc w:val="both"/>
              <w:rPr>
                <w:rFonts w:ascii="Book Antiqua" w:hAnsi="Book Antiqua" w:cs="Arial"/>
                <w:b/>
              </w:rPr>
            </w:pPr>
            <w:r>
              <w:rPr>
                <w:rFonts w:ascii="Book Antiqua" w:hAnsi="Book Antiqua" w:cs="Arial"/>
                <w:b/>
              </w:rPr>
              <w:t>On 23 August 2018</w:t>
            </w:r>
          </w:p>
        </w:tc>
      </w:tr>
      <w:tr w:rsidR="00B705D9" w:rsidRPr="00F5664C" w:rsidTr="00894A0C">
        <w:tc>
          <w:tcPr>
            <w:tcW w:w="4815" w:type="dxa"/>
          </w:tcPr>
          <w:p w:rsidR="00B705D9" w:rsidRPr="00321493" w:rsidRDefault="00B705D9" w:rsidP="00321493">
            <w:pPr>
              <w:jc w:val="both"/>
              <w:rPr>
                <w:rFonts w:ascii="Book Antiqua" w:hAnsi="Book Antiqua" w:cs="Arial"/>
                <w:b/>
              </w:rPr>
            </w:pPr>
          </w:p>
        </w:tc>
        <w:tc>
          <w:tcPr>
            <w:tcW w:w="5193"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 xml:space="preserve">UPPER </w:t>
      </w:r>
      <w:r w:rsidR="00C05677">
        <w:rPr>
          <w:rFonts w:ascii="Book Antiqua" w:hAnsi="Book Antiqua" w:cs="Arial"/>
          <w:b/>
        </w:rPr>
        <w:t>JUDGE</w:t>
      </w:r>
      <w:r w:rsidRPr="00F5664C">
        <w:rPr>
          <w:rFonts w:ascii="Book Antiqua" w:hAnsi="Book Antiqua" w:cs="Arial"/>
          <w:b/>
        </w:rPr>
        <w:t xml:space="preserve"> G</w:t>
      </w:r>
      <w:r>
        <w:rPr>
          <w:rFonts w:ascii="Book Antiqua" w:hAnsi="Book Antiqua" w:cs="Arial"/>
          <w:b/>
        </w:rPr>
        <w:t>LEESON</w:t>
      </w:r>
    </w:p>
    <w:p w:rsidR="00B705D9" w:rsidRPr="00F5664C" w:rsidRDefault="00B705D9" w:rsidP="00DE279E">
      <w:pPr>
        <w:jc w:val="center"/>
        <w:rPr>
          <w:rFonts w:ascii="Book Antiqua" w:hAnsi="Book Antiqua" w:cs="Arial"/>
          <w:b/>
        </w:rPr>
      </w:pPr>
    </w:p>
    <w:p w:rsidR="00D930E6" w:rsidRDefault="00D930E6" w:rsidP="00A15234">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Pr="009C3279" w:rsidRDefault="00D34CF4" w:rsidP="00742A8D">
      <w:pPr>
        <w:jc w:val="center"/>
        <w:rPr>
          <w:rFonts w:ascii="Book Antiqua" w:hAnsi="Book Antiqua" w:cs="Arial"/>
          <w:b/>
          <w:caps/>
          <w:sz w:val="26"/>
        </w:rPr>
      </w:pPr>
      <w:r w:rsidRPr="009C3279">
        <w:rPr>
          <w:rFonts w:ascii="Book Antiqua" w:hAnsi="Book Antiqua" w:cs="Arial"/>
          <w:b/>
          <w:caps/>
          <w:sz w:val="26"/>
        </w:rPr>
        <w:t>Ram Tosha</w:t>
      </w:r>
    </w:p>
    <w:p w:rsidR="00B705D9" w:rsidRPr="009C3279" w:rsidRDefault="00B705D9" w:rsidP="00742A8D">
      <w:pPr>
        <w:jc w:val="center"/>
        <w:rPr>
          <w:rFonts w:ascii="Book Antiqua" w:hAnsi="Book Antiqua" w:cs="Arial"/>
          <w:b/>
          <w:caps/>
          <w:sz w:val="22"/>
        </w:rPr>
      </w:pPr>
      <w:r w:rsidRPr="009C3279">
        <w:rPr>
          <w:rFonts w:ascii="Book Antiqua" w:hAnsi="Book Antiqua" w:cs="Arial"/>
          <w:b/>
          <w:caps/>
          <w:sz w:val="22"/>
        </w:rPr>
        <w:t>(no anonymity order made)</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Pr="00F5664C" w:rsidRDefault="00B705D9" w:rsidP="00704B61">
      <w:pPr>
        <w:jc w:val="center"/>
        <w:rPr>
          <w:rFonts w:ascii="Book Antiqua" w:hAnsi="Book Antiqua" w:cs="Arial"/>
          <w:b/>
        </w:rPr>
      </w:pPr>
    </w:p>
    <w:bookmarkStart w:id="1" w:name="Text7"/>
    <w:p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Default="00B705D9" w:rsidP="00DD5071">
      <w:pPr>
        <w:rPr>
          <w:rFonts w:ascii="Book Antiqua" w:hAnsi="Book Antiqua" w:cs="Arial"/>
          <w:u w:val="single"/>
        </w:rPr>
      </w:pPr>
    </w:p>
    <w:p w:rsidR="00D930E6" w:rsidRPr="00F5664C" w:rsidRDefault="00D930E6"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9C3279">
      <w:pPr>
        <w:tabs>
          <w:tab w:val="left" w:pos="2520"/>
        </w:tabs>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34CF4">
        <w:rPr>
          <w:rFonts w:ascii="Book Antiqua" w:hAnsi="Book Antiqua" w:cs="Arial"/>
        </w:rPr>
        <w:t>Mr Zakir Hussain</w:t>
      </w:r>
      <w:r w:rsidR="009C3279">
        <w:rPr>
          <w:rFonts w:ascii="Book Antiqua" w:hAnsi="Book Antiqua" w:cs="Arial"/>
        </w:rPr>
        <w:t>,</w:t>
      </w:r>
      <w:r w:rsidR="00D34CF4">
        <w:rPr>
          <w:rFonts w:ascii="Book Antiqua" w:hAnsi="Book Antiqua" w:cs="Arial"/>
        </w:rPr>
        <w:t xml:space="preserve"> Counsel</w:t>
      </w:r>
      <w:r>
        <w:rPr>
          <w:rFonts w:ascii="Book Antiqua" w:hAnsi="Book Antiqua" w:cs="Arial"/>
        </w:rPr>
        <w:t xml:space="preserve"> instructed by </w:t>
      </w:r>
      <w:r w:rsidR="00D34CF4">
        <w:rPr>
          <w:rFonts w:ascii="Book Antiqua" w:hAnsi="Book Antiqua" w:cs="Arial"/>
        </w:rPr>
        <w:t>Duncan Lewis Solicitors (Southall)</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34CF4">
        <w:rPr>
          <w:rFonts w:ascii="Book Antiqua" w:hAnsi="Book Antiqua" w:cs="Arial"/>
        </w:rPr>
        <w:t>Mr Esen Tufan</w:t>
      </w:r>
      <w:r>
        <w:rPr>
          <w:rFonts w:ascii="Book Antiqua" w:hAnsi="Book Antiqua" w:cs="Arial"/>
        </w:rPr>
        <w:t>, a Senior Home Office Presenting Officer</w:t>
      </w:r>
    </w:p>
    <w:p w:rsidR="00B705D9" w:rsidRDefault="00B705D9" w:rsidP="00402B9E">
      <w:pPr>
        <w:tabs>
          <w:tab w:val="left" w:pos="2520"/>
        </w:tabs>
        <w:jc w:val="center"/>
        <w:rPr>
          <w:rFonts w:ascii="Book Antiqua" w:hAnsi="Book Antiqua" w:cs="Arial"/>
        </w:rPr>
      </w:pPr>
    </w:p>
    <w:p w:rsidR="00D930E6" w:rsidRPr="00F5664C" w:rsidRDefault="00D930E6"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C05677" w:rsidRDefault="00D34CF4" w:rsidP="00284307">
      <w:pPr>
        <w:numPr>
          <w:ilvl w:val="0"/>
          <w:numId w:val="3"/>
        </w:numPr>
        <w:spacing w:before="240"/>
        <w:jc w:val="both"/>
        <w:rPr>
          <w:rFonts w:ascii="Book Antiqua" w:hAnsi="Book Antiqua" w:cs="Arial"/>
        </w:rPr>
      </w:pPr>
      <w:r>
        <w:rPr>
          <w:rFonts w:ascii="Book Antiqua" w:hAnsi="Book Antiqua" w:cs="Arial"/>
        </w:rPr>
        <w:t>The applicant</w:t>
      </w:r>
      <w:r w:rsidR="00C05677">
        <w:rPr>
          <w:rFonts w:ascii="Book Antiqua" w:hAnsi="Book Antiqua" w:cs="Arial"/>
        </w:rPr>
        <w:t>, an Indian citizen,</w:t>
      </w:r>
      <w:r>
        <w:rPr>
          <w:rFonts w:ascii="Book Antiqua" w:hAnsi="Book Antiqua" w:cs="Arial"/>
        </w:rPr>
        <w:t xml:space="preserve"> appeals with permission against the decision of the First-tier Tribunal dismissing his appeal against the respondent’s decision to refuse him leave to remain in the United Kingdom.  </w:t>
      </w:r>
    </w:p>
    <w:p w:rsidR="003D0012" w:rsidRDefault="00D34CF4" w:rsidP="00284307">
      <w:pPr>
        <w:numPr>
          <w:ilvl w:val="0"/>
          <w:numId w:val="3"/>
        </w:numPr>
        <w:spacing w:before="240"/>
        <w:jc w:val="both"/>
        <w:rPr>
          <w:rFonts w:ascii="Book Antiqua" w:hAnsi="Book Antiqua" w:cs="Arial"/>
        </w:rPr>
      </w:pPr>
      <w:r>
        <w:rPr>
          <w:rFonts w:ascii="Book Antiqua" w:hAnsi="Book Antiqua" w:cs="Arial"/>
        </w:rPr>
        <w:t xml:space="preserve">The appellant arrived in the United Kingdom on </w:t>
      </w:r>
      <w:r w:rsidR="003D0012">
        <w:rPr>
          <w:rFonts w:ascii="Book Antiqua" w:hAnsi="Book Antiqua" w:cs="Arial"/>
        </w:rPr>
        <w:t>16</w:t>
      </w:r>
      <w:r>
        <w:rPr>
          <w:rFonts w:ascii="Book Antiqua" w:hAnsi="Book Antiqua" w:cs="Arial"/>
        </w:rPr>
        <w:t xml:space="preserve"> April 2000 having travelled from Zimbabwe.  He claimed asylum on arrival and was granted temporary admission.  His </w:t>
      </w:r>
      <w:r>
        <w:rPr>
          <w:rFonts w:ascii="Book Antiqua" w:hAnsi="Book Antiqua" w:cs="Arial"/>
        </w:rPr>
        <w:lastRenderedPageBreak/>
        <w:t xml:space="preserve">asylum claim failed on </w:t>
      </w:r>
      <w:r w:rsidR="003D0012">
        <w:rPr>
          <w:rFonts w:ascii="Book Antiqua" w:hAnsi="Book Antiqua" w:cs="Arial"/>
        </w:rPr>
        <w:t>1</w:t>
      </w:r>
      <w:r>
        <w:rPr>
          <w:rFonts w:ascii="Book Antiqua" w:hAnsi="Book Antiqua" w:cs="Arial"/>
        </w:rPr>
        <w:t xml:space="preserve"> August 2000.  </w:t>
      </w:r>
      <w:r w:rsidR="00C05677">
        <w:rPr>
          <w:rFonts w:ascii="Book Antiqua" w:hAnsi="Book Antiqua" w:cs="Arial"/>
        </w:rPr>
        <w:t xml:space="preserve">He did not appeal the asylum decision but has remained (and worked) unlawfully in the United Kingdom for just over 18 years now. </w:t>
      </w:r>
    </w:p>
    <w:p w:rsidR="00B86208" w:rsidRPr="00B86208" w:rsidRDefault="00B86208" w:rsidP="00B86208">
      <w:pPr>
        <w:spacing w:before="240"/>
        <w:jc w:val="both"/>
        <w:rPr>
          <w:rFonts w:ascii="Book Antiqua" w:hAnsi="Book Antiqua" w:cs="Arial"/>
          <w:b/>
        </w:rPr>
      </w:pPr>
      <w:r>
        <w:rPr>
          <w:rFonts w:ascii="Book Antiqua" w:hAnsi="Book Antiqua" w:cs="Arial"/>
          <w:b/>
        </w:rPr>
        <w:t xml:space="preserve">Background </w:t>
      </w:r>
    </w:p>
    <w:p w:rsidR="00C05677" w:rsidRDefault="00C05677" w:rsidP="00284307">
      <w:pPr>
        <w:numPr>
          <w:ilvl w:val="0"/>
          <w:numId w:val="3"/>
        </w:numPr>
        <w:spacing w:before="240"/>
        <w:jc w:val="both"/>
        <w:rPr>
          <w:rFonts w:ascii="Book Antiqua" w:hAnsi="Book Antiqua" w:cs="Arial"/>
        </w:rPr>
      </w:pPr>
      <w:r>
        <w:rPr>
          <w:rFonts w:ascii="Book Antiqua" w:hAnsi="Book Antiqua" w:cs="Arial"/>
        </w:rPr>
        <w:t xml:space="preserve">After the failure of the asylum claim in 2000, the appellant did not embark for India.  He absconded, failing to report as directed, and working without permission.  </w:t>
      </w:r>
    </w:p>
    <w:p w:rsidR="003D0012" w:rsidRDefault="00D34CF4" w:rsidP="00284307">
      <w:pPr>
        <w:numPr>
          <w:ilvl w:val="0"/>
          <w:numId w:val="3"/>
        </w:numPr>
        <w:spacing w:before="240"/>
        <w:jc w:val="both"/>
        <w:rPr>
          <w:rFonts w:ascii="Book Antiqua" w:hAnsi="Book Antiqua" w:cs="Arial"/>
        </w:rPr>
      </w:pPr>
      <w:r>
        <w:rPr>
          <w:rFonts w:ascii="Book Antiqua" w:hAnsi="Book Antiqua" w:cs="Arial"/>
        </w:rPr>
        <w:t xml:space="preserve">On </w:t>
      </w:r>
      <w:r w:rsidR="003D0012">
        <w:rPr>
          <w:rFonts w:ascii="Book Antiqua" w:hAnsi="Book Antiqua" w:cs="Arial"/>
        </w:rPr>
        <w:t>26</w:t>
      </w:r>
      <w:r>
        <w:rPr>
          <w:rFonts w:ascii="Book Antiqua" w:hAnsi="Book Antiqua" w:cs="Arial"/>
        </w:rPr>
        <w:t xml:space="preserve"> September 2006</w:t>
      </w:r>
      <w:r w:rsidR="00C05677">
        <w:rPr>
          <w:rFonts w:ascii="Book Antiqua" w:hAnsi="Book Antiqua" w:cs="Arial"/>
        </w:rPr>
        <w:t>,</w:t>
      </w:r>
      <w:r>
        <w:rPr>
          <w:rFonts w:ascii="Book Antiqua" w:hAnsi="Book Antiqua" w:cs="Arial"/>
        </w:rPr>
        <w:t xml:space="preserve"> the appellant was encountered by police and Immigration Officers in Southall</w:t>
      </w:r>
      <w:r w:rsidR="006B5E5E">
        <w:rPr>
          <w:rFonts w:ascii="Book Antiqua" w:hAnsi="Book Antiqua" w:cs="Arial"/>
        </w:rPr>
        <w:t>,</w:t>
      </w:r>
      <w:r w:rsidR="00C05677">
        <w:rPr>
          <w:rFonts w:ascii="Book Antiqua" w:hAnsi="Book Antiqua" w:cs="Arial"/>
        </w:rPr>
        <w:t xml:space="preserve"> and was</w:t>
      </w:r>
      <w:r>
        <w:rPr>
          <w:rFonts w:ascii="Book Antiqua" w:hAnsi="Book Antiqua" w:cs="Arial"/>
        </w:rPr>
        <w:t xml:space="preserve"> identified as a former asylum applicant</w:t>
      </w:r>
      <w:r w:rsidR="003D0012">
        <w:rPr>
          <w:rFonts w:ascii="Book Antiqua" w:hAnsi="Book Antiqua" w:cs="Arial"/>
        </w:rPr>
        <w:t xml:space="preserve"> who appeared</w:t>
      </w:r>
      <w:r>
        <w:rPr>
          <w:rFonts w:ascii="Book Antiqua" w:hAnsi="Book Antiqua" w:cs="Arial"/>
        </w:rPr>
        <w:t xml:space="preserve"> on the Secretary of State’s records as an absconder with no legal basis to remain in the United Kingdom</w:t>
      </w:r>
      <w:r w:rsidR="003D0012">
        <w:rPr>
          <w:rFonts w:ascii="Book Antiqua" w:hAnsi="Book Antiqua" w:cs="Arial"/>
        </w:rPr>
        <w:t>.</w:t>
      </w:r>
      <w:r w:rsidR="00C05677" w:rsidRPr="00C05677">
        <w:rPr>
          <w:rFonts w:ascii="Book Antiqua" w:hAnsi="Book Antiqua" w:cs="Arial"/>
        </w:rPr>
        <w:t xml:space="preserve"> </w:t>
      </w:r>
      <w:r w:rsidR="00C05677">
        <w:rPr>
          <w:rFonts w:ascii="Book Antiqua" w:hAnsi="Book Antiqua" w:cs="Arial"/>
        </w:rPr>
        <w:t xml:space="preserve"> </w:t>
      </w:r>
    </w:p>
    <w:p w:rsidR="003D0012" w:rsidRDefault="003D0012" w:rsidP="003D0012">
      <w:pPr>
        <w:numPr>
          <w:ilvl w:val="0"/>
          <w:numId w:val="3"/>
        </w:numPr>
        <w:spacing w:before="240"/>
        <w:jc w:val="both"/>
        <w:rPr>
          <w:rFonts w:ascii="Book Antiqua" w:hAnsi="Book Antiqua" w:cs="Arial"/>
        </w:rPr>
      </w:pPr>
      <w:r>
        <w:rPr>
          <w:rFonts w:ascii="Book Antiqua" w:hAnsi="Book Antiqua" w:cs="Arial"/>
        </w:rPr>
        <w:t xml:space="preserve">On 8 November 2006, </w:t>
      </w:r>
      <w:r w:rsidR="00C05677">
        <w:rPr>
          <w:rFonts w:ascii="Book Antiqua" w:hAnsi="Book Antiqua" w:cs="Arial"/>
        </w:rPr>
        <w:t>the appellant</w:t>
      </w:r>
      <w:r>
        <w:rPr>
          <w:rFonts w:ascii="Book Antiqua" w:hAnsi="Book Antiqua" w:cs="Arial"/>
        </w:rPr>
        <w:t xml:space="preserve"> </w:t>
      </w:r>
      <w:r w:rsidR="00D34CF4" w:rsidRPr="003D0012">
        <w:rPr>
          <w:rFonts w:ascii="Book Antiqua" w:hAnsi="Book Antiqua" w:cs="Arial"/>
        </w:rPr>
        <w:t xml:space="preserve">submitted an application for indefinite leave to remain outside the Immigration Rules on the basis of family and private life.  The application was initially rejected and resubmitted on </w:t>
      </w:r>
      <w:r w:rsidRPr="003D0012">
        <w:rPr>
          <w:rFonts w:ascii="Book Antiqua" w:hAnsi="Book Antiqua" w:cs="Arial"/>
        </w:rPr>
        <w:t>5</w:t>
      </w:r>
      <w:r w:rsidR="00D34CF4" w:rsidRPr="003D0012">
        <w:rPr>
          <w:rFonts w:ascii="Book Antiqua" w:hAnsi="Book Antiqua" w:cs="Arial"/>
        </w:rPr>
        <w:t xml:space="preserve"> December 2006.  </w:t>
      </w:r>
      <w:r w:rsidRPr="003D0012">
        <w:rPr>
          <w:rFonts w:ascii="Book Antiqua" w:hAnsi="Book Antiqua" w:cs="Arial"/>
        </w:rPr>
        <w:t xml:space="preserve">The initial application was submitted by a firm called Heer Malik both as to the ineffective application and the one which resulted in the Secretary of State’s decision.  </w:t>
      </w:r>
      <w:r w:rsidR="00C05677">
        <w:rPr>
          <w:rFonts w:ascii="Book Antiqua" w:hAnsi="Book Antiqua" w:cs="Arial"/>
        </w:rPr>
        <w:t xml:space="preserve">No decision was made on that application until 9 September 2016. </w:t>
      </w:r>
    </w:p>
    <w:p w:rsidR="00C05677" w:rsidRDefault="00C05677" w:rsidP="003D0012">
      <w:pPr>
        <w:numPr>
          <w:ilvl w:val="0"/>
          <w:numId w:val="3"/>
        </w:numPr>
        <w:spacing w:before="240"/>
        <w:jc w:val="both"/>
        <w:rPr>
          <w:rFonts w:ascii="Book Antiqua" w:hAnsi="Book Antiqua" w:cs="Arial"/>
        </w:rPr>
      </w:pPr>
      <w:r>
        <w:rPr>
          <w:rFonts w:ascii="Book Antiqua" w:hAnsi="Book Antiqua" w:cs="Arial"/>
        </w:rPr>
        <w:t>During the delay of 10 years by the respondent,</w:t>
      </w:r>
      <w:r w:rsidR="00D34CF4" w:rsidRPr="003D0012">
        <w:rPr>
          <w:rFonts w:ascii="Book Antiqua" w:hAnsi="Book Antiqua" w:cs="Arial"/>
        </w:rPr>
        <w:t xml:space="preserve"> the </w:t>
      </w:r>
      <w:r w:rsidR="00830E64" w:rsidRPr="003D0012">
        <w:rPr>
          <w:rFonts w:ascii="Book Antiqua" w:hAnsi="Book Antiqua" w:cs="Arial"/>
        </w:rPr>
        <w:t>applicant instructed a number of firms of solicitors</w:t>
      </w:r>
      <w:r>
        <w:rPr>
          <w:rFonts w:ascii="Book Antiqua" w:hAnsi="Book Antiqua" w:cs="Arial"/>
        </w:rPr>
        <w:t xml:space="preserve"> and made some rather intermittent attempts to find out what the respondent’s decision was on his application.  </w:t>
      </w:r>
    </w:p>
    <w:p w:rsidR="00BD2CCB" w:rsidRDefault="005B61BC" w:rsidP="003D0012">
      <w:pPr>
        <w:numPr>
          <w:ilvl w:val="0"/>
          <w:numId w:val="3"/>
        </w:numPr>
        <w:spacing w:before="240"/>
        <w:jc w:val="both"/>
        <w:rPr>
          <w:rFonts w:ascii="Book Antiqua" w:hAnsi="Book Antiqua" w:cs="Arial"/>
        </w:rPr>
      </w:pPr>
      <w:r>
        <w:rPr>
          <w:rFonts w:ascii="Book Antiqua" w:hAnsi="Book Antiqua" w:cs="Arial"/>
        </w:rPr>
        <w:t xml:space="preserve">Duncan Lewis, who now represent the appellant, were unable to provide a full account of the efforts made by the appellant to pursue his application, </w:t>
      </w:r>
      <w:r w:rsidR="00BD2CCB">
        <w:rPr>
          <w:rFonts w:ascii="Book Antiqua" w:hAnsi="Book Antiqua" w:cs="Arial"/>
        </w:rPr>
        <w:t xml:space="preserve">which are presumably in the records of the appellant’s former firms of solicitors.  </w:t>
      </w:r>
    </w:p>
    <w:p w:rsidR="00B86208" w:rsidRPr="00C05677" w:rsidRDefault="00830E64" w:rsidP="00C05677">
      <w:pPr>
        <w:numPr>
          <w:ilvl w:val="0"/>
          <w:numId w:val="3"/>
        </w:numPr>
        <w:spacing w:before="240"/>
        <w:jc w:val="both"/>
        <w:rPr>
          <w:rFonts w:ascii="Book Antiqua" w:hAnsi="Book Antiqua" w:cs="Arial"/>
        </w:rPr>
      </w:pPr>
      <w:r w:rsidRPr="00C05677">
        <w:rPr>
          <w:rFonts w:ascii="Book Antiqua" w:hAnsi="Book Antiqua" w:cs="Arial"/>
        </w:rPr>
        <w:t xml:space="preserve">On </w:t>
      </w:r>
      <w:r w:rsidR="003D0012" w:rsidRPr="00C05677">
        <w:rPr>
          <w:rFonts w:ascii="Book Antiqua" w:hAnsi="Book Antiqua" w:cs="Arial"/>
        </w:rPr>
        <w:t>9</w:t>
      </w:r>
      <w:r w:rsidRPr="00C05677">
        <w:rPr>
          <w:rFonts w:ascii="Book Antiqua" w:hAnsi="Book Antiqua" w:cs="Arial"/>
        </w:rPr>
        <w:t xml:space="preserve"> September 2016</w:t>
      </w:r>
      <w:r w:rsidR="00B86208" w:rsidRPr="00C05677">
        <w:rPr>
          <w:rFonts w:ascii="Book Antiqua" w:hAnsi="Book Antiqua" w:cs="Arial"/>
        </w:rPr>
        <w:t>,</w:t>
      </w:r>
      <w:r w:rsidRPr="00C05677">
        <w:rPr>
          <w:rFonts w:ascii="Book Antiqua" w:hAnsi="Book Antiqua" w:cs="Arial"/>
        </w:rPr>
        <w:t xml:space="preserve"> the</w:t>
      </w:r>
      <w:r w:rsidR="00B86208" w:rsidRPr="00C05677">
        <w:rPr>
          <w:rFonts w:ascii="Book Antiqua" w:hAnsi="Book Antiqua" w:cs="Arial"/>
        </w:rPr>
        <w:t xml:space="preserve"> respondent refused the appellant’s December 2006 application for leave to remain, </w:t>
      </w:r>
      <w:r w:rsidRPr="00C05677">
        <w:rPr>
          <w:rFonts w:ascii="Book Antiqua" w:hAnsi="Book Antiqua" w:cs="Arial"/>
        </w:rPr>
        <w:t>with an in-country right of appeal</w:t>
      </w:r>
      <w:r w:rsidR="00B86208" w:rsidRPr="00C05677">
        <w:rPr>
          <w:rFonts w:ascii="Book Antiqua" w:hAnsi="Book Antiqua" w:cs="Arial"/>
        </w:rPr>
        <w:t>,</w:t>
      </w:r>
      <w:r w:rsidRPr="00C05677">
        <w:rPr>
          <w:rFonts w:ascii="Book Antiqua" w:hAnsi="Book Antiqua" w:cs="Arial"/>
        </w:rPr>
        <w:t xml:space="preserve"> which he exercised</w:t>
      </w:r>
      <w:r w:rsidR="00B86208" w:rsidRPr="00C05677">
        <w:rPr>
          <w:rFonts w:ascii="Book Antiqua" w:hAnsi="Book Antiqua" w:cs="Arial"/>
        </w:rPr>
        <w:t xml:space="preserve">.  That is the decision which was challenged </w:t>
      </w:r>
      <w:r w:rsidRPr="00C05677">
        <w:rPr>
          <w:rFonts w:ascii="Book Antiqua" w:hAnsi="Book Antiqua" w:cs="Arial"/>
        </w:rPr>
        <w:t xml:space="preserve">before First-tier </w:t>
      </w:r>
      <w:r w:rsidR="00C05677">
        <w:rPr>
          <w:rFonts w:ascii="Book Antiqua" w:hAnsi="Book Antiqua" w:cs="Arial"/>
        </w:rPr>
        <w:t>Judge</w:t>
      </w:r>
      <w:r w:rsidRPr="00C05677">
        <w:rPr>
          <w:rFonts w:ascii="Book Antiqua" w:hAnsi="Book Antiqua" w:cs="Arial"/>
        </w:rPr>
        <w:t xml:space="preserve"> Cohen in February 2018.</w:t>
      </w:r>
      <w:r w:rsidR="00326A14" w:rsidRPr="00C05677">
        <w:rPr>
          <w:rFonts w:ascii="Book Antiqua" w:hAnsi="Book Antiqua" w:cs="Arial"/>
        </w:rPr>
        <w:t xml:space="preserve">  </w:t>
      </w:r>
    </w:p>
    <w:p w:rsidR="00B86208" w:rsidRPr="00B86208" w:rsidRDefault="00B86208" w:rsidP="00B86208">
      <w:pPr>
        <w:spacing w:before="240"/>
        <w:jc w:val="both"/>
        <w:rPr>
          <w:rFonts w:ascii="Book Antiqua" w:hAnsi="Book Antiqua" w:cs="Arial"/>
          <w:b/>
        </w:rPr>
      </w:pPr>
      <w:r>
        <w:rPr>
          <w:rFonts w:ascii="Book Antiqua" w:hAnsi="Book Antiqua" w:cs="Arial"/>
          <w:b/>
        </w:rPr>
        <w:t xml:space="preserve">First-tier Tribunal decision </w:t>
      </w:r>
    </w:p>
    <w:p w:rsidR="00BD2CCB" w:rsidRDefault="00326A14" w:rsidP="003D0012">
      <w:pPr>
        <w:numPr>
          <w:ilvl w:val="0"/>
          <w:numId w:val="3"/>
        </w:numPr>
        <w:spacing w:before="240"/>
        <w:jc w:val="both"/>
        <w:rPr>
          <w:rFonts w:ascii="Book Antiqua" w:hAnsi="Book Antiqua" w:cs="Arial"/>
        </w:rPr>
      </w:pPr>
      <w:r w:rsidRPr="003D0012">
        <w:rPr>
          <w:rFonts w:ascii="Book Antiqua" w:hAnsi="Book Antiqua" w:cs="Arial"/>
        </w:rPr>
        <w:t xml:space="preserve">The First-tier </w:t>
      </w:r>
      <w:r w:rsidR="00C05677">
        <w:rPr>
          <w:rFonts w:ascii="Book Antiqua" w:hAnsi="Book Antiqua" w:cs="Arial"/>
        </w:rPr>
        <w:t>Judge</w:t>
      </w:r>
      <w:r w:rsidRPr="003D0012">
        <w:rPr>
          <w:rFonts w:ascii="Book Antiqua" w:hAnsi="Book Antiqua" w:cs="Arial"/>
        </w:rPr>
        <w:t xml:space="preserve"> had </w:t>
      </w:r>
      <w:r w:rsidR="00BD2CCB">
        <w:rPr>
          <w:rFonts w:ascii="Book Antiqua" w:hAnsi="Book Antiqua" w:cs="Arial"/>
        </w:rPr>
        <w:t xml:space="preserve">before her </w:t>
      </w:r>
      <w:r w:rsidRPr="003D0012">
        <w:rPr>
          <w:rFonts w:ascii="Book Antiqua" w:hAnsi="Book Antiqua" w:cs="Arial"/>
        </w:rPr>
        <w:t>no evidence</w:t>
      </w:r>
      <w:r w:rsidR="00BD2CCB">
        <w:rPr>
          <w:rFonts w:ascii="Book Antiqua" w:hAnsi="Book Antiqua" w:cs="Arial"/>
        </w:rPr>
        <w:t xml:space="preserve"> about the appellant’s efforts to pursue this application, save his </w:t>
      </w:r>
      <w:r w:rsidR="00C05677">
        <w:rPr>
          <w:rFonts w:ascii="Book Antiqua" w:hAnsi="Book Antiqua" w:cs="Arial"/>
        </w:rPr>
        <w:t xml:space="preserve">oral evidence that he had pursued the application with the Home Office ‘from time to time’. </w:t>
      </w:r>
    </w:p>
    <w:p w:rsidR="00B86208" w:rsidRDefault="00B86208" w:rsidP="003D0012">
      <w:pPr>
        <w:numPr>
          <w:ilvl w:val="0"/>
          <w:numId w:val="3"/>
        </w:numPr>
        <w:spacing w:before="240"/>
        <w:jc w:val="both"/>
        <w:rPr>
          <w:rFonts w:ascii="Book Antiqua" w:hAnsi="Book Antiqua" w:cs="Arial"/>
        </w:rPr>
      </w:pPr>
      <w:r w:rsidRPr="003D0012">
        <w:rPr>
          <w:rFonts w:ascii="Book Antiqua" w:hAnsi="Book Antiqua" w:cs="Arial"/>
        </w:rPr>
        <w:t xml:space="preserve">The </w:t>
      </w:r>
      <w:r w:rsidR="00C05677">
        <w:rPr>
          <w:rFonts w:ascii="Book Antiqua" w:hAnsi="Book Antiqua" w:cs="Arial"/>
        </w:rPr>
        <w:t>First-tier Judge</w:t>
      </w:r>
      <w:r w:rsidRPr="003D0012">
        <w:rPr>
          <w:rFonts w:ascii="Book Antiqua" w:hAnsi="Book Antiqua" w:cs="Arial"/>
        </w:rPr>
        <w:t xml:space="preserve"> found as a fact that the appellant came to the United Kingdom for economic purposes and did little to chase the Home Office during the </w:t>
      </w:r>
      <w:r w:rsidR="00BD2CCB" w:rsidRPr="003D0012">
        <w:rPr>
          <w:rFonts w:ascii="Book Antiqua" w:hAnsi="Book Antiqua" w:cs="Arial"/>
        </w:rPr>
        <w:t>ten-year</w:t>
      </w:r>
      <w:r w:rsidRPr="003D0012">
        <w:rPr>
          <w:rFonts w:ascii="Book Antiqua" w:hAnsi="Book Antiqua" w:cs="Arial"/>
        </w:rPr>
        <w:t xml:space="preserve"> delay.  That </w:t>
      </w:r>
      <w:r w:rsidR="005B61BC">
        <w:rPr>
          <w:rFonts w:ascii="Book Antiqua" w:hAnsi="Book Antiqua" w:cs="Arial"/>
        </w:rPr>
        <w:t xml:space="preserve">conclusion is supported by the information in the Secretary of State’s records disclosed by Mr Tufan </w:t>
      </w:r>
      <w:r w:rsidR="00BD2CCB">
        <w:rPr>
          <w:rFonts w:ascii="Book Antiqua" w:hAnsi="Book Antiqua" w:cs="Arial"/>
        </w:rPr>
        <w:t>at the Upper Tribunal hearing (see below)</w:t>
      </w:r>
      <w:r w:rsidR="005B61BC">
        <w:rPr>
          <w:rFonts w:ascii="Book Antiqua" w:hAnsi="Book Antiqua" w:cs="Arial"/>
        </w:rPr>
        <w:t xml:space="preserve">. </w:t>
      </w:r>
      <w:r w:rsidRPr="003D0012">
        <w:rPr>
          <w:rFonts w:ascii="Book Antiqua" w:hAnsi="Book Antiqua" w:cs="Arial"/>
        </w:rPr>
        <w:t xml:space="preserve"> </w:t>
      </w:r>
      <w:r w:rsidR="005B61BC">
        <w:rPr>
          <w:rFonts w:ascii="Book Antiqua" w:hAnsi="Book Antiqua" w:cs="Arial"/>
        </w:rPr>
        <w:t xml:space="preserve"> </w:t>
      </w:r>
    </w:p>
    <w:p w:rsidR="003F33ED" w:rsidRPr="003D0012" w:rsidRDefault="00326A14" w:rsidP="003D0012">
      <w:pPr>
        <w:numPr>
          <w:ilvl w:val="0"/>
          <w:numId w:val="3"/>
        </w:numPr>
        <w:spacing w:before="240"/>
        <w:jc w:val="both"/>
        <w:rPr>
          <w:rFonts w:ascii="Book Antiqua" w:hAnsi="Book Antiqua" w:cs="Arial"/>
        </w:rPr>
      </w:pPr>
      <w:r w:rsidRPr="003D0012">
        <w:rPr>
          <w:rFonts w:ascii="Book Antiqua" w:hAnsi="Book Antiqua" w:cs="Arial"/>
        </w:rPr>
        <w:t xml:space="preserve">The </w:t>
      </w:r>
      <w:r w:rsidR="00B86208">
        <w:rPr>
          <w:rFonts w:ascii="Book Antiqua" w:hAnsi="Book Antiqua" w:cs="Arial"/>
        </w:rPr>
        <w:t xml:space="preserve">First-tier Tribunal </w:t>
      </w:r>
      <w:r w:rsidRPr="003D0012">
        <w:rPr>
          <w:rFonts w:ascii="Book Antiqua" w:hAnsi="Book Antiqua" w:cs="Arial"/>
        </w:rPr>
        <w:t xml:space="preserve">decision continues </w:t>
      </w:r>
    </w:p>
    <w:p w:rsidR="00830E64" w:rsidRPr="00D26863" w:rsidRDefault="00326A14" w:rsidP="003A1F8C">
      <w:pPr>
        <w:spacing w:before="120"/>
        <w:ind w:left="1134" w:right="567"/>
        <w:jc w:val="both"/>
        <w:rPr>
          <w:rFonts w:ascii="Book Antiqua" w:hAnsi="Book Antiqua" w:cs="Arial"/>
          <w:sz w:val="22"/>
          <w:szCs w:val="22"/>
        </w:rPr>
      </w:pPr>
      <w:r w:rsidRPr="00D26863">
        <w:rPr>
          <w:rFonts w:ascii="Book Antiqua" w:hAnsi="Book Antiqua" w:cs="Arial"/>
          <w:sz w:val="22"/>
          <w:szCs w:val="22"/>
        </w:rPr>
        <w:t>“</w:t>
      </w:r>
      <w:r w:rsidR="003F33ED" w:rsidRPr="00D26863">
        <w:rPr>
          <w:rFonts w:ascii="Book Antiqua" w:hAnsi="Book Antiqua" w:cs="Arial"/>
          <w:sz w:val="22"/>
          <w:szCs w:val="22"/>
        </w:rPr>
        <w:t>T</w:t>
      </w:r>
      <w:r w:rsidRPr="00D26863">
        <w:rPr>
          <w:rFonts w:ascii="Book Antiqua" w:hAnsi="Book Antiqua" w:cs="Arial"/>
          <w:sz w:val="22"/>
          <w:szCs w:val="22"/>
        </w:rPr>
        <w:t>he appellant claims to have provided documents required by the Home Office with previous representatives but has produced no evidence to substantiate that claim which I disbelieve.  He did not have an outstanding</w:t>
      </w:r>
      <w:r w:rsidR="002D0D5C" w:rsidRPr="00D26863">
        <w:rPr>
          <w:rFonts w:ascii="Book Antiqua" w:hAnsi="Book Antiqua" w:cs="Arial"/>
          <w:sz w:val="22"/>
          <w:szCs w:val="22"/>
        </w:rPr>
        <w:t xml:space="preserve"> asylum</w:t>
      </w:r>
      <w:r w:rsidRPr="00D26863">
        <w:rPr>
          <w:rFonts w:ascii="Book Antiqua" w:hAnsi="Book Antiqua" w:cs="Arial"/>
          <w:sz w:val="22"/>
          <w:szCs w:val="22"/>
        </w:rPr>
        <w:t xml:space="preserve"> claim and would </w:t>
      </w:r>
      <w:r w:rsidRPr="00D26863">
        <w:rPr>
          <w:rFonts w:ascii="Book Antiqua" w:hAnsi="Book Antiqua" w:cs="Arial"/>
          <w:sz w:val="22"/>
          <w:szCs w:val="22"/>
        </w:rPr>
        <w:lastRenderedPageBreak/>
        <w:t>not be able to take advantage of th</w:t>
      </w:r>
      <w:r w:rsidR="00AA2AA9" w:rsidRPr="00D26863">
        <w:rPr>
          <w:rFonts w:ascii="Book Antiqua" w:hAnsi="Book Antiqua" w:cs="Arial"/>
          <w:sz w:val="22"/>
          <w:szCs w:val="22"/>
        </w:rPr>
        <w:t>e Legacy S</w:t>
      </w:r>
      <w:r w:rsidR="003F33ED" w:rsidRPr="00D26863">
        <w:rPr>
          <w:rFonts w:ascii="Book Antiqua" w:hAnsi="Book Antiqua" w:cs="Arial"/>
          <w:sz w:val="22"/>
          <w:szCs w:val="22"/>
        </w:rPr>
        <w:t>cheme</w:t>
      </w:r>
      <w:r w:rsidR="00B86208">
        <w:rPr>
          <w:rFonts w:ascii="Book Antiqua" w:hAnsi="Book Antiqua" w:cs="Arial"/>
          <w:sz w:val="22"/>
          <w:szCs w:val="22"/>
        </w:rPr>
        <w:t>.</w:t>
      </w:r>
      <w:r w:rsidR="003F33ED" w:rsidRPr="00D26863">
        <w:rPr>
          <w:rFonts w:ascii="Book Antiqua" w:hAnsi="Book Antiqua" w:cs="Arial"/>
          <w:sz w:val="22"/>
          <w:szCs w:val="22"/>
        </w:rPr>
        <w:t xml:space="preserve"> </w:t>
      </w:r>
      <w:r w:rsidR="00B86208" w:rsidRPr="00D26863">
        <w:rPr>
          <w:rFonts w:ascii="Book Antiqua" w:hAnsi="Book Antiqua" w:cs="Arial"/>
          <w:sz w:val="22"/>
          <w:szCs w:val="22"/>
        </w:rPr>
        <w:t xml:space="preserve">The </w:t>
      </w:r>
      <w:r w:rsidR="003F33ED" w:rsidRPr="00D26863">
        <w:rPr>
          <w:rFonts w:ascii="Book Antiqua" w:hAnsi="Book Antiqua" w:cs="Arial"/>
          <w:sz w:val="22"/>
          <w:szCs w:val="22"/>
        </w:rPr>
        <w:t xml:space="preserve">majority of </w:t>
      </w:r>
      <w:r w:rsidRPr="00D26863">
        <w:rPr>
          <w:rFonts w:ascii="Book Antiqua" w:hAnsi="Book Antiqua" w:cs="Arial"/>
          <w:sz w:val="22"/>
          <w:szCs w:val="22"/>
        </w:rPr>
        <w:t>his family members remain in India and the appellant is in contact with them.  I have addressed the appellant’s work activities above and rely on those conclusions.  The appellant may equally attend</w:t>
      </w:r>
      <w:r w:rsidR="003F33ED" w:rsidRPr="00D26863">
        <w:rPr>
          <w:rFonts w:ascii="Book Antiqua" w:hAnsi="Book Antiqua" w:cs="Arial"/>
          <w:sz w:val="22"/>
          <w:szCs w:val="22"/>
        </w:rPr>
        <w:t xml:space="preserve"> </w:t>
      </w:r>
      <w:r w:rsidR="00B86208" w:rsidRPr="00D26863">
        <w:rPr>
          <w:rFonts w:ascii="Book Antiqua" w:hAnsi="Book Antiqua" w:cs="Arial"/>
          <w:sz w:val="22"/>
          <w:szCs w:val="22"/>
        </w:rPr>
        <w:t xml:space="preserve">Temple </w:t>
      </w:r>
      <w:r w:rsidR="003F33ED" w:rsidRPr="00D26863">
        <w:rPr>
          <w:rFonts w:ascii="Book Antiqua" w:hAnsi="Book Antiqua" w:cs="Arial"/>
          <w:sz w:val="22"/>
          <w:szCs w:val="22"/>
        </w:rPr>
        <w:t>and undertake voluntary activities on return to India.  I find that the appellant may use his work experience and experience of living in the United Kingdom in order to assist him in finding suitable employment upon return to India.  Furthermore the appellant’s sister and brother-in-law have supported his family financially in India and I find that they may equally support the appellant upon return.”</w:t>
      </w:r>
    </w:p>
    <w:p w:rsidR="00CB5DC2" w:rsidRDefault="003F33ED" w:rsidP="00CB5DC2">
      <w:pPr>
        <w:spacing w:before="240"/>
        <w:ind w:left="567"/>
        <w:jc w:val="both"/>
        <w:rPr>
          <w:rFonts w:ascii="Book Antiqua" w:hAnsi="Book Antiqua" w:cs="Arial"/>
        </w:rPr>
      </w:pPr>
      <w:r>
        <w:rPr>
          <w:rFonts w:ascii="Book Antiqua" w:hAnsi="Book Antiqua" w:cs="Arial"/>
        </w:rPr>
        <w:t>That is the</w:t>
      </w:r>
      <w:r w:rsidR="00B86208">
        <w:rPr>
          <w:rFonts w:ascii="Book Antiqua" w:hAnsi="Book Antiqua" w:cs="Arial"/>
        </w:rPr>
        <w:t xml:space="preserve"> extent of the</w:t>
      </w:r>
      <w:r>
        <w:rPr>
          <w:rFonts w:ascii="Book Antiqua" w:hAnsi="Book Antiqua" w:cs="Arial"/>
        </w:rPr>
        <w:t xml:space="preserve"> analysis </w:t>
      </w:r>
      <w:r w:rsidR="00B86208">
        <w:rPr>
          <w:rFonts w:ascii="Book Antiqua" w:hAnsi="Book Antiqua" w:cs="Arial"/>
        </w:rPr>
        <w:t xml:space="preserve">within the determination </w:t>
      </w:r>
      <w:r>
        <w:rPr>
          <w:rFonts w:ascii="Book Antiqua" w:hAnsi="Book Antiqua" w:cs="Arial"/>
        </w:rPr>
        <w:t xml:space="preserve">of Article 8 </w:t>
      </w:r>
      <w:r w:rsidR="00B86208">
        <w:rPr>
          <w:rFonts w:ascii="Book Antiqua" w:hAnsi="Book Antiqua" w:cs="Arial"/>
        </w:rPr>
        <w:t xml:space="preserve">ECHR </w:t>
      </w:r>
      <w:r>
        <w:rPr>
          <w:rFonts w:ascii="Book Antiqua" w:hAnsi="Book Antiqua" w:cs="Arial"/>
        </w:rPr>
        <w:t xml:space="preserve">outside the Rules.  </w:t>
      </w:r>
    </w:p>
    <w:p w:rsidR="00B86208" w:rsidRPr="00B86208" w:rsidRDefault="00B86208" w:rsidP="00B86208">
      <w:pPr>
        <w:spacing w:before="240"/>
        <w:jc w:val="both"/>
        <w:rPr>
          <w:rFonts w:ascii="Book Antiqua" w:hAnsi="Book Antiqua" w:cs="Arial"/>
          <w:b/>
        </w:rPr>
      </w:pPr>
      <w:r>
        <w:rPr>
          <w:rFonts w:ascii="Book Antiqua" w:hAnsi="Book Antiqua" w:cs="Arial"/>
          <w:b/>
        </w:rPr>
        <w:t xml:space="preserve">Permission to appeal </w:t>
      </w:r>
    </w:p>
    <w:p w:rsidR="00BD2CCB" w:rsidRDefault="003F33ED" w:rsidP="00284307">
      <w:pPr>
        <w:numPr>
          <w:ilvl w:val="0"/>
          <w:numId w:val="3"/>
        </w:numPr>
        <w:spacing w:before="240"/>
        <w:jc w:val="both"/>
        <w:rPr>
          <w:rFonts w:ascii="Book Antiqua" w:hAnsi="Book Antiqua" w:cs="Arial"/>
        </w:rPr>
      </w:pPr>
      <w:r>
        <w:rPr>
          <w:rFonts w:ascii="Book Antiqua" w:hAnsi="Book Antiqua" w:cs="Arial"/>
        </w:rPr>
        <w:t>The challenge to the First-tier Judge’s decision is made</w:t>
      </w:r>
      <w:r w:rsidR="001C3482">
        <w:rPr>
          <w:rFonts w:ascii="Book Antiqua" w:hAnsi="Book Antiqua" w:cs="Arial"/>
        </w:rPr>
        <w:t xml:space="preserve"> </w:t>
      </w:r>
      <w:r w:rsidR="00BD2CCB">
        <w:rPr>
          <w:rFonts w:ascii="Book Antiqua" w:hAnsi="Book Antiqua" w:cs="Arial"/>
        </w:rPr>
        <w:t>on four grounds.  The appellant contends that:</w:t>
      </w:r>
    </w:p>
    <w:p w:rsidR="00BD2CCB" w:rsidRDefault="00BD2CCB" w:rsidP="003A1F8C">
      <w:pPr>
        <w:pStyle w:val="ListParagraph"/>
        <w:numPr>
          <w:ilvl w:val="3"/>
          <w:numId w:val="3"/>
        </w:numPr>
        <w:tabs>
          <w:tab w:val="clear" w:pos="2268"/>
          <w:tab w:val="num" w:pos="1134"/>
        </w:tabs>
        <w:spacing w:before="120"/>
        <w:ind w:left="1134"/>
        <w:contextualSpacing w:val="0"/>
        <w:jc w:val="both"/>
        <w:rPr>
          <w:rFonts w:ascii="Book Antiqua" w:hAnsi="Book Antiqua" w:cs="Arial"/>
        </w:rPr>
      </w:pPr>
      <w:r w:rsidRPr="00BD2CCB">
        <w:rPr>
          <w:rFonts w:ascii="Book Antiqua" w:hAnsi="Book Antiqua" w:cs="Arial"/>
        </w:rPr>
        <w:t>He was entitled to the benefit of the Immigration Rules as they were before 9 July 2012, by reason of the date when the application was made</w:t>
      </w:r>
      <w:r>
        <w:rPr>
          <w:rFonts w:ascii="Book Antiqua" w:hAnsi="Book Antiqua" w:cs="Arial"/>
        </w:rPr>
        <w:t>;</w:t>
      </w:r>
    </w:p>
    <w:p w:rsidR="00BD2CCB" w:rsidRDefault="00BD2CCB" w:rsidP="003A1F8C">
      <w:pPr>
        <w:pStyle w:val="ListParagraph"/>
        <w:numPr>
          <w:ilvl w:val="3"/>
          <w:numId w:val="3"/>
        </w:numPr>
        <w:tabs>
          <w:tab w:val="clear" w:pos="2268"/>
          <w:tab w:val="num" w:pos="1134"/>
        </w:tabs>
        <w:spacing w:before="120"/>
        <w:ind w:left="1134"/>
        <w:contextualSpacing w:val="0"/>
        <w:jc w:val="both"/>
        <w:rPr>
          <w:rFonts w:ascii="Book Antiqua" w:hAnsi="Book Antiqua" w:cs="Arial"/>
        </w:rPr>
      </w:pPr>
      <w:r>
        <w:rPr>
          <w:rFonts w:ascii="Book Antiqua" w:hAnsi="Book Antiqua" w:cs="Arial"/>
        </w:rPr>
        <w:t>It was not open to the First-tier Judge to find as a fact that the appellant made very little effort to chase the Home Office for a decision during the 10-year delay;</w:t>
      </w:r>
    </w:p>
    <w:p w:rsidR="00BD2CCB" w:rsidRDefault="00BD2CCB" w:rsidP="003A1F8C">
      <w:pPr>
        <w:pStyle w:val="ListParagraph"/>
        <w:numPr>
          <w:ilvl w:val="3"/>
          <w:numId w:val="3"/>
        </w:numPr>
        <w:tabs>
          <w:tab w:val="clear" w:pos="2268"/>
        </w:tabs>
        <w:spacing w:before="120"/>
        <w:ind w:left="1134"/>
        <w:contextualSpacing w:val="0"/>
        <w:jc w:val="both"/>
        <w:rPr>
          <w:rFonts w:ascii="Book Antiqua" w:hAnsi="Book Antiqua" w:cs="Arial"/>
        </w:rPr>
      </w:pPr>
      <w:r>
        <w:rPr>
          <w:rFonts w:ascii="Book Antiqua" w:hAnsi="Book Antiqua" w:cs="Arial"/>
        </w:rPr>
        <w:t xml:space="preserve">Having regard to the lengthy delay, and the private life which had arisen during the almost 18 years which the appellant spent in the United Kingdom, the appellant continues to assert that his removal would be disproportionate and therefore unlawful; </w:t>
      </w:r>
      <w:r w:rsidRPr="00BD2CCB">
        <w:rPr>
          <w:rFonts w:ascii="Book Antiqua" w:hAnsi="Book Antiqua" w:cs="Arial"/>
        </w:rPr>
        <w:t xml:space="preserve">and </w:t>
      </w:r>
    </w:p>
    <w:p w:rsidR="00BD2CCB" w:rsidRDefault="00D5443F" w:rsidP="003A1F8C">
      <w:pPr>
        <w:pStyle w:val="ListParagraph"/>
        <w:numPr>
          <w:ilvl w:val="3"/>
          <w:numId w:val="3"/>
        </w:numPr>
        <w:tabs>
          <w:tab w:val="clear" w:pos="2268"/>
          <w:tab w:val="num" w:pos="1134"/>
        </w:tabs>
        <w:spacing w:before="120"/>
        <w:ind w:left="1134"/>
        <w:contextualSpacing w:val="0"/>
        <w:jc w:val="both"/>
        <w:rPr>
          <w:rFonts w:ascii="Book Antiqua" w:hAnsi="Book Antiqua" w:cs="Arial"/>
        </w:rPr>
      </w:pPr>
      <w:r>
        <w:rPr>
          <w:rFonts w:ascii="Book Antiqua" w:hAnsi="Book Antiqua" w:cs="Arial"/>
        </w:rPr>
        <w:t xml:space="preserve">The Judge erred in law in failing to consider </w:t>
      </w:r>
      <w:r w:rsidRPr="00D5443F">
        <w:rPr>
          <w:rFonts w:ascii="Book Antiqua" w:hAnsi="Book Antiqua" w:cs="Arial"/>
        </w:rPr>
        <w:t xml:space="preserve">with Article 8 </w:t>
      </w:r>
      <w:r>
        <w:rPr>
          <w:rFonts w:ascii="Book Antiqua" w:hAnsi="Book Antiqua" w:cs="Arial"/>
        </w:rPr>
        <w:t xml:space="preserve">ECHR </w:t>
      </w:r>
      <w:r w:rsidRPr="00D5443F">
        <w:rPr>
          <w:rFonts w:ascii="Book Antiqua" w:hAnsi="Book Antiqua" w:cs="Arial"/>
        </w:rPr>
        <w:t xml:space="preserve">within </w:t>
      </w:r>
      <w:r>
        <w:rPr>
          <w:rFonts w:ascii="Book Antiqua" w:hAnsi="Book Antiqua" w:cs="Arial"/>
        </w:rPr>
        <w:t xml:space="preserve">the Rules before moving on to consideration of whether there were any exceptional circumstances for which leave to remain should be given on Article 8 grounds outside the Rules. </w:t>
      </w:r>
      <w:r w:rsidRPr="00D5443F">
        <w:rPr>
          <w:rFonts w:ascii="Book Antiqua" w:hAnsi="Book Antiqua" w:cs="Arial"/>
        </w:rPr>
        <w:t xml:space="preserve"> </w:t>
      </w:r>
      <w:r>
        <w:rPr>
          <w:rFonts w:ascii="Book Antiqua" w:hAnsi="Book Antiqua" w:cs="Arial"/>
        </w:rPr>
        <w:t xml:space="preserve"> </w:t>
      </w:r>
    </w:p>
    <w:p w:rsidR="00BD2CCB" w:rsidRDefault="00D5443F" w:rsidP="00284307">
      <w:pPr>
        <w:numPr>
          <w:ilvl w:val="0"/>
          <w:numId w:val="3"/>
        </w:numPr>
        <w:spacing w:before="240"/>
        <w:jc w:val="both"/>
        <w:rPr>
          <w:rFonts w:ascii="Book Antiqua" w:hAnsi="Book Antiqua" w:cs="Arial"/>
        </w:rPr>
      </w:pPr>
      <w:r>
        <w:rPr>
          <w:rFonts w:ascii="Book Antiqua" w:hAnsi="Book Antiqua" w:cs="Arial"/>
        </w:rPr>
        <w:t xml:space="preserve">First-tier Judge </w:t>
      </w:r>
      <w:proofErr w:type="spellStart"/>
      <w:r>
        <w:rPr>
          <w:rFonts w:ascii="Book Antiqua" w:hAnsi="Book Antiqua" w:cs="Arial"/>
        </w:rPr>
        <w:t>Foudy</w:t>
      </w:r>
      <w:proofErr w:type="spellEnd"/>
      <w:r>
        <w:rPr>
          <w:rFonts w:ascii="Book Antiqua" w:hAnsi="Book Antiqua" w:cs="Arial"/>
        </w:rPr>
        <w:t xml:space="preserve"> granted permission, principally on the basis of ground (1) above, but all grounds may be argued.</w:t>
      </w:r>
    </w:p>
    <w:p w:rsidR="00D5443F" w:rsidRPr="00D5443F" w:rsidRDefault="00D5443F" w:rsidP="00D5443F">
      <w:pPr>
        <w:spacing w:before="240"/>
        <w:jc w:val="both"/>
        <w:rPr>
          <w:rFonts w:ascii="Book Antiqua" w:hAnsi="Book Antiqua" w:cs="Arial"/>
          <w:b/>
        </w:rPr>
      </w:pPr>
      <w:r>
        <w:rPr>
          <w:rFonts w:ascii="Book Antiqua" w:hAnsi="Book Antiqua" w:cs="Arial"/>
          <w:b/>
        </w:rPr>
        <w:t>Rule 24 Reply</w:t>
      </w:r>
    </w:p>
    <w:p w:rsidR="00D5443F" w:rsidRDefault="00D5443F" w:rsidP="00D5443F">
      <w:pPr>
        <w:numPr>
          <w:ilvl w:val="0"/>
          <w:numId w:val="3"/>
        </w:numPr>
        <w:spacing w:before="240"/>
        <w:jc w:val="both"/>
        <w:rPr>
          <w:rFonts w:ascii="Book Antiqua" w:hAnsi="Book Antiqua" w:cs="Arial"/>
        </w:rPr>
      </w:pPr>
      <w:r>
        <w:rPr>
          <w:rFonts w:ascii="Book Antiqua" w:hAnsi="Book Antiqua" w:cs="Arial"/>
        </w:rPr>
        <w:t xml:space="preserve">The respondent in his Rule 24 Reply relied on </w:t>
      </w:r>
      <w:r w:rsidRPr="00D5443F">
        <w:rPr>
          <w:rFonts w:ascii="Book Antiqua" w:hAnsi="Book Antiqua" w:cs="Arial"/>
          <w:i/>
        </w:rPr>
        <w:t xml:space="preserve">Singh v Secretary of State for the Home Department </w:t>
      </w:r>
      <w:r w:rsidRPr="00D5443F">
        <w:rPr>
          <w:rFonts w:ascii="Book Antiqua" w:hAnsi="Book Antiqua" w:cs="Arial"/>
        </w:rPr>
        <w:t>[2015] EWCA Civ 74</w:t>
      </w:r>
      <w:r>
        <w:rPr>
          <w:rFonts w:ascii="Book Antiqua" w:hAnsi="Book Antiqua" w:cs="Arial"/>
        </w:rPr>
        <w:t xml:space="preserve">, which held that the </w:t>
      </w:r>
      <w:r>
        <w:rPr>
          <w:rFonts w:ascii="Book Antiqua" w:hAnsi="Book Antiqua" w:cs="Arial"/>
          <w:i/>
        </w:rPr>
        <w:t xml:space="preserve">Edgehill </w:t>
      </w:r>
      <w:r>
        <w:rPr>
          <w:rFonts w:ascii="Book Antiqua" w:hAnsi="Book Antiqua" w:cs="Arial"/>
        </w:rPr>
        <w:t>exception applied only to decisions made in a two-month window which ended on 9 September 2012.  The respondent therefore contends that he was entitled to apply the Rules as they stood at 9 September 2016, when the contested refusal decision was made.</w:t>
      </w:r>
    </w:p>
    <w:p w:rsidR="00D5443F" w:rsidRDefault="00D5443F" w:rsidP="00D5443F">
      <w:pPr>
        <w:numPr>
          <w:ilvl w:val="0"/>
          <w:numId w:val="3"/>
        </w:numPr>
        <w:spacing w:before="240"/>
        <w:jc w:val="both"/>
        <w:rPr>
          <w:rFonts w:ascii="Book Antiqua" w:hAnsi="Book Antiqua" w:cs="Arial"/>
        </w:rPr>
      </w:pPr>
      <w:r>
        <w:rPr>
          <w:rFonts w:ascii="Book Antiqua" w:hAnsi="Book Antiqua" w:cs="Arial"/>
        </w:rPr>
        <w:t>That is the basis on which this appeal came before the Upper Tribunal.</w:t>
      </w:r>
    </w:p>
    <w:p w:rsidR="00BD2CCB" w:rsidRPr="00BD2CCB" w:rsidRDefault="00BD2CCB" w:rsidP="00BD2CCB">
      <w:pPr>
        <w:spacing w:before="240"/>
        <w:jc w:val="both"/>
        <w:rPr>
          <w:rFonts w:ascii="Book Antiqua" w:hAnsi="Book Antiqua" w:cs="Arial"/>
          <w:b/>
        </w:rPr>
      </w:pPr>
      <w:r>
        <w:rPr>
          <w:rFonts w:ascii="Book Antiqua" w:hAnsi="Book Antiqua" w:cs="Arial"/>
          <w:b/>
        </w:rPr>
        <w:t>Secretary of State GCID chronology</w:t>
      </w:r>
    </w:p>
    <w:p w:rsidR="00D5443F" w:rsidRDefault="00D5443F" w:rsidP="00D5443F">
      <w:pPr>
        <w:numPr>
          <w:ilvl w:val="0"/>
          <w:numId w:val="3"/>
        </w:numPr>
        <w:spacing w:before="240"/>
        <w:jc w:val="both"/>
        <w:rPr>
          <w:rFonts w:ascii="Book Antiqua" w:hAnsi="Book Antiqua" w:cs="Arial"/>
        </w:rPr>
      </w:pPr>
      <w:r>
        <w:rPr>
          <w:rFonts w:ascii="Book Antiqua" w:hAnsi="Book Antiqua" w:cs="Arial"/>
        </w:rPr>
        <w:t xml:space="preserve">The appellant is unable to say how often he contacted the respondent to seek to progress his application during the 10-year delay between December 2006 and </w:t>
      </w:r>
      <w:r>
        <w:rPr>
          <w:rFonts w:ascii="Book Antiqua" w:hAnsi="Book Antiqua" w:cs="Arial"/>
        </w:rPr>
        <w:lastRenderedPageBreak/>
        <w:t xml:space="preserve">September 2016.  </w:t>
      </w:r>
      <w:r w:rsidR="00BD2CCB" w:rsidRPr="00BD2CCB">
        <w:rPr>
          <w:rFonts w:ascii="Book Antiqua" w:hAnsi="Book Antiqua" w:cs="Arial"/>
        </w:rPr>
        <w:t xml:space="preserve">Mr Hussain for the appellant accepts that the appellant did not produce at the First-tier Tribunal hearing any of the solicitors’ correspondence </w:t>
      </w:r>
      <w:r>
        <w:rPr>
          <w:rFonts w:ascii="Book Antiqua" w:hAnsi="Book Antiqua" w:cs="Arial"/>
        </w:rPr>
        <w:t>from his former solicitors to support his evidence that he did so ‘from time to time’</w:t>
      </w:r>
      <w:r w:rsidR="00BD2CCB" w:rsidRPr="00BD2CCB">
        <w:rPr>
          <w:rFonts w:ascii="Book Antiqua" w:hAnsi="Book Antiqua" w:cs="Arial"/>
        </w:rPr>
        <w:t xml:space="preserve">.  </w:t>
      </w:r>
      <w:r w:rsidRPr="00BD2CCB">
        <w:rPr>
          <w:rFonts w:ascii="Book Antiqua" w:hAnsi="Book Antiqua" w:cs="Arial"/>
        </w:rPr>
        <w:t>Mr Hussain raised no objection</w:t>
      </w:r>
      <w:r>
        <w:rPr>
          <w:rFonts w:ascii="Book Antiqua" w:hAnsi="Book Antiqua" w:cs="Arial"/>
        </w:rPr>
        <w:t xml:space="preserve"> on the appellant’s behalf</w:t>
      </w:r>
      <w:r w:rsidRPr="00BD2CCB">
        <w:rPr>
          <w:rFonts w:ascii="Book Antiqua" w:hAnsi="Book Antiqua" w:cs="Arial"/>
        </w:rPr>
        <w:t xml:space="preserve"> when Mr Tufan offered to clarify what happened, by reference to notes on the respondent’s GCID database, which he had available on his laptop at the hearing.</w:t>
      </w:r>
    </w:p>
    <w:p w:rsidR="00BD2CCB" w:rsidRPr="00BD2CCB" w:rsidRDefault="00BD2CCB" w:rsidP="00D5443F">
      <w:pPr>
        <w:numPr>
          <w:ilvl w:val="0"/>
          <w:numId w:val="3"/>
        </w:numPr>
        <w:spacing w:before="240"/>
        <w:jc w:val="both"/>
        <w:rPr>
          <w:rFonts w:ascii="Book Antiqua" w:hAnsi="Book Antiqua" w:cs="Arial"/>
        </w:rPr>
      </w:pPr>
      <w:r w:rsidRPr="00BD2CCB">
        <w:rPr>
          <w:rFonts w:ascii="Book Antiqua" w:hAnsi="Book Antiqua" w:cs="Arial"/>
        </w:rPr>
        <w:t xml:space="preserve">The following details emerged from the GCID records: </w:t>
      </w:r>
    </w:p>
    <w:p w:rsidR="00BD2CCB" w:rsidRDefault="00BD2CCB" w:rsidP="003A1F8C">
      <w:pPr>
        <w:pStyle w:val="ListParagraph"/>
        <w:numPr>
          <w:ilvl w:val="1"/>
          <w:numId w:val="3"/>
        </w:numPr>
        <w:spacing w:before="120"/>
        <w:contextualSpacing w:val="0"/>
        <w:jc w:val="both"/>
        <w:rPr>
          <w:rFonts w:ascii="Book Antiqua" w:hAnsi="Book Antiqua" w:cs="Arial"/>
        </w:rPr>
      </w:pPr>
      <w:r w:rsidRPr="00C05677">
        <w:rPr>
          <w:rFonts w:ascii="Book Antiqua" w:hAnsi="Book Antiqua" w:cs="Arial"/>
        </w:rPr>
        <w:t xml:space="preserve">Between 2006 and November 2008, nothing seems to have happened.  </w:t>
      </w:r>
    </w:p>
    <w:p w:rsidR="00BD2CCB" w:rsidRDefault="00BD2CCB" w:rsidP="003A1F8C">
      <w:pPr>
        <w:pStyle w:val="ListParagraph"/>
        <w:numPr>
          <w:ilvl w:val="1"/>
          <w:numId w:val="3"/>
        </w:numPr>
        <w:spacing w:before="120"/>
        <w:contextualSpacing w:val="0"/>
        <w:jc w:val="both"/>
        <w:rPr>
          <w:rFonts w:ascii="Book Antiqua" w:hAnsi="Book Antiqua" w:cs="Arial"/>
        </w:rPr>
      </w:pPr>
      <w:r w:rsidRPr="00C05677">
        <w:rPr>
          <w:rFonts w:ascii="Book Antiqua" w:hAnsi="Book Antiqua" w:cs="Arial"/>
        </w:rPr>
        <w:t xml:space="preserve">On 6 November 2008, the Secretary of State’s records show that there was a complaint of delay to which he responded.  </w:t>
      </w:r>
    </w:p>
    <w:p w:rsidR="00BD2CCB" w:rsidRDefault="00BD2CCB" w:rsidP="003A1F8C">
      <w:pPr>
        <w:pStyle w:val="ListParagraph"/>
        <w:numPr>
          <w:ilvl w:val="1"/>
          <w:numId w:val="3"/>
        </w:numPr>
        <w:spacing w:before="120"/>
        <w:contextualSpacing w:val="0"/>
        <w:jc w:val="both"/>
        <w:rPr>
          <w:rFonts w:ascii="Book Antiqua" w:hAnsi="Book Antiqua" w:cs="Arial"/>
        </w:rPr>
      </w:pPr>
      <w:r w:rsidRPr="003D0012">
        <w:rPr>
          <w:rFonts w:ascii="Book Antiqua" w:hAnsi="Book Antiqua" w:cs="Arial"/>
        </w:rPr>
        <w:t>On 9 June 2009</w:t>
      </w:r>
      <w:r>
        <w:rPr>
          <w:rFonts w:ascii="Book Antiqua" w:hAnsi="Book Antiqua" w:cs="Arial"/>
        </w:rPr>
        <w:t>,</w:t>
      </w:r>
      <w:r w:rsidRPr="003D0012">
        <w:rPr>
          <w:rFonts w:ascii="Book Antiqua" w:hAnsi="Book Antiqua" w:cs="Arial"/>
        </w:rPr>
        <w:t xml:space="preserve"> </w:t>
      </w:r>
      <w:r>
        <w:rPr>
          <w:rFonts w:ascii="Book Antiqua" w:hAnsi="Book Antiqua" w:cs="Arial"/>
        </w:rPr>
        <w:t>the appellant’s then solicitors made</w:t>
      </w:r>
      <w:r w:rsidRPr="003D0012">
        <w:rPr>
          <w:rFonts w:ascii="Book Antiqua" w:hAnsi="Book Antiqua" w:cs="Arial"/>
        </w:rPr>
        <w:t xml:space="preserve"> a request for an update</w:t>
      </w:r>
      <w:r>
        <w:rPr>
          <w:rFonts w:ascii="Book Antiqua" w:hAnsi="Book Antiqua" w:cs="Arial"/>
        </w:rPr>
        <w:t xml:space="preserve">.  </w:t>
      </w:r>
      <w:r w:rsidRPr="003D0012">
        <w:rPr>
          <w:rFonts w:ascii="Book Antiqua" w:hAnsi="Book Antiqua" w:cs="Arial"/>
        </w:rPr>
        <w:t xml:space="preserve">It is not clear whether a response was provided.  </w:t>
      </w:r>
    </w:p>
    <w:p w:rsidR="00BD2CCB" w:rsidRDefault="00BD2CCB" w:rsidP="003A1F8C">
      <w:pPr>
        <w:pStyle w:val="ListParagraph"/>
        <w:numPr>
          <w:ilvl w:val="1"/>
          <w:numId w:val="3"/>
        </w:numPr>
        <w:spacing w:before="120"/>
        <w:contextualSpacing w:val="0"/>
        <w:jc w:val="both"/>
        <w:rPr>
          <w:rFonts w:ascii="Book Antiqua" w:hAnsi="Book Antiqua" w:cs="Arial"/>
        </w:rPr>
      </w:pPr>
      <w:r w:rsidRPr="003D0012">
        <w:rPr>
          <w:rFonts w:ascii="Book Antiqua" w:hAnsi="Book Antiqua" w:cs="Arial"/>
        </w:rPr>
        <w:t>On 15 March 2012</w:t>
      </w:r>
      <w:r>
        <w:rPr>
          <w:rFonts w:ascii="Book Antiqua" w:hAnsi="Book Antiqua" w:cs="Arial"/>
        </w:rPr>
        <w:t xml:space="preserve">, 6 years after the original application, </w:t>
      </w:r>
      <w:r w:rsidRPr="003D0012">
        <w:rPr>
          <w:rFonts w:ascii="Book Antiqua" w:hAnsi="Book Antiqua" w:cs="Arial"/>
        </w:rPr>
        <w:t>London Immigration Solicitors notified the respondent that they were now acting</w:t>
      </w:r>
      <w:r>
        <w:rPr>
          <w:rFonts w:ascii="Book Antiqua" w:hAnsi="Book Antiqua" w:cs="Arial"/>
        </w:rPr>
        <w:t>.</w:t>
      </w:r>
    </w:p>
    <w:p w:rsidR="00BD2CCB" w:rsidRDefault="00BD2CCB" w:rsidP="003A1F8C">
      <w:pPr>
        <w:pStyle w:val="ListParagraph"/>
        <w:numPr>
          <w:ilvl w:val="1"/>
          <w:numId w:val="3"/>
        </w:numPr>
        <w:spacing w:before="120"/>
        <w:contextualSpacing w:val="0"/>
        <w:jc w:val="both"/>
        <w:rPr>
          <w:rFonts w:ascii="Book Antiqua" w:hAnsi="Book Antiqua" w:cs="Arial"/>
        </w:rPr>
      </w:pPr>
      <w:r>
        <w:rPr>
          <w:rFonts w:ascii="Book Antiqua" w:hAnsi="Book Antiqua" w:cs="Arial"/>
        </w:rPr>
        <w:t xml:space="preserve">On </w:t>
      </w:r>
      <w:r w:rsidRPr="003D0012">
        <w:rPr>
          <w:rFonts w:ascii="Book Antiqua" w:hAnsi="Book Antiqua" w:cs="Arial"/>
        </w:rPr>
        <w:t>8 March 2016</w:t>
      </w:r>
      <w:r>
        <w:rPr>
          <w:rFonts w:ascii="Book Antiqua" w:hAnsi="Book Antiqua" w:cs="Arial"/>
        </w:rPr>
        <w:t>, almost 10 years after the application was made, London Immigration Solicitors</w:t>
      </w:r>
      <w:r w:rsidRPr="003D0012">
        <w:rPr>
          <w:rFonts w:ascii="Book Antiqua" w:hAnsi="Book Antiqua" w:cs="Arial"/>
        </w:rPr>
        <w:t xml:space="preserve"> asked </w:t>
      </w:r>
      <w:r>
        <w:rPr>
          <w:rFonts w:ascii="Book Antiqua" w:hAnsi="Book Antiqua" w:cs="Arial"/>
        </w:rPr>
        <w:t xml:space="preserve">the respondent </w:t>
      </w:r>
      <w:r w:rsidRPr="003D0012">
        <w:rPr>
          <w:rFonts w:ascii="Book Antiqua" w:hAnsi="Book Antiqua" w:cs="Arial"/>
        </w:rPr>
        <w:t xml:space="preserve">if the applicant had a right to work in the United Kingdom.  </w:t>
      </w:r>
    </w:p>
    <w:p w:rsidR="00BD2CCB" w:rsidRPr="00BD2CCB" w:rsidRDefault="00BD2CCB" w:rsidP="003A1F8C">
      <w:pPr>
        <w:pStyle w:val="ListParagraph"/>
        <w:numPr>
          <w:ilvl w:val="1"/>
          <w:numId w:val="3"/>
        </w:numPr>
        <w:spacing w:before="120"/>
        <w:contextualSpacing w:val="0"/>
        <w:jc w:val="both"/>
        <w:rPr>
          <w:rFonts w:ascii="Book Antiqua" w:hAnsi="Book Antiqua" w:cs="Arial"/>
        </w:rPr>
      </w:pPr>
      <w:r w:rsidRPr="00C05677">
        <w:rPr>
          <w:rFonts w:ascii="Book Antiqua" w:hAnsi="Book Antiqua" w:cs="Arial"/>
        </w:rPr>
        <w:t xml:space="preserve">On 8 August 2016, the respondent wrote to London Immigration Solicitors apologising for the long delay in dealing with the application, answering a number of other queries, but not directly answering the question as to whether the applicant was entitled to work.  </w:t>
      </w:r>
    </w:p>
    <w:p w:rsidR="00BD2CCB" w:rsidRPr="00BD2CCB" w:rsidRDefault="00BD2CCB" w:rsidP="00BD2CCB">
      <w:pPr>
        <w:spacing w:before="240"/>
        <w:jc w:val="both"/>
        <w:rPr>
          <w:rFonts w:ascii="Book Antiqua" w:hAnsi="Book Antiqua" w:cs="Arial"/>
          <w:b/>
        </w:rPr>
      </w:pPr>
      <w:r>
        <w:rPr>
          <w:rFonts w:ascii="Book Antiqua" w:hAnsi="Book Antiqua" w:cs="Arial"/>
          <w:b/>
        </w:rPr>
        <w:t xml:space="preserve">Discussion </w:t>
      </w:r>
    </w:p>
    <w:p w:rsidR="00D5443F" w:rsidRDefault="00D5443F" w:rsidP="00284307">
      <w:pPr>
        <w:numPr>
          <w:ilvl w:val="0"/>
          <w:numId w:val="3"/>
        </w:numPr>
        <w:spacing w:before="240"/>
        <w:jc w:val="both"/>
        <w:rPr>
          <w:rFonts w:ascii="Book Antiqua" w:hAnsi="Book Antiqua" w:cs="Arial"/>
        </w:rPr>
      </w:pPr>
      <w:r>
        <w:rPr>
          <w:rFonts w:ascii="Book Antiqua" w:hAnsi="Book Antiqua" w:cs="Arial"/>
        </w:rPr>
        <w:t xml:space="preserve">I deal first with the </w:t>
      </w:r>
      <w:r>
        <w:rPr>
          <w:rFonts w:ascii="Book Antiqua" w:hAnsi="Book Antiqua" w:cs="Arial"/>
          <w:i/>
        </w:rPr>
        <w:t xml:space="preserve">Edgehill/Singh </w:t>
      </w:r>
      <w:r>
        <w:rPr>
          <w:rFonts w:ascii="Book Antiqua" w:hAnsi="Book Antiqua" w:cs="Arial"/>
        </w:rPr>
        <w:t>point.  T</w:t>
      </w:r>
      <w:r w:rsidR="00B86208">
        <w:rPr>
          <w:rFonts w:ascii="Book Antiqua" w:hAnsi="Book Antiqua" w:cs="Arial"/>
        </w:rPr>
        <w:t>he appellant contends that he w</w:t>
      </w:r>
      <w:r w:rsidR="003F33ED">
        <w:rPr>
          <w:rFonts w:ascii="Book Antiqua" w:hAnsi="Book Antiqua" w:cs="Arial"/>
        </w:rPr>
        <w:t xml:space="preserve">as entitled to the benefit of </w:t>
      </w:r>
      <w:r w:rsidR="00B86208">
        <w:rPr>
          <w:rFonts w:ascii="Book Antiqua" w:hAnsi="Book Antiqua" w:cs="Arial"/>
        </w:rPr>
        <w:t xml:space="preserve">the Immigration Rules as they were before </w:t>
      </w:r>
      <w:r w:rsidR="003D0012">
        <w:rPr>
          <w:rFonts w:ascii="Book Antiqua" w:hAnsi="Book Antiqua" w:cs="Arial"/>
        </w:rPr>
        <w:t>9</w:t>
      </w:r>
      <w:r w:rsidR="00B86208">
        <w:rPr>
          <w:rFonts w:ascii="Book Antiqua" w:hAnsi="Book Antiqua" w:cs="Arial"/>
        </w:rPr>
        <w:t xml:space="preserve"> </w:t>
      </w:r>
      <w:r w:rsidR="003F33ED">
        <w:rPr>
          <w:rFonts w:ascii="Book Antiqua" w:hAnsi="Book Antiqua" w:cs="Arial"/>
        </w:rPr>
        <w:t>July 2012</w:t>
      </w:r>
      <w:r w:rsidR="00B86208">
        <w:rPr>
          <w:rFonts w:ascii="Book Antiqua" w:hAnsi="Book Antiqua" w:cs="Arial"/>
        </w:rPr>
        <w:t xml:space="preserve">, </w:t>
      </w:r>
      <w:r w:rsidR="003F33ED">
        <w:rPr>
          <w:rFonts w:ascii="Book Antiqua" w:hAnsi="Book Antiqua" w:cs="Arial"/>
        </w:rPr>
        <w:t xml:space="preserve">by reason of the date when the application was made.  </w:t>
      </w:r>
    </w:p>
    <w:p w:rsidR="000C7297" w:rsidRDefault="003F33ED" w:rsidP="00284307">
      <w:pPr>
        <w:numPr>
          <w:ilvl w:val="0"/>
          <w:numId w:val="3"/>
        </w:numPr>
        <w:spacing w:before="240"/>
        <w:jc w:val="both"/>
        <w:rPr>
          <w:rFonts w:ascii="Book Antiqua" w:hAnsi="Book Antiqua" w:cs="Arial"/>
        </w:rPr>
      </w:pPr>
      <w:r>
        <w:rPr>
          <w:rFonts w:ascii="Book Antiqua" w:hAnsi="Book Antiqua" w:cs="Arial"/>
        </w:rPr>
        <w:t xml:space="preserve">That argument </w:t>
      </w:r>
      <w:r w:rsidR="00D5443F">
        <w:rPr>
          <w:rFonts w:ascii="Book Antiqua" w:hAnsi="Book Antiqua" w:cs="Arial"/>
        </w:rPr>
        <w:t>was</w:t>
      </w:r>
      <w:r>
        <w:rPr>
          <w:rFonts w:ascii="Book Antiqua" w:hAnsi="Book Antiqua" w:cs="Arial"/>
        </w:rPr>
        <w:t xml:space="preserve"> comprehensively </w:t>
      </w:r>
      <w:r w:rsidR="00B86208">
        <w:rPr>
          <w:rFonts w:ascii="Book Antiqua" w:hAnsi="Book Antiqua" w:cs="Arial"/>
        </w:rPr>
        <w:t>rejected</w:t>
      </w:r>
      <w:r>
        <w:rPr>
          <w:rFonts w:ascii="Book Antiqua" w:hAnsi="Book Antiqua" w:cs="Arial"/>
        </w:rPr>
        <w:t xml:space="preserve"> </w:t>
      </w:r>
      <w:r w:rsidR="000C7297">
        <w:rPr>
          <w:rFonts w:ascii="Book Antiqua" w:hAnsi="Book Antiqua" w:cs="Arial"/>
        </w:rPr>
        <w:t xml:space="preserve">by Lord Justice Underhill (with whom Lady Justice Arden and Lord Justice Lewison agreed) </w:t>
      </w:r>
      <w:r>
        <w:rPr>
          <w:rFonts w:ascii="Book Antiqua" w:hAnsi="Book Antiqua" w:cs="Arial"/>
        </w:rPr>
        <w:t xml:space="preserve">at </w:t>
      </w:r>
      <w:r w:rsidR="00B86208">
        <w:rPr>
          <w:rFonts w:ascii="Book Antiqua" w:hAnsi="Book Antiqua" w:cs="Arial"/>
        </w:rPr>
        <w:t>[</w:t>
      </w:r>
      <w:r>
        <w:rPr>
          <w:rFonts w:ascii="Book Antiqua" w:hAnsi="Book Antiqua" w:cs="Arial"/>
        </w:rPr>
        <w:t>56</w:t>
      </w:r>
      <w:r w:rsidR="00B86208">
        <w:rPr>
          <w:rFonts w:ascii="Book Antiqua" w:hAnsi="Book Antiqua" w:cs="Arial"/>
        </w:rPr>
        <w:t>]</w:t>
      </w:r>
      <w:r>
        <w:rPr>
          <w:rFonts w:ascii="Book Antiqua" w:hAnsi="Book Antiqua" w:cs="Arial"/>
        </w:rPr>
        <w:t xml:space="preserve"> </w:t>
      </w:r>
      <w:r w:rsidR="000C7297">
        <w:rPr>
          <w:rFonts w:ascii="Book Antiqua" w:hAnsi="Book Antiqua" w:cs="Arial"/>
        </w:rPr>
        <w:t>in</w:t>
      </w:r>
      <w:r>
        <w:rPr>
          <w:rFonts w:ascii="Book Antiqua" w:hAnsi="Book Antiqua" w:cs="Arial"/>
        </w:rPr>
        <w:t xml:space="preserve"> </w:t>
      </w:r>
      <w:r w:rsidRPr="009D2A82">
        <w:rPr>
          <w:rFonts w:ascii="Book Antiqua" w:hAnsi="Book Antiqua" w:cs="Arial"/>
          <w:i/>
        </w:rPr>
        <w:t xml:space="preserve">Singh v Secretary of State for the Home Department </w:t>
      </w:r>
      <w:r w:rsidRPr="00B86208">
        <w:rPr>
          <w:rFonts w:ascii="Book Antiqua" w:hAnsi="Book Antiqua" w:cs="Arial"/>
        </w:rPr>
        <w:t>[2015] EWCA Civ 74</w:t>
      </w:r>
      <w:r>
        <w:rPr>
          <w:rFonts w:ascii="Book Antiqua" w:hAnsi="Book Antiqua" w:cs="Arial"/>
        </w:rPr>
        <w:t xml:space="preserve"> which </w:t>
      </w:r>
      <w:r w:rsidR="000C7297">
        <w:rPr>
          <w:rFonts w:ascii="Book Antiqua" w:hAnsi="Book Antiqua" w:cs="Arial"/>
        </w:rPr>
        <w:t>held that:</w:t>
      </w:r>
    </w:p>
    <w:p w:rsidR="000C7297" w:rsidRPr="003A1F8C" w:rsidRDefault="000C7297" w:rsidP="003A1F8C">
      <w:pPr>
        <w:tabs>
          <w:tab w:val="left" w:pos="1701"/>
        </w:tabs>
        <w:spacing w:before="120"/>
        <w:ind w:left="1134" w:right="567"/>
        <w:jc w:val="both"/>
        <w:rPr>
          <w:rFonts w:ascii="Book Antiqua" w:hAnsi="Book Antiqua" w:cs="Arial"/>
          <w:sz w:val="22"/>
          <w:szCs w:val="22"/>
        </w:rPr>
      </w:pPr>
      <w:r w:rsidRPr="003A1F8C">
        <w:rPr>
          <w:rFonts w:ascii="Book Antiqua" w:hAnsi="Book Antiqua" w:cs="Arial"/>
          <w:sz w:val="22"/>
          <w:szCs w:val="22"/>
        </w:rPr>
        <w:t>“</w:t>
      </w:r>
      <w:bookmarkStart w:id="2" w:name="para56"/>
      <w:r w:rsidRPr="003A1F8C">
        <w:rPr>
          <w:rFonts w:ascii="Book Antiqua" w:hAnsi="Book Antiqua" w:cs="Arial"/>
          <w:sz w:val="22"/>
          <w:szCs w:val="22"/>
        </w:rPr>
        <w:t>56.</w:t>
      </w:r>
      <w:r w:rsidR="003A1F8C">
        <w:rPr>
          <w:rFonts w:ascii="Book Antiqua" w:hAnsi="Book Antiqua" w:cs="Arial"/>
          <w:sz w:val="22"/>
          <w:szCs w:val="22"/>
        </w:rPr>
        <w:tab/>
      </w:r>
      <w:r w:rsidRPr="003A1F8C">
        <w:rPr>
          <w:rFonts w:ascii="Book Antiqua" w:hAnsi="Book Antiqua" w:cs="Arial"/>
          <w:sz w:val="22"/>
          <w:szCs w:val="22"/>
        </w:rPr>
        <w:t xml:space="preserve">The foregoing analysis has regrettably been somewhat dense, but I can summarise my conclusion, and the reasons for it, as follows: </w:t>
      </w:r>
      <w:bookmarkEnd w:id="2"/>
    </w:p>
    <w:p w:rsidR="000C7297" w:rsidRPr="003A1F8C" w:rsidRDefault="000C7297" w:rsidP="003A1F8C">
      <w:pPr>
        <w:tabs>
          <w:tab w:val="left" w:pos="2268"/>
        </w:tabs>
        <w:spacing w:before="120"/>
        <w:ind w:left="1701" w:right="567"/>
        <w:jc w:val="both"/>
        <w:rPr>
          <w:rFonts w:ascii="Book Antiqua" w:hAnsi="Book Antiqua" w:cs="Arial"/>
          <w:sz w:val="22"/>
          <w:szCs w:val="22"/>
        </w:rPr>
      </w:pPr>
      <w:r w:rsidRPr="003A1F8C">
        <w:rPr>
          <w:rFonts w:ascii="Book Antiqua" w:hAnsi="Book Antiqua" w:cs="Arial"/>
          <w:sz w:val="22"/>
          <w:szCs w:val="22"/>
        </w:rPr>
        <w:t>(1)</w:t>
      </w:r>
      <w:r w:rsidR="003A1F8C">
        <w:rPr>
          <w:rFonts w:ascii="Book Antiqua" w:hAnsi="Book Antiqua" w:cs="Arial"/>
          <w:sz w:val="22"/>
          <w:szCs w:val="22"/>
        </w:rPr>
        <w:tab/>
      </w:r>
      <w:r w:rsidRPr="003A1F8C">
        <w:rPr>
          <w:rFonts w:ascii="Book Antiqua" w:hAnsi="Book Antiqua" w:cs="Arial"/>
          <w:sz w:val="22"/>
          <w:szCs w:val="22"/>
        </w:rPr>
        <w:t xml:space="preserve">When HC 194 first came into force on 9 July 2012, the Secretary of State was not entitled to take into account the provisions of the new Rules (either directly or by treating them as a statement of her current policy) when making decisions on private or family life applications made prior to that date but not yet decided. That is because, as decided in </w:t>
      </w:r>
      <w:r w:rsidRPr="003A1F8C">
        <w:rPr>
          <w:rFonts w:ascii="Book Antiqua" w:hAnsi="Book Antiqua" w:cs="Arial"/>
          <w:i/>
          <w:iCs/>
          <w:sz w:val="22"/>
          <w:szCs w:val="22"/>
        </w:rPr>
        <w:t>Edgehill</w:t>
      </w:r>
      <w:r w:rsidRPr="003A1F8C">
        <w:rPr>
          <w:rFonts w:ascii="Book Antiqua" w:hAnsi="Book Antiqua" w:cs="Arial"/>
          <w:sz w:val="22"/>
          <w:szCs w:val="22"/>
        </w:rPr>
        <w:t xml:space="preserve">, "the implementation provision" set out at para. 7 above displaces the usual </w:t>
      </w:r>
      <w:proofErr w:type="spellStart"/>
      <w:r w:rsidRPr="003A1F8C">
        <w:rPr>
          <w:rFonts w:ascii="Book Antiqua" w:hAnsi="Book Antiqua" w:cs="Arial"/>
          <w:i/>
          <w:iCs/>
          <w:sz w:val="22"/>
          <w:szCs w:val="22"/>
        </w:rPr>
        <w:t>Odelola</w:t>
      </w:r>
      <w:proofErr w:type="spellEnd"/>
      <w:r w:rsidRPr="003A1F8C">
        <w:rPr>
          <w:rFonts w:ascii="Book Antiqua" w:hAnsi="Book Antiqua" w:cs="Arial"/>
          <w:i/>
          <w:iCs/>
          <w:sz w:val="22"/>
          <w:szCs w:val="22"/>
        </w:rPr>
        <w:t xml:space="preserve"> </w:t>
      </w:r>
      <w:r w:rsidRPr="003A1F8C">
        <w:rPr>
          <w:rFonts w:ascii="Book Antiqua" w:hAnsi="Book Antiqua" w:cs="Arial"/>
          <w:sz w:val="22"/>
          <w:szCs w:val="22"/>
        </w:rPr>
        <w:t>principle.</w:t>
      </w:r>
    </w:p>
    <w:p w:rsidR="000C7297" w:rsidRPr="003A1F8C" w:rsidRDefault="000C7297" w:rsidP="003A1F8C">
      <w:pPr>
        <w:tabs>
          <w:tab w:val="left" w:pos="2268"/>
        </w:tabs>
        <w:spacing w:before="120"/>
        <w:ind w:left="1701" w:right="567"/>
        <w:jc w:val="both"/>
        <w:rPr>
          <w:rFonts w:ascii="Book Antiqua" w:hAnsi="Book Antiqua" w:cs="Arial"/>
          <w:sz w:val="22"/>
          <w:szCs w:val="22"/>
        </w:rPr>
      </w:pPr>
      <w:r w:rsidRPr="003A1F8C">
        <w:rPr>
          <w:rFonts w:ascii="Book Antiqua" w:hAnsi="Book Antiqua" w:cs="Arial"/>
          <w:sz w:val="22"/>
          <w:szCs w:val="22"/>
        </w:rPr>
        <w:t>(2)</w:t>
      </w:r>
      <w:r w:rsidR="003A1F8C">
        <w:rPr>
          <w:rFonts w:ascii="Book Antiqua" w:hAnsi="Book Antiqua" w:cs="Arial"/>
          <w:sz w:val="22"/>
          <w:szCs w:val="22"/>
        </w:rPr>
        <w:tab/>
      </w:r>
      <w:r w:rsidRPr="003A1F8C">
        <w:rPr>
          <w:rFonts w:ascii="Book Antiqua" w:hAnsi="Book Antiqua" w:cs="Arial"/>
          <w:sz w:val="22"/>
          <w:szCs w:val="22"/>
        </w:rPr>
        <w:t xml:space="preserve">But that position was altered by HC 565 – specifically by the introduction of the new paragraph A277C – with effect from 6 September 2012. As from that date the Secretary of State was entitled to take into account the provisions of Appendix FM and paragraphs 276ADE–276DH in deciding </w:t>
      </w:r>
      <w:r w:rsidRPr="003A1F8C">
        <w:rPr>
          <w:rFonts w:ascii="Book Antiqua" w:hAnsi="Book Antiqua" w:cs="Arial"/>
          <w:sz w:val="22"/>
          <w:szCs w:val="22"/>
        </w:rPr>
        <w:lastRenderedPageBreak/>
        <w:t xml:space="preserve">private or family life applications even if they were made prior to 9 July 2012. The result is that the law as it was held to be in </w:t>
      </w:r>
      <w:r w:rsidRPr="003A1F8C">
        <w:rPr>
          <w:rFonts w:ascii="Book Antiqua" w:hAnsi="Book Antiqua" w:cs="Arial"/>
          <w:i/>
          <w:iCs/>
          <w:sz w:val="22"/>
          <w:szCs w:val="22"/>
        </w:rPr>
        <w:t xml:space="preserve">Edgehill </w:t>
      </w:r>
      <w:r w:rsidRPr="003A1F8C">
        <w:rPr>
          <w:rFonts w:ascii="Book Antiqua" w:hAnsi="Book Antiqua" w:cs="Arial"/>
          <w:sz w:val="22"/>
          <w:szCs w:val="22"/>
        </w:rPr>
        <w:t>only obtained as regards decisions taken in the two-month window between 9 July and 6 September 2012.</w:t>
      </w:r>
    </w:p>
    <w:p w:rsidR="000C7297" w:rsidRPr="003A1F8C" w:rsidRDefault="000C7297" w:rsidP="003A1F8C">
      <w:pPr>
        <w:tabs>
          <w:tab w:val="left" w:pos="2268"/>
        </w:tabs>
        <w:spacing w:before="120"/>
        <w:ind w:left="1701" w:right="567"/>
        <w:jc w:val="both"/>
        <w:rPr>
          <w:rFonts w:ascii="Book Antiqua" w:hAnsi="Book Antiqua" w:cs="Arial"/>
          <w:sz w:val="22"/>
          <w:szCs w:val="22"/>
        </w:rPr>
      </w:pPr>
      <w:r w:rsidRPr="003A1F8C">
        <w:rPr>
          <w:rFonts w:ascii="Book Antiqua" w:hAnsi="Book Antiqua" w:cs="Arial"/>
          <w:sz w:val="22"/>
          <w:szCs w:val="22"/>
        </w:rPr>
        <w:t>(3)</w:t>
      </w:r>
      <w:r w:rsidR="003A1F8C">
        <w:rPr>
          <w:rFonts w:ascii="Book Antiqua" w:hAnsi="Book Antiqua" w:cs="Arial"/>
          <w:sz w:val="22"/>
          <w:szCs w:val="22"/>
        </w:rPr>
        <w:tab/>
      </w:r>
      <w:r w:rsidRPr="003A1F8C">
        <w:rPr>
          <w:rFonts w:ascii="Book Antiqua" w:hAnsi="Book Antiqua" w:cs="Arial"/>
          <w:sz w:val="22"/>
          <w:szCs w:val="22"/>
        </w:rPr>
        <w:t xml:space="preserve">Neither of the decisions with which we are concerned in this case fell within that window. </w:t>
      </w:r>
      <w:proofErr w:type="gramStart"/>
      <w:r w:rsidRPr="003A1F8C">
        <w:rPr>
          <w:rFonts w:ascii="Book Antiqua" w:hAnsi="Book Antiqua" w:cs="Arial"/>
          <w:sz w:val="22"/>
          <w:szCs w:val="22"/>
        </w:rPr>
        <w:t>Accordingly</w:t>
      </w:r>
      <w:proofErr w:type="gramEnd"/>
      <w:r w:rsidRPr="003A1F8C">
        <w:rPr>
          <w:rFonts w:ascii="Book Antiqua" w:hAnsi="Book Antiqua" w:cs="Arial"/>
          <w:sz w:val="22"/>
          <w:szCs w:val="22"/>
        </w:rPr>
        <w:t xml:space="preserve"> the Secretary of State was entitled to apply the new Rules in reaching those decisions.”</w:t>
      </w:r>
    </w:p>
    <w:p w:rsidR="00D5443F" w:rsidRDefault="000C7297" w:rsidP="000C7297">
      <w:pPr>
        <w:spacing w:before="240"/>
        <w:ind w:left="567"/>
        <w:jc w:val="both"/>
        <w:rPr>
          <w:rFonts w:ascii="Book Antiqua" w:hAnsi="Book Antiqua" w:cs="Arial"/>
        </w:rPr>
      </w:pPr>
      <w:r>
        <w:rPr>
          <w:rFonts w:ascii="Book Antiqua" w:hAnsi="Book Antiqua" w:cs="Arial"/>
        </w:rPr>
        <w:t xml:space="preserve">The decision in this appeal was not a decision made between 9 July and 6 September 2012, and therefore is not within the </w:t>
      </w:r>
      <w:r>
        <w:rPr>
          <w:rFonts w:ascii="Book Antiqua" w:hAnsi="Book Antiqua" w:cs="Arial"/>
          <w:i/>
        </w:rPr>
        <w:t xml:space="preserve">Edgehill </w:t>
      </w:r>
      <w:r>
        <w:rPr>
          <w:rFonts w:ascii="Book Antiqua" w:hAnsi="Book Antiqua" w:cs="Arial"/>
        </w:rPr>
        <w:t xml:space="preserve">exception, for the reasons set out in sub-paragraph 56(2) above.  </w:t>
      </w:r>
    </w:p>
    <w:p w:rsidR="003F33ED" w:rsidRDefault="000C7297" w:rsidP="00D5443F">
      <w:pPr>
        <w:numPr>
          <w:ilvl w:val="0"/>
          <w:numId w:val="3"/>
        </w:numPr>
        <w:spacing w:before="240"/>
        <w:jc w:val="both"/>
        <w:rPr>
          <w:rFonts w:ascii="Book Antiqua" w:hAnsi="Book Antiqua" w:cs="Arial"/>
        </w:rPr>
      </w:pPr>
      <w:r>
        <w:rPr>
          <w:rFonts w:ascii="Book Antiqua" w:hAnsi="Book Antiqua" w:cs="Arial"/>
        </w:rPr>
        <w:t xml:space="preserve">For the appellant, </w:t>
      </w:r>
      <w:r w:rsidR="004A4757">
        <w:rPr>
          <w:rFonts w:ascii="Book Antiqua" w:hAnsi="Book Antiqua" w:cs="Arial"/>
        </w:rPr>
        <w:t xml:space="preserve">Mr Hussain </w:t>
      </w:r>
      <w:r w:rsidR="00D5443F">
        <w:rPr>
          <w:rFonts w:ascii="Book Antiqua" w:hAnsi="Book Antiqua" w:cs="Arial"/>
        </w:rPr>
        <w:t>accepted</w:t>
      </w:r>
      <w:r w:rsidR="004A4757">
        <w:rPr>
          <w:rFonts w:ascii="Book Antiqua" w:hAnsi="Book Antiqua" w:cs="Arial"/>
        </w:rPr>
        <w:t xml:space="preserve"> that the present decision</w:t>
      </w:r>
      <w:r>
        <w:rPr>
          <w:rFonts w:ascii="Book Antiqua" w:hAnsi="Book Antiqua" w:cs="Arial"/>
        </w:rPr>
        <w:t xml:space="preserve">, </w:t>
      </w:r>
      <w:r w:rsidR="004A4757">
        <w:rPr>
          <w:rFonts w:ascii="Book Antiqua" w:hAnsi="Book Antiqua" w:cs="Arial"/>
        </w:rPr>
        <w:t>made in 2016</w:t>
      </w:r>
      <w:r>
        <w:rPr>
          <w:rFonts w:ascii="Book Antiqua" w:hAnsi="Book Antiqua" w:cs="Arial"/>
        </w:rPr>
        <w:t>, is a non-</w:t>
      </w:r>
      <w:r>
        <w:rPr>
          <w:rFonts w:ascii="Book Antiqua" w:hAnsi="Book Antiqua" w:cs="Arial"/>
          <w:i/>
        </w:rPr>
        <w:t xml:space="preserve">Edgehill </w:t>
      </w:r>
      <w:proofErr w:type="gramStart"/>
      <w:r>
        <w:rPr>
          <w:rFonts w:ascii="Book Antiqua" w:hAnsi="Book Antiqua" w:cs="Arial"/>
        </w:rPr>
        <w:t xml:space="preserve">decision </w:t>
      </w:r>
      <w:r w:rsidR="004A4757">
        <w:rPr>
          <w:rFonts w:ascii="Book Antiqua" w:hAnsi="Book Antiqua" w:cs="Arial"/>
        </w:rPr>
        <w:t xml:space="preserve"> </w:t>
      </w:r>
      <w:r>
        <w:rPr>
          <w:rFonts w:ascii="Book Antiqua" w:hAnsi="Book Antiqua" w:cs="Arial"/>
        </w:rPr>
        <w:t>and</w:t>
      </w:r>
      <w:proofErr w:type="gramEnd"/>
      <w:r>
        <w:rPr>
          <w:rFonts w:ascii="Book Antiqua" w:hAnsi="Book Antiqua" w:cs="Arial"/>
        </w:rPr>
        <w:t xml:space="preserve"> thus that</w:t>
      </w:r>
      <w:r w:rsidR="0009589D">
        <w:rPr>
          <w:rFonts w:ascii="Book Antiqua" w:hAnsi="Book Antiqua" w:cs="Arial"/>
        </w:rPr>
        <w:t xml:space="preserve"> the Secretary of State was entitled to make the decision under </w:t>
      </w:r>
      <w:r>
        <w:rPr>
          <w:rFonts w:ascii="Book Antiqua" w:hAnsi="Book Antiqua" w:cs="Arial"/>
        </w:rPr>
        <w:t>the Rules as they were in 2016</w:t>
      </w:r>
      <w:r w:rsidR="0009589D">
        <w:rPr>
          <w:rFonts w:ascii="Book Antiqua" w:hAnsi="Book Antiqua" w:cs="Arial"/>
        </w:rPr>
        <w:t xml:space="preserve">.  </w:t>
      </w:r>
    </w:p>
    <w:p w:rsidR="00D5443F" w:rsidRDefault="0009589D" w:rsidP="00284307">
      <w:pPr>
        <w:numPr>
          <w:ilvl w:val="0"/>
          <w:numId w:val="3"/>
        </w:numPr>
        <w:spacing w:before="240"/>
        <w:jc w:val="both"/>
        <w:rPr>
          <w:rFonts w:ascii="Book Antiqua" w:hAnsi="Book Antiqua" w:cs="Arial"/>
        </w:rPr>
      </w:pPr>
      <w:r>
        <w:rPr>
          <w:rFonts w:ascii="Book Antiqua" w:hAnsi="Book Antiqua" w:cs="Arial"/>
        </w:rPr>
        <w:t>The</w:t>
      </w:r>
      <w:r w:rsidR="00D5443F">
        <w:rPr>
          <w:rFonts w:ascii="Book Antiqua" w:hAnsi="Book Antiqua" w:cs="Arial"/>
        </w:rPr>
        <w:t xml:space="preserve"> second ground requires the Upper Tribunal to reopen a finding of fact, in this case the First-tier Judge’s finding that the appellant made very little effort during the 10-year delay to find out what had happened to his application.  </w:t>
      </w:r>
    </w:p>
    <w:p w:rsidR="000C7297" w:rsidRDefault="00D5443F" w:rsidP="00284307">
      <w:pPr>
        <w:numPr>
          <w:ilvl w:val="0"/>
          <w:numId w:val="3"/>
        </w:numPr>
        <w:spacing w:before="240"/>
        <w:jc w:val="both"/>
        <w:rPr>
          <w:rFonts w:ascii="Book Antiqua" w:hAnsi="Book Antiqua" w:cs="Arial"/>
        </w:rPr>
      </w:pPr>
      <w:r>
        <w:rPr>
          <w:rFonts w:ascii="Book Antiqua" w:hAnsi="Book Antiqua" w:cs="Arial"/>
        </w:rPr>
        <w:t xml:space="preserve">The Upper Tribunal may reopen a finding of fact only where it is sufficiently perverse or unreasonable as to amount to an error of law.  </w:t>
      </w:r>
      <w:r w:rsidR="0009589D">
        <w:rPr>
          <w:rFonts w:ascii="Book Antiqua" w:hAnsi="Book Antiqua" w:cs="Arial"/>
        </w:rPr>
        <w:t xml:space="preserve"> </w:t>
      </w:r>
      <w:r>
        <w:rPr>
          <w:rFonts w:ascii="Book Antiqua" w:hAnsi="Book Antiqua" w:cs="Arial"/>
        </w:rPr>
        <w:t xml:space="preserve">The circumstances in which a Tribunal may do so were set out in 2005, </w:t>
      </w:r>
      <w:r w:rsidR="000C7297">
        <w:rPr>
          <w:rFonts w:ascii="Book Antiqua" w:hAnsi="Book Antiqua" w:cs="Arial"/>
        </w:rPr>
        <w:t xml:space="preserve">in the judgment of Lord Justice Brooke (with whom Lord Justice Chadwick and </w:t>
      </w:r>
      <w:r>
        <w:rPr>
          <w:rFonts w:ascii="Book Antiqua" w:hAnsi="Book Antiqua" w:cs="Arial"/>
        </w:rPr>
        <w:t xml:space="preserve">Lord Justice </w:t>
      </w:r>
      <w:r w:rsidR="000C7297">
        <w:rPr>
          <w:rFonts w:ascii="Book Antiqua" w:hAnsi="Book Antiqua" w:cs="Arial"/>
        </w:rPr>
        <w:t xml:space="preserve">Maurice Kay agreed) in </w:t>
      </w:r>
      <w:r w:rsidR="000C7297" w:rsidRPr="000C7297">
        <w:rPr>
          <w:rFonts w:ascii="Book Antiqua" w:hAnsi="Book Antiqua" w:cs="Arial"/>
          <w:i/>
        </w:rPr>
        <w:t xml:space="preserve">R (Iran) &amp; Ors v Secretary of State for the Home Department [2005] </w:t>
      </w:r>
      <w:r w:rsidR="000C7297" w:rsidRPr="000C7297">
        <w:rPr>
          <w:rFonts w:ascii="Book Antiqua" w:hAnsi="Book Antiqua" w:cs="Arial"/>
        </w:rPr>
        <w:t>EWCA Civ 982 (27 July 2005)</w:t>
      </w:r>
      <w:r w:rsidR="000C7297" w:rsidRPr="000C7297">
        <w:rPr>
          <w:rFonts w:ascii="Book Antiqua" w:hAnsi="Book Antiqua" w:cs="Arial"/>
          <w:i/>
        </w:rPr>
        <w:t xml:space="preserve"> </w:t>
      </w:r>
      <w:r w:rsidR="0009589D">
        <w:rPr>
          <w:rFonts w:ascii="Book Antiqua" w:hAnsi="Book Antiqua" w:cs="Arial"/>
        </w:rPr>
        <w:t xml:space="preserve">at </w:t>
      </w:r>
      <w:r w:rsidR="000C7297">
        <w:rPr>
          <w:rFonts w:ascii="Book Antiqua" w:hAnsi="Book Antiqua" w:cs="Arial"/>
        </w:rPr>
        <w:t>[90]</w:t>
      </w:r>
      <w:r>
        <w:rPr>
          <w:rFonts w:ascii="Book Antiqua" w:hAnsi="Book Antiqua" w:cs="Arial"/>
        </w:rPr>
        <w:t xml:space="preserve">.  The Upper Tribunal must be satisfied that the finding of fact is </w:t>
      </w:r>
      <w:r w:rsidR="0009589D">
        <w:rPr>
          <w:rFonts w:ascii="Book Antiqua" w:hAnsi="Book Antiqua" w:cs="Arial"/>
        </w:rPr>
        <w:t>perverse, Wednesbury unreasonable, not supported by the evidence</w:t>
      </w:r>
      <w:r w:rsidR="00930B17">
        <w:rPr>
          <w:rFonts w:ascii="Book Antiqua" w:hAnsi="Book Antiqua" w:cs="Arial"/>
        </w:rPr>
        <w:t>,</w:t>
      </w:r>
      <w:r w:rsidR="0009589D">
        <w:rPr>
          <w:rFonts w:ascii="Book Antiqua" w:hAnsi="Book Antiqua" w:cs="Arial"/>
        </w:rPr>
        <w:t xml:space="preserve"> incomprehensible or a decision which no reasonable judge could have reached.  </w:t>
      </w:r>
    </w:p>
    <w:p w:rsidR="009C3279" w:rsidRDefault="002D2965" w:rsidP="00284307">
      <w:pPr>
        <w:numPr>
          <w:ilvl w:val="0"/>
          <w:numId w:val="3"/>
        </w:numPr>
        <w:spacing w:before="240"/>
        <w:jc w:val="both"/>
        <w:rPr>
          <w:rFonts w:ascii="Book Antiqua" w:hAnsi="Book Antiqua" w:cs="Arial"/>
        </w:rPr>
      </w:pPr>
      <w:r>
        <w:rPr>
          <w:rFonts w:ascii="Book Antiqua" w:hAnsi="Book Antiqua" w:cs="Arial"/>
        </w:rPr>
        <w:t xml:space="preserve">The only evidence the First-tier Judge had before her was the appellant’s oral evidence that he recalled chasing the decision from time to time; the GCID records bear out his recollection but were not available to the Judge. </w:t>
      </w:r>
      <w:r w:rsidR="0009589D">
        <w:rPr>
          <w:rFonts w:ascii="Book Antiqua" w:hAnsi="Book Antiqua" w:cs="Arial"/>
        </w:rPr>
        <w:t xml:space="preserve">The </w:t>
      </w:r>
      <w:r>
        <w:rPr>
          <w:rFonts w:ascii="Book Antiqua" w:hAnsi="Book Antiqua" w:cs="Arial"/>
        </w:rPr>
        <w:t>Judge had not been</w:t>
      </w:r>
      <w:r w:rsidR="0009589D">
        <w:rPr>
          <w:rFonts w:ascii="Book Antiqua" w:hAnsi="Book Antiqua" w:cs="Arial"/>
        </w:rPr>
        <w:t xml:space="preserve"> greatly impressed</w:t>
      </w:r>
      <w:r>
        <w:rPr>
          <w:rFonts w:ascii="Book Antiqua" w:hAnsi="Book Antiqua" w:cs="Arial"/>
        </w:rPr>
        <w:t xml:space="preserve"> by the appellant as a witness, and the finding that he had not made much effort to pursue his application was unarguably</w:t>
      </w:r>
      <w:r w:rsidR="0009589D">
        <w:rPr>
          <w:rFonts w:ascii="Book Antiqua" w:hAnsi="Book Antiqua" w:cs="Arial"/>
        </w:rPr>
        <w:t xml:space="preserve"> open to her on the evidence before her</w:t>
      </w:r>
      <w:r>
        <w:rPr>
          <w:rFonts w:ascii="Book Antiqua" w:hAnsi="Book Antiqua" w:cs="Arial"/>
        </w:rPr>
        <w:t>.  The appellant’s account i</w:t>
      </w:r>
      <w:r w:rsidR="0009589D">
        <w:rPr>
          <w:rFonts w:ascii="Book Antiqua" w:hAnsi="Book Antiqua" w:cs="Arial"/>
        </w:rPr>
        <w:t xml:space="preserve">s supported by the Secretary of State’s records read to me </w:t>
      </w:r>
      <w:r w:rsidR="000C7297">
        <w:rPr>
          <w:rFonts w:ascii="Book Antiqua" w:hAnsi="Book Antiqua" w:cs="Arial"/>
        </w:rPr>
        <w:t>at the hearing</w:t>
      </w:r>
      <w:r w:rsidR="0009589D">
        <w:rPr>
          <w:rFonts w:ascii="Book Antiqua" w:hAnsi="Book Antiqua" w:cs="Arial"/>
        </w:rPr>
        <w:t xml:space="preserve"> this morning.  </w:t>
      </w:r>
      <w:r w:rsidR="000C7297">
        <w:rPr>
          <w:rFonts w:ascii="Book Antiqua" w:hAnsi="Book Antiqua" w:cs="Arial"/>
        </w:rPr>
        <w:t xml:space="preserve">The appellant has not demonstrated any error of fact in this finding, still less one which meets the high </w:t>
      </w:r>
      <w:r w:rsidR="000C7297">
        <w:rPr>
          <w:rFonts w:ascii="Book Antiqua" w:hAnsi="Book Antiqua" w:cs="Arial"/>
          <w:i/>
        </w:rPr>
        <w:t>R (Iran)</w:t>
      </w:r>
      <w:r w:rsidR="009C3279">
        <w:rPr>
          <w:rFonts w:ascii="Book Antiqua" w:hAnsi="Book Antiqua" w:cs="Arial"/>
          <w:i/>
        </w:rPr>
        <w:t xml:space="preserve"> </w:t>
      </w:r>
      <w:r w:rsidR="009C3279">
        <w:rPr>
          <w:rFonts w:ascii="Book Antiqua" w:hAnsi="Book Antiqua" w:cs="Arial"/>
        </w:rPr>
        <w:t>error of law threshold</w:t>
      </w:r>
      <w:r w:rsidR="0009589D">
        <w:rPr>
          <w:rFonts w:ascii="Book Antiqua" w:hAnsi="Book Antiqua" w:cs="Arial"/>
        </w:rPr>
        <w:t xml:space="preserve">.  </w:t>
      </w:r>
    </w:p>
    <w:p w:rsidR="0009589D" w:rsidRDefault="002D2965" w:rsidP="00284307">
      <w:pPr>
        <w:numPr>
          <w:ilvl w:val="0"/>
          <w:numId w:val="3"/>
        </w:numPr>
        <w:spacing w:before="240"/>
        <w:jc w:val="both"/>
        <w:rPr>
          <w:rFonts w:ascii="Book Antiqua" w:hAnsi="Book Antiqua" w:cs="Arial"/>
        </w:rPr>
      </w:pPr>
      <w:r>
        <w:rPr>
          <w:rFonts w:ascii="Book Antiqua" w:hAnsi="Book Antiqua" w:cs="Arial"/>
        </w:rPr>
        <w:t xml:space="preserve">The proportionality challenge is based on the appellant’s private life, accrued while in the United Kingdom unlawfully for the past almost 18 years. </w:t>
      </w:r>
      <w:r w:rsidR="009C3279">
        <w:rPr>
          <w:rFonts w:ascii="Book Antiqua" w:hAnsi="Book Antiqua" w:cs="Arial"/>
        </w:rPr>
        <w:t>Section 117</w:t>
      </w:r>
      <w:proofErr w:type="gramStart"/>
      <w:r w:rsidR="009C3279">
        <w:rPr>
          <w:rFonts w:ascii="Book Antiqua" w:hAnsi="Book Antiqua" w:cs="Arial"/>
        </w:rPr>
        <w:t>B(</w:t>
      </w:r>
      <w:proofErr w:type="gramEnd"/>
      <w:r w:rsidR="009C3279">
        <w:rPr>
          <w:rFonts w:ascii="Book Antiqua" w:hAnsi="Book Antiqua" w:cs="Arial"/>
        </w:rPr>
        <w:t>4) of P</w:t>
      </w:r>
      <w:r w:rsidR="0009589D">
        <w:rPr>
          <w:rFonts w:ascii="Book Antiqua" w:hAnsi="Book Antiqua" w:cs="Arial"/>
        </w:rPr>
        <w:t xml:space="preserve">art </w:t>
      </w:r>
      <w:r w:rsidR="009C3279">
        <w:rPr>
          <w:rFonts w:ascii="Book Antiqua" w:hAnsi="Book Antiqua" w:cs="Arial"/>
        </w:rPr>
        <w:t>V</w:t>
      </w:r>
      <w:r w:rsidR="0009589D">
        <w:rPr>
          <w:rFonts w:ascii="Book Antiqua" w:hAnsi="Book Antiqua" w:cs="Arial"/>
        </w:rPr>
        <w:t xml:space="preserve">A of the </w:t>
      </w:r>
      <w:r w:rsidR="009C3279">
        <w:rPr>
          <w:rFonts w:ascii="Book Antiqua" w:hAnsi="Book Antiqua" w:cs="Arial"/>
        </w:rPr>
        <w:t>Nationality, Immigration and Asylum Act 2002 (as amended)</w:t>
      </w:r>
      <w:r w:rsidR="0009589D">
        <w:rPr>
          <w:rFonts w:ascii="Book Antiqua" w:hAnsi="Book Antiqua" w:cs="Arial"/>
        </w:rPr>
        <w:t xml:space="preserve"> directs judges when dealing with private life which has accrued while a person is in the United Kingdom unlawfully to give little weight to such private life and that is exactly what the judge did.  </w:t>
      </w:r>
    </w:p>
    <w:p w:rsidR="009C3279" w:rsidRDefault="0009589D" w:rsidP="00284307">
      <w:pPr>
        <w:numPr>
          <w:ilvl w:val="0"/>
          <w:numId w:val="3"/>
        </w:numPr>
        <w:spacing w:before="240"/>
        <w:jc w:val="both"/>
        <w:rPr>
          <w:rFonts w:ascii="Book Antiqua" w:hAnsi="Book Antiqua" w:cs="Arial"/>
        </w:rPr>
      </w:pPr>
      <w:r>
        <w:rPr>
          <w:rFonts w:ascii="Book Antiqua" w:hAnsi="Book Antiqua" w:cs="Arial"/>
        </w:rPr>
        <w:t>Finally</w:t>
      </w:r>
      <w:r w:rsidR="009C3279">
        <w:rPr>
          <w:rFonts w:ascii="Book Antiqua" w:hAnsi="Book Antiqua" w:cs="Arial"/>
        </w:rPr>
        <w:t>,</w:t>
      </w:r>
      <w:r>
        <w:rPr>
          <w:rFonts w:ascii="Book Antiqua" w:hAnsi="Book Antiqua" w:cs="Arial"/>
        </w:rPr>
        <w:t xml:space="preserve"> Mr Hussain asserts that the judge did not take the two stage approach </w:t>
      </w:r>
      <w:r w:rsidR="009C3279">
        <w:rPr>
          <w:rFonts w:ascii="Book Antiqua" w:hAnsi="Book Antiqua" w:cs="Arial"/>
        </w:rPr>
        <w:t>which</w:t>
      </w:r>
      <w:r>
        <w:rPr>
          <w:rFonts w:ascii="Book Antiqua" w:hAnsi="Book Antiqua" w:cs="Arial"/>
        </w:rPr>
        <w:t xml:space="preserve"> </w:t>
      </w:r>
      <w:r w:rsidRPr="00972481">
        <w:rPr>
          <w:rFonts w:ascii="Book Antiqua" w:hAnsi="Book Antiqua" w:cs="Arial"/>
          <w:i/>
        </w:rPr>
        <w:t>Singh</w:t>
      </w:r>
      <w:r>
        <w:rPr>
          <w:rFonts w:ascii="Book Antiqua" w:hAnsi="Book Antiqua" w:cs="Arial"/>
        </w:rPr>
        <w:t xml:space="preserve"> and </w:t>
      </w:r>
      <w:r w:rsidR="00821469">
        <w:rPr>
          <w:rFonts w:ascii="Book Antiqua" w:hAnsi="Book Antiqua" w:cs="Arial"/>
          <w:i/>
        </w:rPr>
        <w:t>EB</w:t>
      </w:r>
      <w:r w:rsidRPr="00972481">
        <w:rPr>
          <w:rFonts w:ascii="Book Antiqua" w:hAnsi="Book Antiqua" w:cs="Arial"/>
          <w:i/>
        </w:rPr>
        <w:t xml:space="preserve"> Kosovo</w:t>
      </w:r>
      <w:r>
        <w:rPr>
          <w:rFonts w:ascii="Book Antiqua" w:hAnsi="Book Antiqua" w:cs="Arial"/>
        </w:rPr>
        <w:t xml:space="preserve"> require and he relies in particular on paragraph 60 of </w:t>
      </w:r>
      <w:r w:rsidRPr="00972481">
        <w:rPr>
          <w:rFonts w:ascii="Book Antiqua" w:hAnsi="Book Antiqua" w:cs="Arial"/>
          <w:i/>
        </w:rPr>
        <w:t>Singh</w:t>
      </w:r>
      <w:r>
        <w:rPr>
          <w:rFonts w:ascii="Book Antiqua" w:hAnsi="Book Antiqua" w:cs="Arial"/>
        </w:rPr>
        <w:t xml:space="preserve"> in this respect which </w:t>
      </w:r>
      <w:r w:rsidR="002D2965">
        <w:rPr>
          <w:rFonts w:ascii="Book Antiqua" w:hAnsi="Book Antiqua" w:cs="Arial"/>
        </w:rPr>
        <w:t>states</w:t>
      </w:r>
      <w:r>
        <w:rPr>
          <w:rFonts w:ascii="Book Antiqua" w:hAnsi="Book Antiqua" w:cs="Arial"/>
        </w:rPr>
        <w:t xml:space="preserve"> that now that Article 8 is brought within </w:t>
      </w:r>
      <w:r w:rsidR="009C3279">
        <w:rPr>
          <w:rFonts w:ascii="Book Antiqua" w:hAnsi="Book Antiqua" w:cs="Arial"/>
        </w:rPr>
        <w:t>the Rules,</w:t>
      </w:r>
      <w:r>
        <w:rPr>
          <w:rFonts w:ascii="Book Antiqua" w:hAnsi="Book Antiqua" w:cs="Arial"/>
        </w:rPr>
        <w:t xml:space="preserve"> the correct </w:t>
      </w:r>
      <w:r>
        <w:rPr>
          <w:rFonts w:ascii="Book Antiqua" w:hAnsi="Book Antiqua" w:cs="Arial"/>
        </w:rPr>
        <w:lastRenderedPageBreak/>
        <w:t xml:space="preserve">approach is to deal first with Article 8 within the Rules and then move on to see whether Article 8 outwith the Rules avails an appellant.  </w:t>
      </w:r>
    </w:p>
    <w:p w:rsidR="0009589D" w:rsidRPr="00D92CA6" w:rsidRDefault="002D2965" w:rsidP="009C3279">
      <w:pPr>
        <w:numPr>
          <w:ilvl w:val="0"/>
          <w:numId w:val="3"/>
        </w:numPr>
        <w:spacing w:before="240"/>
        <w:jc w:val="both"/>
        <w:rPr>
          <w:rFonts w:ascii="Book Antiqua" w:hAnsi="Book Antiqua" w:cs="Arial"/>
          <w:sz w:val="22"/>
          <w:szCs w:val="22"/>
        </w:rPr>
      </w:pPr>
      <w:r>
        <w:rPr>
          <w:rFonts w:ascii="Book Antiqua" w:hAnsi="Book Antiqua" w:cs="Arial"/>
        </w:rPr>
        <w:t>The First-tier Judge did exactly that</w:t>
      </w:r>
      <w:r w:rsidR="009C3279">
        <w:rPr>
          <w:rFonts w:ascii="Book Antiqua" w:hAnsi="Book Antiqua" w:cs="Arial"/>
        </w:rPr>
        <w:t>:</w:t>
      </w:r>
      <w:r w:rsidR="0009589D">
        <w:rPr>
          <w:rFonts w:ascii="Book Antiqua" w:hAnsi="Book Antiqua" w:cs="Arial"/>
        </w:rPr>
        <w:t xml:space="preserve"> at </w:t>
      </w:r>
      <w:r w:rsidR="009C3279">
        <w:rPr>
          <w:rFonts w:ascii="Book Antiqua" w:hAnsi="Book Antiqua" w:cs="Arial"/>
        </w:rPr>
        <w:t xml:space="preserve">[20]-[22] in </w:t>
      </w:r>
      <w:r w:rsidR="0009589D">
        <w:rPr>
          <w:rFonts w:ascii="Book Antiqua" w:hAnsi="Book Antiqua" w:cs="Arial"/>
        </w:rPr>
        <w:t xml:space="preserve">her decision she considered Article 8 within </w:t>
      </w:r>
      <w:r w:rsidR="009C3279">
        <w:rPr>
          <w:rFonts w:ascii="Book Antiqua" w:hAnsi="Book Antiqua" w:cs="Arial"/>
        </w:rPr>
        <w:t>the Rules, then</w:t>
      </w:r>
      <w:r w:rsidR="0009589D">
        <w:rPr>
          <w:rFonts w:ascii="Book Antiqua" w:hAnsi="Book Antiqua" w:cs="Arial"/>
        </w:rPr>
        <w:t xml:space="preserve"> at </w:t>
      </w:r>
      <w:r w:rsidR="009C3279">
        <w:rPr>
          <w:rFonts w:ascii="Book Antiqua" w:hAnsi="Book Antiqua" w:cs="Arial"/>
        </w:rPr>
        <w:t>[23]-[26]</w:t>
      </w:r>
      <w:r w:rsidR="0009589D">
        <w:rPr>
          <w:rFonts w:ascii="Book Antiqua" w:hAnsi="Book Antiqua" w:cs="Arial"/>
        </w:rPr>
        <w:t xml:space="preserve"> she consider</w:t>
      </w:r>
      <w:r w:rsidR="009C3279">
        <w:rPr>
          <w:rFonts w:ascii="Book Antiqua" w:hAnsi="Book Antiqua" w:cs="Arial"/>
        </w:rPr>
        <w:t>ed</w:t>
      </w:r>
      <w:r w:rsidR="0009589D">
        <w:rPr>
          <w:rFonts w:ascii="Book Antiqua" w:hAnsi="Book Antiqua" w:cs="Arial"/>
        </w:rPr>
        <w:t xml:space="preserve"> Article 8 outside </w:t>
      </w:r>
      <w:r w:rsidR="009C3279">
        <w:rPr>
          <w:rFonts w:ascii="Book Antiqua" w:hAnsi="Book Antiqua" w:cs="Arial"/>
        </w:rPr>
        <w:t xml:space="preserve">the Rules, with reference to the judgment of the Court of Appeal in </w:t>
      </w:r>
      <w:proofErr w:type="spellStart"/>
      <w:r w:rsidR="009C3279" w:rsidRPr="009C3279">
        <w:rPr>
          <w:rFonts w:ascii="Book Antiqua" w:hAnsi="Book Antiqua" w:cs="Arial"/>
          <w:i/>
        </w:rPr>
        <w:t>Agyarko</w:t>
      </w:r>
      <w:proofErr w:type="spellEnd"/>
      <w:r w:rsidR="009C3279" w:rsidRPr="009C3279">
        <w:rPr>
          <w:rFonts w:ascii="Book Antiqua" w:hAnsi="Book Antiqua" w:cs="Arial"/>
          <w:i/>
        </w:rPr>
        <w:t xml:space="preserve"> &amp; </w:t>
      </w:r>
      <w:proofErr w:type="spellStart"/>
      <w:r w:rsidR="009C3279" w:rsidRPr="009C3279">
        <w:rPr>
          <w:rFonts w:ascii="Book Antiqua" w:hAnsi="Book Antiqua" w:cs="Arial"/>
          <w:i/>
        </w:rPr>
        <w:t>Ors</w:t>
      </w:r>
      <w:proofErr w:type="spellEnd"/>
      <w:r w:rsidR="009C3279" w:rsidRPr="009C3279">
        <w:rPr>
          <w:rFonts w:ascii="Book Antiqua" w:hAnsi="Book Antiqua" w:cs="Arial"/>
          <w:i/>
        </w:rPr>
        <w:t>, R (on the application of) v The Secretary of State for the Home Department</w:t>
      </w:r>
      <w:r w:rsidR="009C3279" w:rsidRPr="009C3279">
        <w:rPr>
          <w:rFonts w:ascii="Book Antiqua" w:hAnsi="Book Antiqua" w:cs="Arial"/>
        </w:rPr>
        <w:t xml:space="preserve"> [2015] EWCA Civ 440 (06 May 2015)</w:t>
      </w:r>
      <w:r w:rsidR="009C3279">
        <w:rPr>
          <w:rFonts w:ascii="Book Antiqua" w:hAnsi="Book Antiqua" w:cs="Arial"/>
        </w:rPr>
        <w:t xml:space="preserve">, concluding that  no insurmountable obstacles had been shown. </w:t>
      </w:r>
    </w:p>
    <w:p w:rsidR="009C3279" w:rsidRDefault="0009589D" w:rsidP="00284307">
      <w:pPr>
        <w:numPr>
          <w:ilvl w:val="0"/>
          <w:numId w:val="3"/>
        </w:numPr>
        <w:spacing w:before="240"/>
        <w:jc w:val="both"/>
        <w:rPr>
          <w:rFonts w:ascii="Book Antiqua" w:hAnsi="Book Antiqua" w:cs="Arial"/>
        </w:rPr>
      </w:pPr>
      <w:r>
        <w:rPr>
          <w:rFonts w:ascii="Book Antiqua" w:hAnsi="Book Antiqua" w:cs="Arial"/>
        </w:rPr>
        <w:t xml:space="preserve">At paragraph 27 the judge </w:t>
      </w:r>
      <w:r w:rsidR="002D2965">
        <w:rPr>
          <w:rFonts w:ascii="Book Antiqua" w:hAnsi="Book Antiqua" w:cs="Arial"/>
        </w:rPr>
        <w:t>considered</w:t>
      </w:r>
      <w:r>
        <w:rPr>
          <w:rFonts w:ascii="Book Antiqua" w:hAnsi="Book Antiqua" w:cs="Arial"/>
        </w:rPr>
        <w:t xml:space="preserve"> with the public interest in maintaining immigration control</w:t>
      </w:r>
      <w:r w:rsidR="009C3279">
        <w:rPr>
          <w:rFonts w:ascii="Book Antiqua" w:hAnsi="Book Antiqua" w:cs="Arial"/>
        </w:rPr>
        <w:t xml:space="preserve">.  There is no express reference to section 117B, but the Judge clearly had that provision in mind.  She concluded that there was </w:t>
      </w:r>
      <w:r>
        <w:rPr>
          <w:rFonts w:ascii="Book Antiqua" w:hAnsi="Book Antiqua" w:cs="Arial"/>
        </w:rPr>
        <w:t>a public interest in removing this appellant</w:t>
      </w:r>
      <w:r w:rsidR="009C3279">
        <w:rPr>
          <w:rFonts w:ascii="Book Antiqua" w:hAnsi="Book Antiqua" w:cs="Arial"/>
        </w:rPr>
        <w:t>,</w:t>
      </w:r>
      <w:r>
        <w:rPr>
          <w:rFonts w:ascii="Book Antiqua" w:hAnsi="Book Antiqua" w:cs="Arial"/>
        </w:rPr>
        <w:t xml:space="preserve"> who failed to comply with </w:t>
      </w:r>
      <w:r w:rsidR="002D2965">
        <w:rPr>
          <w:rFonts w:ascii="Book Antiqua" w:hAnsi="Book Antiqua" w:cs="Arial"/>
        </w:rPr>
        <w:t xml:space="preserve">the Rules, </w:t>
      </w:r>
      <w:r>
        <w:rPr>
          <w:rFonts w:ascii="Book Antiqua" w:hAnsi="Book Antiqua" w:cs="Arial"/>
        </w:rPr>
        <w:t xml:space="preserve">worked </w:t>
      </w:r>
      <w:r w:rsidR="009C3279">
        <w:rPr>
          <w:rFonts w:ascii="Book Antiqua" w:hAnsi="Book Antiqua" w:cs="Arial"/>
        </w:rPr>
        <w:t xml:space="preserve">without permission, </w:t>
      </w:r>
      <w:r w:rsidR="00420617">
        <w:rPr>
          <w:rFonts w:ascii="Book Antiqua" w:hAnsi="Book Antiqua" w:cs="Arial"/>
        </w:rPr>
        <w:t xml:space="preserve">and remained unlawfully in the United Kingdom for </w:t>
      </w:r>
      <w:r w:rsidR="009C3279">
        <w:rPr>
          <w:rFonts w:ascii="Book Antiqua" w:hAnsi="Book Antiqua" w:cs="Arial"/>
        </w:rPr>
        <w:t>18</w:t>
      </w:r>
      <w:r w:rsidR="00420617">
        <w:rPr>
          <w:rFonts w:ascii="Book Antiqua" w:hAnsi="Book Antiqua" w:cs="Arial"/>
        </w:rPr>
        <w:t xml:space="preserve"> years.  </w:t>
      </w:r>
    </w:p>
    <w:p w:rsidR="0009589D" w:rsidRDefault="00420617" w:rsidP="00284307">
      <w:pPr>
        <w:numPr>
          <w:ilvl w:val="0"/>
          <w:numId w:val="3"/>
        </w:numPr>
        <w:spacing w:before="240"/>
        <w:jc w:val="both"/>
        <w:rPr>
          <w:rFonts w:ascii="Book Antiqua" w:hAnsi="Book Antiqua" w:cs="Arial"/>
        </w:rPr>
      </w:pPr>
      <w:r>
        <w:rPr>
          <w:rFonts w:ascii="Book Antiqua" w:hAnsi="Book Antiqua" w:cs="Arial"/>
        </w:rPr>
        <w:t>Nothing in the grounds of appeal amounts to a material error of law by the First-tier Tribunal and I dismiss the appeal.</w:t>
      </w:r>
    </w:p>
    <w:p w:rsidR="009C3279" w:rsidRDefault="009C3279" w:rsidP="009C3279">
      <w:pPr>
        <w:tabs>
          <w:tab w:val="left" w:pos="567"/>
        </w:tabs>
        <w:ind w:left="567" w:hanging="567"/>
        <w:jc w:val="both"/>
        <w:rPr>
          <w:rFonts w:ascii="Book Antiqua" w:hAnsi="Book Antiqua" w:cs="Arial"/>
          <w:b/>
        </w:rPr>
      </w:pPr>
    </w:p>
    <w:p w:rsidR="009C3279" w:rsidRPr="00F97703" w:rsidRDefault="009C3279" w:rsidP="009C3279">
      <w:pPr>
        <w:tabs>
          <w:tab w:val="left" w:pos="567"/>
        </w:tabs>
        <w:ind w:left="567" w:hanging="567"/>
        <w:jc w:val="both"/>
        <w:rPr>
          <w:rFonts w:ascii="Book Antiqua" w:hAnsi="Book Antiqua" w:cs="Arial"/>
        </w:rPr>
      </w:pPr>
      <w:r w:rsidRPr="00306236">
        <w:rPr>
          <w:rFonts w:ascii="Book Antiqua" w:hAnsi="Book Antiqua" w:cs="Arial"/>
          <w:b/>
        </w:rPr>
        <w:t>DECISION</w:t>
      </w:r>
    </w:p>
    <w:p w:rsidR="009C3279" w:rsidRPr="00F97703" w:rsidRDefault="009C3279" w:rsidP="009C3279">
      <w:pPr>
        <w:ind w:left="540" w:hanging="540"/>
        <w:jc w:val="both"/>
        <w:rPr>
          <w:rFonts w:ascii="Book Antiqua" w:hAnsi="Book Antiqua" w:cs="Arial"/>
        </w:rPr>
      </w:pPr>
    </w:p>
    <w:p w:rsidR="009C3279" w:rsidRDefault="009C3279" w:rsidP="009C3279">
      <w:pPr>
        <w:numPr>
          <w:ilvl w:val="0"/>
          <w:numId w:val="3"/>
        </w:numPr>
        <w:jc w:val="both"/>
        <w:rPr>
          <w:rFonts w:ascii="Book Antiqua" w:hAnsi="Book Antiqua" w:cs="Arial"/>
        </w:rPr>
      </w:pPr>
      <w:r>
        <w:rPr>
          <w:rFonts w:ascii="Book Antiqua" w:hAnsi="Book Antiqua" w:cs="Arial"/>
        </w:rPr>
        <w:t>For the foregoing reasons, my decision is as follows:</w:t>
      </w:r>
    </w:p>
    <w:p w:rsidR="009C3279" w:rsidRDefault="009C3279" w:rsidP="009C3279">
      <w:pPr>
        <w:tabs>
          <w:tab w:val="left" w:pos="567"/>
        </w:tabs>
        <w:ind w:left="360"/>
        <w:jc w:val="both"/>
        <w:rPr>
          <w:rFonts w:ascii="Book Antiqua" w:hAnsi="Book Antiqua" w:cs="Arial"/>
        </w:rPr>
      </w:pPr>
    </w:p>
    <w:p w:rsidR="009C3279" w:rsidRDefault="009C3279" w:rsidP="009C3279">
      <w:pPr>
        <w:tabs>
          <w:tab w:val="left" w:pos="567"/>
        </w:tabs>
        <w:ind w:left="567"/>
        <w:jc w:val="both"/>
        <w:rPr>
          <w:rFonts w:ascii="Book Antiqua" w:hAnsi="Book Antiqua" w:cs="Arial"/>
        </w:rPr>
      </w:pPr>
      <w:r>
        <w:rPr>
          <w:rFonts w:ascii="Book Antiqua" w:hAnsi="Book Antiqua" w:cs="Arial"/>
        </w:rPr>
        <w:t>The making of the previous decision involved the making of no error on a point of law</w:t>
      </w:r>
    </w:p>
    <w:p w:rsidR="009C3279" w:rsidRDefault="009C3279" w:rsidP="009C3279">
      <w:pPr>
        <w:tabs>
          <w:tab w:val="left" w:pos="567"/>
        </w:tabs>
        <w:ind w:left="567"/>
        <w:jc w:val="both"/>
        <w:rPr>
          <w:rFonts w:ascii="Book Antiqua" w:hAnsi="Book Antiqua" w:cs="Arial"/>
        </w:rPr>
      </w:pPr>
      <w:r>
        <w:rPr>
          <w:rFonts w:ascii="Book Antiqua" w:hAnsi="Book Antiqua" w:cs="Arial"/>
        </w:rPr>
        <w:t>I do not set aside the decision but order that it shall stand</w:t>
      </w:r>
    </w:p>
    <w:p w:rsidR="003A1F8C" w:rsidRDefault="003A1F8C" w:rsidP="009C3279">
      <w:pPr>
        <w:tabs>
          <w:tab w:val="left" w:pos="567"/>
        </w:tabs>
        <w:spacing w:before="240"/>
        <w:jc w:val="both"/>
        <w:rPr>
          <w:rFonts w:ascii="Book Antiqua" w:hAnsi="Book Antiqua" w:cs="Arial"/>
        </w:rPr>
      </w:pPr>
    </w:p>
    <w:p w:rsidR="009C3279" w:rsidRDefault="009C3279" w:rsidP="009C3279">
      <w:pPr>
        <w:tabs>
          <w:tab w:val="left" w:pos="567"/>
        </w:tabs>
        <w:spacing w:before="240"/>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15 August 2018</w:t>
      </w:r>
    </w:p>
    <w:p w:rsidR="00B705D9" w:rsidRPr="00F5664C" w:rsidRDefault="009C3279" w:rsidP="00894A0C">
      <w:pPr>
        <w:tabs>
          <w:tab w:val="left" w:pos="567"/>
        </w:tabs>
        <w:ind w:left="567"/>
        <w:jc w:val="both"/>
        <w:rPr>
          <w:rFonts w:ascii="Book Antiqua" w:hAnsi="Book Antiqua" w:cs="Arial"/>
        </w:rPr>
      </w:pPr>
      <w:r>
        <w:rPr>
          <w:rFonts w:ascii="Book Antiqua" w:hAnsi="Book Antiqua" w:cs="Arial"/>
        </w:rPr>
        <w:tab/>
        <w:t xml:space="preserve">Upper </w:t>
      </w:r>
      <w:r w:rsidR="00C05677">
        <w:rPr>
          <w:rFonts w:ascii="Book Antiqua" w:hAnsi="Book Antiqua" w:cs="Arial"/>
        </w:rPr>
        <w:t>Judge</w:t>
      </w:r>
      <w:r>
        <w:rPr>
          <w:rFonts w:ascii="Book Antiqua" w:hAnsi="Book Antiqua" w:cs="Arial"/>
        </w:rPr>
        <w:t xml:space="preserve"> Gleeson </w:t>
      </w:r>
    </w:p>
    <w:sectPr w:rsidR="00B705D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99D" w:rsidRDefault="003F299D">
      <w:r>
        <w:separator/>
      </w:r>
    </w:p>
  </w:endnote>
  <w:endnote w:type="continuationSeparator" w:id="0">
    <w:p w:rsidR="003F299D" w:rsidRDefault="003F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F" w:rsidRPr="00F5664C" w:rsidRDefault="00D544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5680D">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F" w:rsidRPr="00F5664C" w:rsidRDefault="00D5443F"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99D" w:rsidRDefault="003F299D">
      <w:r>
        <w:separator/>
      </w:r>
    </w:p>
  </w:footnote>
  <w:footnote w:type="continuationSeparator" w:id="0">
    <w:p w:rsidR="003F299D" w:rsidRDefault="003F2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F" w:rsidRPr="00F5664C" w:rsidRDefault="00D544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 xml:space="preserve"> HU/22434/2016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F" w:rsidRPr="00F5664C" w:rsidRDefault="00D5443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3"/>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F4"/>
    <w:rsid w:val="00000621"/>
    <w:rsid w:val="000036C2"/>
    <w:rsid w:val="0002205B"/>
    <w:rsid w:val="00033D3D"/>
    <w:rsid w:val="00035454"/>
    <w:rsid w:val="000369F5"/>
    <w:rsid w:val="00071A7E"/>
    <w:rsid w:val="000746C0"/>
    <w:rsid w:val="00074D1D"/>
    <w:rsid w:val="00092580"/>
    <w:rsid w:val="0009589D"/>
    <w:rsid w:val="000A68E1"/>
    <w:rsid w:val="000C7297"/>
    <w:rsid w:val="000D5D94"/>
    <w:rsid w:val="000E6D26"/>
    <w:rsid w:val="000F3EC5"/>
    <w:rsid w:val="001165A7"/>
    <w:rsid w:val="00120604"/>
    <w:rsid w:val="00146D9C"/>
    <w:rsid w:val="00151BB7"/>
    <w:rsid w:val="0016457F"/>
    <w:rsid w:val="00167D3A"/>
    <w:rsid w:val="001A1E2C"/>
    <w:rsid w:val="001B2B9C"/>
    <w:rsid w:val="001C3482"/>
    <w:rsid w:val="001F2716"/>
    <w:rsid w:val="001F2A30"/>
    <w:rsid w:val="0020133A"/>
    <w:rsid w:val="00207617"/>
    <w:rsid w:val="002153CC"/>
    <w:rsid w:val="00267403"/>
    <w:rsid w:val="00282D33"/>
    <w:rsid w:val="00283659"/>
    <w:rsid w:val="00284307"/>
    <w:rsid w:val="00284DB6"/>
    <w:rsid w:val="002964CE"/>
    <w:rsid w:val="002C4E73"/>
    <w:rsid w:val="002D0D5C"/>
    <w:rsid w:val="002D2965"/>
    <w:rsid w:val="002D47B0"/>
    <w:rsid w:val="002D68BF"/>
    <w:rsid w:val="002F26A8"/>
    <w:rsid w:val="003126B9"/>
    <w:rsid w:val="00321493"/>
    <w:rsid w:val="00324C78"/>
    <w:rsid w:val="00326A14"/>
    <w:rsid w:val="00336CBF"/>
    <w:rsid w:val="00341AC8"/>
    <w:rsid w:val="003546C8"/>
    <w:rsid w:val="003A1F8C"/>
    <w:rsid w:val="003A7CF2"/>
    <w:rsid w:val="003B0789"/>
    <w:rsid w:val="003C5CE5"/>
    <w:rsid w:val="003D0012"/>
    <w:rsid w:val="003E267B"/>
    <w:rsid w:val="003E5936"/>
    <w:rsid w:val="003E7CD1"/>
    <w:rsid w:val="003F299D"/>
    <w:rsid w:val="003F33ED"/>
    <w:rsid w:val="00401098"/>
    <w:rsid w:val="00402B9E"/>
    <w:rsid w:val="00410DA5"/>
    <w:rsid w:val="00420617"/>
    <w:rsid w:val="00423932"/>
    <w:rsid w:val="004249CB"/>
    <w:rsid w:val="0044127D"/>
    <w:rsid w:val="004448DB"/>
    <w:rsid w:val="00446C9A"/>
    <w:rsid w:val="00477193"/>
    <w:rsid w:val="004A1848"/>
    <w:rsid w:val="004A4757"/>
    <w:rsid w:val="00507FEC"/>
    <w:rsid w:val="00510F0E"/>
    <w:rsid w:val="00511FD6"/>
    <w:rsid w:val="00513CE9"/>
    <w:rsid w:val="005479E1"/>
    <w:rsid w:val="005570FD"/>
    <w:rsid w:val="005575EA"/>
    <w:rsid w:val="0057790C"/>
    <w:rsid w:val="00593795"/>
    <w:rsid w:val="00596910"/>
    <w:rsid w:val="005A2625"/>
    <w:rsid w:val="005A75FF"/>
    <w:rsid w:val="005A7AF3"/>
    <w:rsid w:val="005B61BC"/>
    <w:rsid w:val="005B7789"/>
    <w:rsid w:val="00612745"/>
    <w:rsid w:val="00653924"/>
    <w:rsid w:val="0065791C"/>
    <w:rsid w:val="00672736"/>
    <w:rsid w:val="0067439B"/>
    <w:rsid w:val="00690B8A"/>
    <w:rsid w:val="006B5E5E"/>
    <w:rsid w:val="006C31B4"/>
    <w:rsid w:val="006D1DFA"/>
    <w:rsid w:val="006D506B"/>
    <w:rsid w:val="006E3C90"/>
    <w:rsid w:val="00704B61"/>
    <w:rsid w:val="007416B4"/>
    <w:rsid w:val="0074210A"/>
    <w:rsid w:val="00742A8D"/>
    <w:rsid w:val="007552A9"/>
    <w:rsid w:val="00757C67"/>
    <w:rsid w:val="00761858"/>
    <w:rsid w:val="00767D59"/>
    <w:rsid w:val="00771861"/>
    <w:rsid w:val="00776E97"/>
    <w:rsid w:val="00780FD7"/>
    <w:rsid w:val="00781544"/>
    <w:rsid w:val="007912AD"/>
    <w:rsid w:val="007A1F28"/>
    <w:rsid w:val="007B0824"/>
    <w:rsid w:val="00821469"/>
    <w:rsid w:val="008303B8"/>
    <w:rsid w:val="00830E64"/>
    <w:rsid w:val="00833DCE"/>
    <w:rsid w:val="00841426"/>
    <w:rsid w:val="00842418"/>
    <w:rsid w:val="0085680D"/>
    <w:rsid w:val="00871D34"/>
    <w:rsid w:val="00894A0C"/>
    <w:rsid w:val="008954ED"/>
    <w:rsid w:val="008B078C"/>
    <w:rsid w:val="008B270C"/>
    <w:rsid w:val="008B7675"/>
    <w:rsid w:val="008C3D3D"/>
    <w:rsid w:val="008D2D39"/>
    <w:rsid w:val="008D4131"/>
    <w:rsid w:val="008D72EE"/>
    <w:rsid w:val="008F1932"/>
    <w:rsid w:val="008F294D"/>
    <w:rsid w:val="008F3478"/>
    <w:rsid w:val="00900167"/>
    <w:rsid w:val="0090797D"/>
    <w:rsid w:val="00916597"/>
    <w:rsid w:val="00921062"/>
    <w:rsid w:val="00923213"/>
    <w:rsid w:val="0093083E"/>
    <w:rsid w:val="00930B17"/>
    <w:rsid w:val="00966ECF"/>
    <w:rsid w:val="00972481"/>
    <w:rsid w:val="009727A3"/>
    <w:rsid w:val="0098507A"/>
    <w:rsid w:val="00987774"/>
    <w:rsid w:val="00997F3F"/>
    <w:rsid w:val="009A11E8"/>
    <w:rsid w:val="009C3279"/>
    <w:rsid w:val="009C366C"/>
    <w:rsid w:val="009C5A94"/>
    <w:rsid w:val="009D2A82"/>
    <w:rsid w:val="009E4E62"/>
    <w:rsid w:val="009F5220"/>
    <w:rsid w:val="009F73A5"/>
    <w:rsid w:val="009F7C4D"/>
    <w:rsid w:val="00A15234"/>
    <w:rsid w:val="00A201AB"/>
    <w:rsid w:val="00A31BD8"/>
    <w:rsid w:val="00A31C8B"/>
    <w:rsid w:val="00A53BE8"/>
    <w:rsid w:val="00A845DC"/>
    <w:rsid w:val="00A97AEE"/>
    <w:rsid w:val="00AA2AA9"/>
    <w:rsid w:val="00AA2E5B"/>
    <w:rsid w:val="00AB1F8C"/>
    <w:rsid w:val="00AC5CF6"/>
    <w:rsid w:val="00AD5617"/>
    <w:rsid w:val="00B144FA"/>
    <w:rsid w:val="00B159AE"/>
    <w:rsid w:val="00B16F58"/>
    <w:rsid w:val="00B30648"/>
    <w:rsid w:val="00B3524D"/>
    <w:rsid w:val="00B377FA"/>
    <w:rsid w:val="00B40F69"/>
    <w:rsid w:val="00B46616"/>
    <w:rsid w:val="00B54087"/>
    <w:rsid w:val="00B610E3"/>
    <w:rsid w:val="00B61205"/>
    <w:rsid w:val="00B617C4"/>
    <w:rsid w:val="00B626FA"/>
    <w:rsid w:val="00B65747"/>
    <w:rsid w:val="00B7040A"/>
    <w:rsid w:val="00B705D9"/>
    <w:rsid w:val="00B86208"/>
    <w:rsid w:val="00B9106B"/>
    <w:rsid w:val="00B96FA0"/>
    <w:rsid w:val="00BD1E13"/>
    <w:rsid w:val="00BD2CCB"/>
    <w:rsid w:val="00BD4196"/>
    <w:rsid w:val="00BD74C9"/>
    <w:rsid w:val="00BF22CA"/>
    <w:rsid w:val="00C005C1"/>
    <w:rsid w:val="00C05677"/>
    <w:rsid w:val="00C223FC"/>
    <w:rsid w:val="00C25034"/>
    <w:rsid w:val="00C26032"/>
    <w:rsid w:val="00C265B0"/>
    <w:rsid w:val="00C321B5"/>
    <w:rsid w:val="00C345E1"/>
    <w:rsid w:val="00C457BC"/>
    <w:rsid w:val="00C977BA"/>
    <w:rsid w:val="00CB5DC2"/>
    <w:rsid w:val="00CB6E35"/>
    <w:rsid w:val="00CC5F61"/>
    <w:rsid w:val="00CE1A46"/>
    <w:rsid w:val="00CF253F"/>
    <w:rsid w:val="00CF56B4"/>
    <w:rsid w:val="00D20F09"/>
    <w:rsid w:val="00D22636"/>
    <w:rsid w:val="00D26863"/>
    <w:rsid w:val="00D34CF4"/>
    <w:rsid w:val="00D40FD9"/>
    <w:rsid w:val="00D527C9"/>
    <w:rsid w:val="00D53769"/>
    <w:rsid w:val="00D5443F"/>
    <w:rsid w:val="00D70775"/>
    <w:rsid w:val="00D75C01"/>
    <w:rsid w:val="00D85C13"/>
    <w:rsid w:val="00D91BE3"/>
    <w:rsid w:val="00D92CA6"/>
    <w:rsid w:val="00D930E6"/>
    <w:rsid w:val="00D94AFC"/>
    <w:rsid w:val="00DA53F9"/>
    <w:rsid w:val="00DB70AE"/>
    <w:rsid w:val="00DB7231"/>
    <w:rsid w:val="00DD5071"/>
    <w:rsid w:val="00DD5C39"/>
    <w:rsid w:val="00DD6305"/>
    <w:rsid w:val="00DE26AF"/>
    <w:rsid w:val="00DE279E"/>
    <w:rsid w:val="00DE3F1C"/>
    <w:rsid w:val="00DE7DB7"/>
    <w:rsid w:val="00DF41E9"/>
    <w:rsid w:val="00E00A0A"/>
    <w:rsid w:val="00E05FCF"/>
    <w:rsid w:val="00E0621D"/>
    <w:rsid w:val="00E07F57"/>
    <w:rsid w:val="00E14A7C"/>
    <w:rsid w:val="00E50BCE"/>
    <w:rsid w:val="00E51D71"/>
    <w:rsid w:val="00E61292"/>
    <w:rsid w:val="00E76309"/>
    <w:rsid w:val="00E77C4D"/>
    <w:rsid w:val="00E81D01"/>
    <w:rsid w:val="00EA4E94"/>
    <w:rsid w:val="00ED5954"/>
    <w:rsid w:val="00ED6C2F"/>
    <w:rsid w:val="00EE45D8"/>
    <w:rsid w:val="00EE6758"/>
    <w:rsid w:val="00F004CD"/>
    <w:rsid w:val="00F22EDA"/>
    <w:rsid w:val="00F3224D"/>
    <w:rsid w:val="00F33E0E"/>
    <w:rsid w:val="00F436BD"/>
    <w:rsid w:val="00F5664C"/>
    <w:rsid w:val="00F82A85"/>
    <w:rsid w:val="00F96016"/>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A634B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 w:type="paragraph" w:styleId="ListParagraph">
    <w:name w:val="List Paragraph"/>
    <w:basedOn w:val="Normal"/>
    <w:uiPriority w:val="34"/>
    <w:qFormat/>
    <w:rsid w:val="00C0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62023">
      <w:bodyDiv w:val="1"/>
      <w:marLeft w:val="0"/>
      <w:marRight w:val="0"/>
      <w:marTop w:val="0"/>
      <w:marBottom w:val="0"/>
      <w:divBdr>
        <w:top w:val="none" w:sz="0" w:space="0" w:color="auto"/>
        <w:left w:val="none" w:sz="0" w:space="0" w:color="auto"/>
        <w:bottom w:val="none" w:sz="0" w:space="0" w:color="auto"/>
        <w:right w:val="none" w:sz="0" w:space="0" w:color="auto"/>
      </w:divBdr>
    </w:div>
    <w:div w:id="18697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11099</Characters>
  <Application>Microsoft Office Word</Application>
  <DocSecurity>0</DocSecurity>
  <Lines>92</Lines>
  <Paragraphs>26</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2018-09-07T10:45:00Z</dcterms:created>
  <dcterms:modified xsi:type="dcterms:W3CDTF">2018-09-07T10:45:00Z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