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CDDDC" w14:textId="77777777" w:rsidR="00CB7FD7" w:rsidRPr="00D27C0A" w:rsidRDefault="00CE39C9" w:rsidP="00CB7FD7">
      <w:pPr>
        <w:jc w:val="center"/>
        <w:rPr>
          <w:rFonts w:ascii="Book Antiqua" w:hAnsi="Book Antiqua" w:cs="Arial"/>
          <w:sz w:val="16"/>
          <w:szCs w:val="16"/>
        </w:rPr>
      </w:pPr>
      <w:r w:rsidRPr="00D27C0A">
        <w:rPr>
          <w:noProof/>
          <w:sz w:val="16"/>
          <w:szCs w:val="16"/>
        </w:rPr>
        <w:drawing>
          <wp:inline distT="0" distB="0" distL="0" distR="0" wp14:anchorId="56F643C6" wp14:editId="4092E3F6">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14:paraId="3C381345" w14:textId="06279C7E" w:rsidR="00D94AFC" w:rsidRPr="00D27C0A" w:rsidRDefault="00D94AFC">
      <w:pPr>
        <w:rPr>
          <w:rFonts w:ascii="Book Antiqua" w:hAnsi="Book Antiqua" w:cs="Arial"/>
          <w:sz w:val="16"/>
          <w:szCs w:val="16"/>
        </w:rPr>
      </w:pPr>
    </w:p>
    <w:p w14:paraId="3C9F29EA" w14:textId="77777777" w:rsidR="00CB7FD7" w:rsidRPr="00CE6902" w:rsidRDefault="00CB7FD7" w:rsidP="00B626FA">
      <w:pPr>
        <w:tabs>
          <w:tab w:val="right" w:pos="9639"/>
        </w:tabs>
        <w:rPr>
          <w:rFonts w:ascii="Book Antiqua" w:hAnsi="Book Antiqua" w:cs="Arial"/>
          <w:b/>
        </w:rPr>
      </w:pPr>
      <w:r w:rsidRPr="00CE6902">
        <w:rPr>
          <w:rFonts w:ascii="Book Antiqua" w:hAnsi="Book Antiqua" w:cs="Arial"/>
          <w:b/>
        </w:rPr>
        <w:t>Upper Tribunal</w:t>
      </w:r>
    </w:p>
    <w:p w14:paraId="4117C522" w14:textId="77777777" w:rsidR="007B0824" w:rsidRDefault="00CB7FD7" w:rsidP="00B626FA">
      <w:pPr>
        <w:tabs>
          <w:tab w:val="right" w:pos="9639"/>
        </w:tabs>
        <w:rPr>
          <w:rFonts w:ascii="Book Antiqua" w:hAnsi="Book Antiqua" w:cs="Arial"/>
          <w:caps/>
        </w:rPr>
      </w:pPr>
      <w:r w:rsidRPr="00CE6902">
        <w:rPr>
          <w:rFonts w:ascii="Book Antiqua" w:hAnsi="Book Antiqua" w:cs="Arial"/>
          <w:b/>
        </w:rPr>
        <w:t>(Immigration and Asylum Chamber)</w:t>
      </w:r>
      <w:r w:rsidR="00B626FA" w:rsidRPr="00CE6902">
        <w:rPr>
          <w:rFonts w:ascii="Book Antiqua" w:hAnsi="Book Antiqua" w:cs="Arial"/>
          <w:b/>
        </w:rPr>
        <w:tab/>
      </w:r>
      <w:r w:rsidR="00B3524D" w:rsidRPr="00CE6902">
        <w:rPr>
          <w:rFonts w:ascii="Book Antiqua" w:hAnsi="Book Antiqua" w:cs="Arial"/>
        </w:rPr>
        <w:t>Appeal Number</w:t>
      </w:r>
      <w:r w:rsidR="00CE39C9">
        <w:rPr>
          <w:rFonts w:ascii="Book Antiqua" w:hAnsi="Book Antiqua" w:cs="Arial"/>
        </w:rPr>
        <w:t>s</w:t>
      </w:r>
      <w:r w:rsidR="00D53769" w:rsidRPr="00CE6902">
        <w:rPr>
          <w:rFonts w:ascii="Book Antiqua" w:hAnsi="Book Antiqua" w:cs="Arial"/>
        </w:rPr>
        <w:t>:</w:t>
      </w:r>
      <w:r w:rsidR="00B3524D" w:rsidRPr="00CE6902">
        <w:rPr>
          <w:rFonts w:ascii="Book Antiqua" w:hAnsi="Book Antiqua" w:cs="Arial"/>
        </w:rPr>
        <w:t xml:space="preserve"> </w:t>
      </w:r>
      <w:bookmarkStart w:id="0" w:name="_GoBack"/>
      <w:r w:rsidR="00CE39C9" w:rsidRPr="00CE39C9">
        <w:rPr>
          <w:rFonts w:ascii="Book Antiqua" w:hAnsi="Book Antiqua" w:cs="Arial"/>
          <w:caps/>
        </w:rPr>
        <w:t>HU/22788/2016</w:t>
      </w:r>
      <w:bookmarkEnd w:id="0"/>
    </w:p>
    <w:p w14:paraId="47F27BFF" w14:textId="3536C7C6" w:rsidR="00CE39C9" w:rsidRDefault="00CE39C9" w:rsidP="00D27C0A">
      <w:pPr>
        <w:tabs>
          <w:tab w:val="right" w:pos="9639"/>
        </w:tabs>
        <w:jc w:val="right"/>
        <w:rPr>
          <w:rFonts w:ascii="Book Antiqua" w:hAnsi="Book Antiqua" w:cs="Arial"/>
        </w:rPr>
      </w:pPr>
      <w:r w:rsidRPr="00CE39C9">
        <w:rPr>
          <w:rFonts w:ascii="Book Antiqua" w:hAnsi="Book Antiqua" w:cs="Arial"/>
        </w:rPr>
        <w:t>HU/22791/2016</w:t>
      </w:r>
    </w:p>
    <w:p w14:paraId="3C8BCCE3" w14:textId="119AB6B2" w:rsidR="00CE39C9" w:rsidRPr="00CE6902" w:rsidRDefault="00CE39C9" w:rsidP="00D27C0A">
      <w:pPr>
        <w:tabs>
          <w:tab w:val="right" w:pos="9639"/>
        </w:tabs>
        <w:jc w:val="right"/>
        <w:rPr>
          <w:rFonts w:ascii="Book Antiqua" w:hAnsi="Book Antiqua" w:cs="Arial"/>
        </w:rPr>
      </w:pPr>
      <w:r w:rsidRPr="00CE39C9">
        <w:rPr>
          <w:rFonts w:ascii="Book Antiqua" w:hAnsi="Book Antiqua" w:cs="Arial"/>
        </w:rPr>
        <w:t>HU/22792/2016</w:t>
      </w:r>
    </w:p>
    <w:p w14:paraId="5A4005D7" w14:textId="1455900C" w:rsidR="00C345E1" w:rsidRDefault="00C345E1" w:rsidP="00C345E1">
      <w:pPr>
        <w:jc w:val="center"/>
        <w:rPr>
          <w:rFonts w:ascii="Book Antiqua" w:hAnsi="Book Antiqua" w:cs="Arial"/>
        </w:rPr>
      </w:pPr>
    </w:p>
    <w:p w14:paraId="3183D72E" w14:textId="77777777" w:rsidR="00D27C0A" w:rsidRPr="00CE6902" w:rsidRDefault="00D27C0A" w:rsidP="00C345E1">
      <w:pPr>
        <w:jc w:val="center"/>
        <w:rPr>
          <w:rFonts w:ascii="Book Antiqua" w:hAnsi="Book Antiqua" w:cs="Arial"/>
        </w:rPr>
      </w:pPr>
    </w:p>
    <w:p w14:paraId="652D0017" w14:textId="77777777" w:rsidR="00C345E1" w:rsidRPr="00CE6902" w:rsidRDefault="00C345E1" w:rsidP="00C345E1">
      <w:pPr>
        <w:jc w:val="center"/>
        <w:rPr>
          <w:rFonts w:ascii="Book Antiqua" w:hAnsi="Book Antiqua" w:cs="Arial"/>
          <w:b/>
          <w:u w:val="single"/>
        </w:rPr>
      </w:pPr>
      <w:r w:rsidRPr="00CE6902">
        <w:rPr>
          <w:rFonts w:ascii="Book Antiqua" w:hAnsi="Book Antiqua" w:cs="Arial"/>
          <w:b/>
          <w:u w:val="single"/>
        </w:rPr>
        <w:t>THE IMMIGRATION ACTS</w:t>
      </w:r>
    </w:p>
    <w:p w14:paraId="0A695D48" w14:textId="77777777" w:rsidR="00C345E1" w:rsidRPr="00CE6902" w:rsidRDefault="00C345E1" w:rsidP="00C345E1">
      <w:pPr>
        <w:jc w:val="center"/>
        <w:rPr>
          <w:rFonts w:ascii="Book Antiqua" w:hAnsi="Book Antiqua" w:cs="Arial"/>
          <w:b/>
          <w:u w:val="single"/>
        </w:rPr>
      </w:pPr>
    </w:p>
    <w:p w14:paraId="072C4E5A" w14:textId="77777777" w:rsidR="00C345E1" w:rsidRPr="00CE6902"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CE6902" w14:paraId="347371A6" w14:textId="77777777" w:rsidTr="00BF3B8C">
        <w:tc>
          <w:tcPr>
            <w:tcW w:w="6048" w:type="dxa"/>
          </w:tcPr>
          <w:p w14:paraId="49C69934" w14:textId="77777777" w:rsidR="00D22636" w:rsidRPr="00CE6902" w:rsidRDefault="00D22636" w:rsidP="004A1848">
            <w:pPr>
              <w:jc w:val="both"/>
              <w:rPr>
                <w:rFonts w:ascii="Book Antiqua" w:hAnsi="Book Antiqua" w:cs="Arial"/>
                <w:b/>
              </w:rPr>
            </w:pPr>
            <w:r w:rsidRPr="00CE6902">
              <w:rPr>
                <w:rFonts w:ascii="Book Antiqua" w:hAnsi="Book Antiqua" w:cs="Arial"/>
                <w:b/>
              </w:rPr>
              <w:t xml:space="preserve">Heard at </w:t>
            </w:r>
            <w:r w:rsidR="00CE39C9">
              <w:rPr>
                <w:rFonts w:ascii="Book Antiqua" w:hAnsi="Book Antiqua" w:cs="Arial"/>
                <w:b/>
              </w:rPr>
              <w:t xml:space="preserve">Field House </w:t>
            </w:r>
          </w:p>
        </w:tc>
        <w:tc>
          <w:tcPr>
            <w:tcW w:w="3960" w:type="dxa"/>
          </w:tcPr>
          <w:p w14:paraId="62F036CE" w14:textId="77777777" w:rsidR="00D22636" w:rsidRPr="00CE6902" w:rsidRDefault="00BF3B8C" w:rsidP="004A1848">
            <w:pPr>
              <w:jc w:val="both"/>
              <w:rPr>
                <w:rFonts w:ascii="Book Antiqua" w:hAnsi="Book Antiqua" w:cs="Arial"/>
                <w:b/>
              </w:rPr>
            </w:pPr>
            <w:r>
              <w:rPr>
                <w:rFonts w:ascii="Book Antiqua" w:hAnsi="Book Antiqua" w:cs="Arial"/>
                <w:b/>
              </w:rPr>
              <w:t>Decision &amp; Reasons</w:t>
            </w:r>
            <w:r w:rsidR="00283659" w:rsidRPr="00CE6902">
              <w:rPr>
                <w:rFonts w:ascii="Book Antiqua" w:hAnsi="Book Antiqua" w:cs="Arial"/>
                <w:b/>
              </w:rPr>
              <w:t xml:space="preserve"> Promulgated</w:t>
            </w:r>
          </w:p>
        </w:tc>
      </w:tr>
      <w:tr w:rsidR="00D22636" w:rsidRPr="00CE6902" w14:paraId="280CDDFA" w14:textId="77777777" w:rsidTr="00BF3B8C">
        <w:tc>
          <w:tcPr>
            <w:tcW w:w="6048" w:type="dxa"/>
          </w:tcPr>
          <w:p w14:paraId="4BDBCDF6" w14:textId="77777777" w:rsidR="00D22636" w:rsidRPr="00CE6902" w:rsidRDefault="00D22636" w:rsidP="004A1848">
            <w:pPr>
              <w:jc w:val="both"/>
              <w:rPr>
                <w:rFonts w:ascii="Book Antiqua" w:hAnsi="Book Antiqua" w:cs="Arial"/>
                <w:b/>
              </w:rPr>
            </w:pPr>
            <w:r w:rsidRPr="00CE6902">
              <w:rPr>
                <w:rFonts w:ascii="Book Antiqua" w:hAnsi="Book Antiqua" w:cs="Arial"/>
                <w:b/>
              </w:rPr>
              <w:t xml:space="preserve">On </w:t>
            </w:r>
            <w:r w:rsidR="00CE39C9">
              <w:rPr>
                <w:rFonts w:ascii="Book Antiqua" w:hAnsi="Book Antiqua" w:cs="Arial"/>
                <w:b/>
              </w:rPr>
              <w:t>16</w:t>
            </w:r>
            <w:r w:rsidR="00CE39C9" w:rsidRPr="00CE39C9">
              <w:rPr>
                <w:rFonts w:ascii="Book Antiqua" w:hAnsi="Book Antiqua" w:cs="Arial"/>
                <w:b/>
                <w:vertAlign w:val="superscript"/>
              </w:rPr>
              <w:t>th</w:t>
            </w:r>
            <w:r w:rsidR="00CE39C9">
              <w:rPr>
                <w:rFonts w:ascii="Book Antiqua" w:hAnsi="Book Antiqua" w:cs="Arial"/>
                <w:b/>
              </w:rPr>
              <w:t xml:space="preserve"> August 2018</w:t>
            </w:r>
          </w:p>
        </w:tc>
        <w:tc>
          <w:tcPr>
            <w:tcW w:w="3960" w:type="dxa"/>
          </w:tcPr>
          <w:p w14:paraId="4A793C58" w14:textId="43A43990" w:rsidR="00D22636" w:rsidRPr="00CE6902" w:rsidRDefault="00535875" w:rsidP="004A1848">
            <w:pPr>
              <w:jc w:val="both"/>
              <w:rPr>
                <w:rFonts w:ascii="Book Antiqua" w:hAnsi="Book Antiqua" w:cs="Arial"/>
                <w:b/>
              </w:rPr>
            </w:pPr>
            <w:r>
              <w:rPr>
                <w:rFonts w:ascii="Book Antiqua" w:hAnsi="Book Antiqua" w:cs="Arial"/>
                <w:b/>
              </w:rPr>
              <w:t>On 4</w:t>
            </w:r>
            <w:r w:rsidRPr="00535875">
              <w:rPr>
                <w:rFonts w:ascii="Book Antiqua" w:hAnsi="Book Antiqua" w:cs="Arial"/>
                <w:b/>
                <w:vertAlign w:val="superscript"/>
              </w:rPr>
              <w:t>th</w:t>
            </w:r>
            <w:r>
              <w:rPr>
                <w:rFonts w:ascii="Book Antiqua" w:hAnsi="Book Antiqua" w:cs="Arial"/>
                <w:b/>
              </w:rPr>
              <w:t xml:space="preserve"> September 2018</w:t>
            </w:r>
          </w:p>
        </w:tc>
      </w:tr>
    </w:tbl>
    <w:p w14:paraId="58B0D8EA" w14:textId="77777777" w:rsidR="00A15234" w:rsidRPr="00CE6902" w:rsidRDefault="00A15234" w:rsidP="00A15234">
      <w:pPr>
        <w:jc w:val="center"/>
        <w:rPr>
          <w:rFonts w:ascii="Book Antiqua" w:hAnsi="Book Antiqua" w:cs="Arial"/>
        </w:rPr>
      </w:pPr>
    </w:p>
    <w:p w14:paraId="137E6672" w14:textId="77777777" w:rsidR="00A15234" w:rsidRPr="00CE6902" w:rsidRDefault="00A15234" w:rsidP="00A15234">
      <w:pPr>
        <w:jc w:val="center"/>
        <w:rPr>
          <w:rFonts w:ascii="Book Antiqua" w:hAnsi="Book Antiqua" w:cs="Arial"/>
        </w:rPr>
      </w:pPr>
    </w:p>
    <w:p w14:paraId="732CEA4B" w14:textId="77777777" w:rsidR="00A15234" w:rsidRPr="00CE6902" w:rsidRDefault="00207617" w:rsidP="00A15234">
      <w:pPr>
        <w:jc w:val="center"/>
        <w:rPr>
          <w:rFonts w:ascii="Book Antiqua" w:hAnsi="Book Antiqua" w:cs="Arial"/>
          <w:b/>
        </w:rPr>
      </w:pPr>
      <w:r w:rsidRPr="00CE6902">
        <w:rPr>
          <w:rFonts w:ascii="Book Antiqua" w:hAnsi="Book Antiqua" w:cs="Arial"/>
          <w:b/>
        </w:rPr>
        <w:t>Befo</w:t>
      </w:r>
      <w:r w:rsidR="00A15234" w:rsidRPr="00CE6902">
        <w:rPr>
          <w:rFonts w:ascii="Book Antiqua" w:hAnsi="Book Antiqua" w:cs="Arial"/>
          <w:b/>
        </w:rPr>
        <w:t>re</w:t>
      </w:r>
    </w:p>
    <w:p w14:paraId="1D253902" w14:textId="77777777" w:rsidR="00A15234" w:rsidRPr="00CE6902" w:rsidRDefault="00A15234" w:rsidP="00A15234">
      <w:pPr>
        <w:jc w:val="center"/>
        <w:rPr>
          <w:rFonts w:ascii="Book Antiqua" w:hAnsi="Book Antiqua" w:cs="Arial"/>
          <w:b/>
        </w:rPr>
      </w:pPr>
    </w:p>
    <w:p w14:paraId="3808BBA6" w14:textId="77777777" w:rsidR="00A15234" w:rsidRPr="00CE6902" w:rsidRDefault="00561B4E" w:rsidP="00ED1BAF">
      <w:pPr>
        <w:jc w:val="center"/>
        <w:rPr>
          <w:rFonts w:ascii="Book Antiqua" w:hAnsi="Book Antiqua" w:cs="Arial"/>
          <w:b/>
          <w:caps/>
        </w:rPr>
      </w:pPr>
      <w:r>
        <w:rPr>
          <w:rFonts w:ascii="Book Antiqua" w:hAnsi="Book Antiqua" w:cs="Arial"/>
          <w:b/>
          <w:caps/>
        </w:rPr>
        <w:t xml:space="preserve">DEPUTY </w:t>
      </w:r>
      <w:r w:rsidR="00ED1BAF">
        <w:rPr>
          <w:rFonts w:ascii="Book Antiqua" w:hAnsi="Book Antiqua" w:cs="Arial"/>
          <w:b/>
          <w:caps/>
        </w:rPr>
        <w:t xml:space="preserve">UPPER TRIBUNAL </w:t>
      </w:r>
      <w:r w:rsidR="00B03FBE" w:rsidRPr="00CE6902">
        <w:rPr>
          <w:rFonts w:ascii="Book Antiqua" w:hAnsi="Book Antiqua" w:cs="Arial"/>
          <w:b/>
          <w:caps/>
        </w:rPr>
        <w:t>JUDGE D E TAYLOR</w:t>
      </w:r>
    </w:p>
    <w:p w14:paraId="42139271" w14:textId="6AE70B62" w:rsidR="00A845DC" w:rsidRDefault="00A845DC" w:rsidP="00A15234">
      <w:pPr>
        <w:jc w:val="center"/>
        <w:rPr>
          <w:rFonts w:ascii="Book Antiqua" w:hAnsi="Book Antiqua" w:cs="Arial"/>
          <w:b/>
        </w:rPr>
      </w:pPr>
    </w:p>
    <w:p w14:paraId="3CACA836" w14:textId="77777777" w:rsidR="00D27C0A" w:rsidRPr="00CE6902" w:rsidRDefault="00D27C0A" w:rsidP="00A15234">
      <w:pPr>
        <w:jc w:val="center"/>
        <w:rPr>
          <w:rFonts w:ascii="Book Antiqua" w:hAnsi="Book Antiqua" w:cs="Arial"/>
          <w:b/>
        </w:rPr>
      </w:pPr>
    </w:p>
    <w:p w14:paraId="03E5C94E" w14:textId="77777777" w:rsidR="00A845DC" w:rsidRPr="00CE6902" w:rsidRDefault="00A845DC" w:rsidP="00A15234">
      <w:pPr>
        <w:jc w:val="center"/>
        <w:rPr>
          <w:rFonts w:ascii="Book Antiqua" w:hAnsi="Book Antiqua" w:cs="Arial"/>
          <w:b/>
        </w:rPr>
      </w:pPr>
      <w:r w:rsidRPr="00CE6902">
        <w:rPr>
          <w:rFonts w:ascii="Book Antiqua" w:hAnsi="Book Antiqua" w:cs="Arial"/>
          <w:b/>
        </w:rPr>
        <w:t>Between</w:t>
      </w:r>
    </w:p>
    <w:p w14:paraId="2168570E" w14:textId="77777777" w:rsidR="00A845DC" w:rsidRPr="00CE6902" w:rsidRDefault="00A845DC" w:rsidP="00A15234">
      <w:pPr>
        <w:jc w:val="center"/>
        <w:rPr>
          <w:rFonts w:ascii="Book Antiqua" w:hAnsi="Book Antiqua" w:cs="Arial"/>
          <w:b/>
        </w:rPr>
      </w:pPr>
    </w:p>
    <w:p w14:paraId="3AE083E3" w14:textId="77777777" w:rsidR="00742A8D" w:rsidRDefault="00CE39C9" w:rsidP="00742A8D">
      <w:pPr>
        <w:jc w:val="center"/>
        <w:rPr>
          <w:rFonts w:ascii="Book Antiqua" w:hAnsi="Book Antiqua" w:cs="Arial"/>
          <w:b/>
          <w:caps/>
        </w:rPr>
      </w:pPr>
      <w:r>
        <w:rPr>
          <w:rFonts w:ascii="Book Antiqua" w:hAnsi="Book Antiqua" w:cs="Arial"/>
          <w:b/>
          <w:caps/>
        </w:rPr>
        <w:t>SN</w:t>
      </w:r>
      <w:r w:rsidR="00367068">
        <w:rPr>
          <w:rFonts w:ascii="Book Antiqua" w:hAnsi="Book Antiqua" w:cs="Arial"/>
          <w:b/>
          <w:caps/>
        </w:rPr>
        <w:t xml:space="preserve"> (first appellant)</w:t>
      </w:r>
    </w:p>
    <w:p w14:paraId="52306019" w14:textId="77777777" w:rsidR="00CE39C9" w:rsidRDefault="00CE39C9" w:rsidP="00742A8D">
      <w:pPr>
        <w:jc w:val="center"/>
        <w:rPr>
          <w:rFonts w:ascii="Book Antiqua" w:hAnsi="Book Antiqua" w:cs="Arial"/>
          <w:b/>
          <w:caps/>
        </w:rPr>
      </w:pPr>
      <w:r>
        <w:rPr>
          <w:rFonts w:ascii="Book Antiqua" w:hAnsi="Book Antiqua" w:cs="Arial"/>
          <w:b/>
          <w:caps/>
        </w:rPr>
        <w:t>MRH</w:t>
      </w:r>
      <w:r w:rsidR="00367068">
        <w:rPr>
          <w:rFonts w:ascii="Book Antiqua" w:hAnsi="Book Antiqua" w:cs="Arial"/>
          <w:b/>
          <w:caps/>
        </w:rPr>
        <w:t xml:space="preserve"> (second appellant)</w:t>
      </w:r>
    </w:p>
    <w:p w14:paraId="24E3879C" w14:textId="77777777" w:rsidR="00CE39C9" w:rsidRDefault="00CE39C9" w:rsidP="00742A8D">
      <w:pPr>
        <w:jc w:val="center"/>
        <w:rPr>
          <w:rFonts w:ascii="Book Antiqua" w:hAnsi="Book Antiqua" w:cs="Arial"/>
          <w:b/>
          <w:caps/>
        </w:rPr>
      </w:pPr>
      <w:r>
        <w:rPr>
          <w:rFonts w:ascii="Book Antiqua" w:hAnsi="Book Antiqua" w:cs="Arial"/>
          <w:b/>
          <w:caps/>
        </w:rPr>
        <w:t>FR</w:t>
      </w:r>
      <w:r w:rsidR="00367068">
        <w:rPr>
          <w:rFonts w:ascii="Book Antiqua" w:hAnsi="Book Antiqua" w:cs="Arial"/>
          <w:b/>
          <w:caps/>
        </w:rPr>
        <w:t xml:space="preserve"> (third appellant)</w:t>
      </w:r>
    </w:p>
    <w:p w14:paraId="47D62E0F" w14:textId="77777777" w:rsidR="00BF3B8C" w:rsidRPr="00D27C0A" w:rsidRDefault="00BF3B8C" w:rsidP="00BF3B8C">
      <w:pPr>
        <w:jc w:val="center"/>
        <w:rPr>
          <w:rFonts w:ascii="Book Antiqua" w:hAnsi="Book Antiqua" w:cs="Arial"/>
          <w:b/>
          <w:caps/>
          <w:sz w:val="22"/>
        </w:rPr>
      </w:pPr>
      <w:r w:rsidRPr="00D27C0A">
        <w:rPr>
          <w:rFonts w:ascii="Book Antiqua" w:hAnsi="Book Antiqua" w:cs="Arial"/>
          <w:b/>
          <w:caps/>
          <w:sz w:val="22"/>
        </w:rPr>
        <w:t xml:space="preserve">(ANONYMITY DIRECTION </w:t>
      </w:r>
      <w:r w:rsidR="00CE39C9" w:rsidRPr="00D27C0A">
        <w:rPr>
          <w:rFonts w:ascii="Book Antiqua" w:hAnsi="Book Antiqua" w:cs="Arial"/>
          <w:b/>
          <w:caps/>
          <w:sz w:val="22"/>
        </w:rPr>
        <w:t>made</w:t>
      </w:r>
      <w:r w:rsidRPr="00D27C0A">
        <w:rPr>
          <w:rFonts w:ascii="Book Antiqua" w:hAnsi="Book Antiqua" w:cs="Arial"/>
          <w:b/>
          <w:caps/>
          <w:sz w:val="22"/>
        </w:rPr>
        <w:t>)</w:t>
      </w:r>
    </w:p>
    <w:p w14:paraId="7EB1CCBD" w14:textId="77777777" w:rsidR="00704B61" w:rsidRPr="00CE6902" w:rsidRDefault="00704B61" w:rsidP="00704B61">
      <w:pPr>
        <w:jc w:val="right"/>
        <w:rPr>
          <w:rFonts w:ascii="Book Antiqua" w:hAnsi="Book Antiqua" w:cs="Arial"/>
          <w:u w:val="single"/>
        </w:rPr>
      </w:pPr>
      <w:r w:rsidRPr="00CE6902">
        <w:rPr>
          <w:rFonts w:ascii="Book Antiqua" w:hAnsi="Book Antiqua" w:cs="Arial"/>
          <w:u w:val="single"/>
        </w:rPr>
        <w:t>Appellant</w:t>
      </w:r>
      <w:r w:rsidR="00CE39C9">
        <w:rPr>
          <w:rFonts w:ascii="Book Antiqua" w:hAnsi="Book Antiqua" w:cs="Arial"/>
          <w:u w:val="single"/>
        </w:rPr>
        <w:t>s</w:t>
      </w:r>
    </w:p>
    <w:p w14:paraId="0A55DFB2" w14:textId="77777777" w:rsidR="00704B61" w:rsidRPr="00CE6902" w:rsidRDefault="00DD5071" w:rsidP="00704B61">
      <w:pPr>
        <w:jc w:val="center"/>
        <w:rPr>
          <w:rFonts w:ascii="Book Antiqua" w:hAnsi="Book Antiqua" w:cs="Arial"/>
          <w:b/>
        </w:rPr>
      </w:pPr>
      <w:r w:rsidRPr="00CE6902">
        <w:rPr>
          <w:rFonts w:ascii="Book Antiqua" w:hAnsi="Book Antiqua" w:cs="Arial"/>
          <w:b/>
        </w:rPr>
        <w:t>and</w:t>
      </w:r>
    </w:p>
    <w:p w14:paraId="1B737127" w14:textId="77777777" w:rsidR="00DD5071" w:rsidRPr="00CE6902" w:rsidRDefault="00DD5071" w:rsidP="00704B61">
      <w:pPr>
        <w:jc w:val="center"/>
        <w:rPr>
          <w:rFonts w:ascii="Book Antiqua" w:hAnsi="Book Antiqua" w:cs="Arial"/>
          <w:b/>
        </w:rPr>
      </w:pPr>
    </w:p>
    <w:p w14:paraId="36C8B591" w14:textId="77777777" w:rsidR="00DD5071" w:rsidRPr="00CE6902" w:rsidRDefault="00DD5071" w:rsidP="00704B61">
      <w:pPr>
        <w:jc w:val="center"/>
        <w:rPr>
          <w:rFonts w:ascii="Book Antiqua" w:hAnsi="Book Antiqua" w:cs="Arial"/>
          <w:b/>
          <w:caps/>
        </w:rPr>
      </w:pPr>
      <w:r w:rsidRPr="00CE6902">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CE6902">
        <w:rPr>
          <w:rFonts w:ascii="Book Antiqua" w:hAnsi="Book Antiqua" w:cs="Arial"/>
          <w:b/>
          <w:caps/>
        </w:rPr>
        <w:instrText xml:space="preserve"> FORMTEXT </w:instrText>
      </w:r>
      <w:r w:rsidRPr="00CE6902">
        <w:rPr>
          <w:rFonts w:ascii="Book Antiqua" w:hAnsi="Book Antiqua" w:cs="Arial"/>
          <w:b/>
          <w:caps/>
        </w:rPr>
      </w:r>
      <w:r w:rsidRPr="00CE6902">
        <w:rPr>
          <w:rFonts w:ascii="Book Antiqua" w:hAnsi="Book Antiqua" w:cs="Arial"/>
          <w:b/>
          <w:caps/>
        </w:rPr>
        <w:fldChar w:fldCharType="separate"/>
      </w:r>
      <w:r w:rsidRPr="00CE6902">
        <w:rPr>
          <w:rFonts w:ascii="Book Antiqua" w:hAnsi="Book Antiqua" w:cs="Arial"/>
          <w:b/>
          <w:caps/>
          <w:noProof/>
        </w:rPr>
        <w:t>THE SECRETARY OF STATE FOR THE HOME DEPARTMENT</w:t>
      </w:r>
      <w:r w:rsidRPr="00CE6902">
        <w:rPr>
          <w:rFonts w:ascii="Book Antiqua" w:hAnsi="Book Antiqua" w:cs="Arial"/>
          <w:b/>
          <w:caps/>
        </w:rPr>
        <w:fldChar w:fldCharType="end"/>
      </w:r>
      <w:bookmarkEnd w:id="1"/>
    </w:p>
    <w:p w14:paraId="4CEA51B1" w14:textId="77777777" w:rsidR="00DD5071" w:rsidRPr="00CE6902" w:rsidRDefault="00DD5071" w:rsidP="00DD5071">
      <w:pPr>
        <w:jc w:val="right"/>
        <w:rPr>
          <w:rFonts w:ascii="Book Antiqua" w:hAnsi="Book Antiqua" w:cs="Arial"/>
          <w:u w:val="single"/>
        </w:rPr>
      </w:pPr>
      <w:r w:rsidRPr="00CE6902">
        <w:rPr>
          <w:rFonts w:ascii="Book Antiqua" w:hAnsi="Book Antiqua" w:cs="Arial"/>
          <w:u w:val="single"/>
        </w:rPr>
        <w:t>Respondent</w:t>
      </w:r>
    </w:p>
    <w:p w14:paraId="544CE138" w14:textId="224BB0BA" w:rsidR="00DD5071" w:rsidRDefault="00DD5071" w:rsidP="00DD5071">
      <w:pPr>
        <w:rPr>
          <w:rFonts w:ascii="Book Antiqua" w:hAnsi="Book Antiqua" w:cs="Arial"/>
          <w:u w:val="single"/>
        </w:rPr>
      </w:pPr>
    </w:p>
    <w:p w14:paraId="4CC79913" w14:textId="77777777" w:rsidR="00D27C0A" w:rsidRPr="00CE6902" w:rsidRDefault="00D27C0A" w:rsidP="00DD5071">
      <w:pPr>
        <w:rPr>
          <w:rFonts w:ascii="Book Antiqua" w:hAnsi="Book Antiqua" w:cs="Arial"/>
          <w:u w:val="single"/>
        </w:rPr>
      </w:pPr>
    </w:p>
    <w:p w14:paraId="24690D18" w14:textId="77777777" w:rsidR="00DD5071" w:rsidRPr="00CE6902" w:rsidRDefault="00DE7DB7" w:rsidP="00DD5071">
      <w:pPr>
        <w:rPr>
          <w:rFonts w:ascii="Book Antiqua" w:hAnsi="Book Antiqua" w:cs="Arial"/>
        </w:rPr>
      </w:pPr>
      <w:r w:rsidRPr="00CE6902">
        <w:rPr>
          <w:rFonts w:ascii="Book Antiqua" w:hAnsi="Book Antiqua" w:cs="Arial"/>
          <w:b/>
          <w:u w:val="single"/>
        </w:rPr>
        <w:t>Representation</w:t>
      </w:r>
      <w:r w:rsidRPr="00CE6902">
        <w:rPr>
          <w:rFonts w:ascii="Book Antiqua" w:hAnsi="Book Antiqua" w:cs="Arial"/>
          <w:b/>
        </w:rPr>
        <w:t>:</w:t>
      </w:r>
    </w:p>
    <w:p w14:paraId="348153A5" w14:textId="77777777" w:rsidR="00DE7DB7" w:rsidRPr="00CE6902" w:rsidRDefault="00DE7DB7" w:rsidP="00DE7DB7">
      <w:pPr>
        <w:tabs>
          <w:tab w:val="left" w:pos="2520"/>
        </w:tabs>
        <w:rPr>
          <w:rFonts w:ascii="Book Antiqua" w:hAnsi="Book Antiqua" w:cs="Arial"/>
        </w:rPr>
      </w:pPr>
      <w:r w:rsidRPr="00CE6902">
        <w:rPr>
          <w:rFonts w:ascii="Book Antiqua" w:hAnsi="Book Antiqua" w:cs="Arial"/>
        </w:rPr>
        <w:t>For the Appellant</w:t>
      </w:r>
      <w:r w:rsidR="00CE39C9">
        <w:rPr>
          <w:rFonts w:ascii="Book Antiqua" w:hAnsi="Book Antiqua" w:cs="Arial"/>
        </w:rPr>
        <w:t>s</w:t>
      </w:r>
      <w:r w:rsidRPr="00CE6902">
        <w:rPr>
          <w:rFonts w:ascii="Book Antiqua" w:hAnsi="Book Antiqua" w:cs="Arial"/>
        </w:rPr>
        <w:t>:</w:t>
      </w:r>
      <w:r w:rsidRPr="00CE6902">
        <w:rPr>
          <w:rFonts w:ascii="Book Antiqua" w:hAnsi="Book Antiqua" w:cs="Arial"/>
        </w:rPr>
        <w:tab/>
      </w:r>
      <w:r w:rsidR="00CE39C9">
        <w:rPr>
          <w:rFonts w:ascii="Book Antiqua" w:hAnsi="Book Antiqua" w:cs="Arial"/>
        </w:rPr>
        <w:t>Mr S Gill of Counsel, instructed by Liberty Legal Solicitors</w:t>
      </w:r>
    </w:p>
    <w:p w14:paraId="6072BBFA" w14:textId="26CFEAD5" w:rsidR="00DE7DB7" w:rsidRPr="00CE6902" w:rsidRDefault="00DE7DB7" w:rsidP="00DE7DB7">
      <w:pPr>
        <w:tabs>
          <w:tab w:val="left" w:pos="2520"/>
        </w:tabs>
        <w:rPr>
          <w:rFonts w:ascii="Book Antiqua" w:hAnsi="Book Antiqua" w:cs="Arial"/>
        </w:rPr>
      </w:pPr>
      <w:r w:rsidRPr="00CE6902">
        <w:rPr>
          <w:rFonts w:ascii="Book Antiqua" w:hAnsi="Book Antiqua" w:cs="Arial"/>
        </w:rPr>
        <w:t>For the Respondent:</w:t>
      </w:r>
      <w:r w:rsidRPr="00CE6902">
        <w:rPr>
          <w:rFonts w:ascii="Book Antiqua" w:hAnsi="Book Antiqua" w:cs="Arial"/>
        </w:rPr>
        <w:tab/>
      </w:r>
      <w:r w:rsidR="00CE39C9">
        <w:rPr>
          <w:rFonts w:ascii="Book Antiqua" w:hAnsi="Book Antiqua" w:cs="Arial"/>
        </w:rPr>
        <w:t>Mr S Walker</w:t>
      </w:r>
      <w:r w:rsidR="00B07A4C">
        <w:rPr>
          <w:rFonts w:ascii="Book Antiqua" w:hAnsi="Book Antiqua" w:cs="Arial"/>
        </w:rPr>
        <w:t>, HOPO</w:t>
      </w:r>
    </w:p>
    <w:p w14:paraId="2CA25A43" w14:textId="77777777" w:rsidR="00DE7DB7" w:rsidRPr="00CE6902" w:rsidRDefault="00DE7DB7" w:rsidP="00402B9E">
      <w:pPr>
        <w:tabs>
          <w:tab w:val="left" w:pos="2520"/>
        </w:tabs>
        <w:jc w:val="center"/>
        <w:rPr>
          <w:rFonts w:ascii="Book Antiqua" w:hAnsi="Book Antiqua" w:cs="Arial"/>
        </w:rPr>
      </w:pPr>
    </w:p>
    <w:p w14:paraId="6B6D7A27" w14:textId="77777777" w:rsidR="00DE7DB7" w:rsidRPr="00CE6902" w:rsidRDefault="00DE7DB7" w:rsidP="00402B9E">
      <w:pPr>
        <w:tabs>
          <w:tab w:val="left" w:pos="2520"/>
        </w:tabs>
        <w:jc w:val="center"/>
        <w:rPr>
          <w:rFonts w:ascii="Book Antiqua" w:hAnsi="Book Antiqua" w:cs="Arial"/>
        </w:rPr>
      </w:pPr>
    </w:p>
    <w:p w14:paraId="61F424C0" w14:textId="77777777" w:rsidR="00DE7DB7" w:rsidRPr="00CE6902" w:rsidRDefault="00BF3B8C"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CE6902">
        <w:rPr>
          <w:rFonts w:ascii="Book Antiqua" w:hAnsi="Book Antiqua" w:cs="Arial"/>
          <w:b/>
          <w:u w:val="single"/>
        </w:rPr>
        <w:t>AND REASONS</w:t>
      </w:r>
    </w:p>
    <w:p w14:paraId="2B11EEAA" w14:textId="77777777" w:rsidR="00C665DF" w:rsidRDefault="00A86EB1" w:rsidP="00D27C0A">
      <w:pPr>
        <w:numPr>
          <w:ilvl w:val="0"/>
          <w:numId w:val="3"/>
        </w:numPr>
        <w:spacing w:before="240"/>
        <w:jc w:val="both"/>
        <w:rPr>
          <w:rFonts w:ascii="Book Antiqua" w:hAnsi="Book Antiqua" w:cs="Arial"/>
        </w:rPr>
      </w:pPr>
      <w:r>
        <w:rPr>
          <w:rFonts w:ascii="Book Antiqua" w:hAnsi="Book Antiqua" w:cs="Arial"/>
        </w:rPr>
        <w:t xml:space="preserve">These are the appellants’ appeals against the decision of Judge </w:t>
      </w:r>
      <w:r w:rsidR="00367068">
        <w:rPr>
          <w:rFonts w:ascii="Book Antiqua" w:hAnsi="Book Antiqua" w:cs="Arial"/>
        </w:rPr>
        <w:t xml:space="preserve">of the First-tier Tribunal </w:t>
      </w:r>
      <w:r>
        <w:rPr>
          <w:rFonts w:ascii="Book Antiqua" w:hAnsi="Book Antiqua" w:cs="Arial"/>
        </w:rPr>
        <w:t>Goodrich made following a hearing at Taylor House on 25</w:t>
      </w:r>
      <w:r w:rsidRPr="00A86EB1">
        <w:rPr>
          <w:rFonts w:ascii="Book Antiqua" w:hAnsi="Book Antiqua" w:cs="Arial"/>
          <w:vertAlign w:val="superscript"/>
        </w:rPr>
        <w:t>th</w:t>
      </w:r>
      <w:r>
        <w:rPr>
          <w:rFonts w:ascii="Book Antiqua" w:hAnsi="Book Antiqua" w:cs="Arial"/>
        </w:rPr>
        <w:t xml:space="preserve"> January 2018.  </w:t>
      </w:r>
    </w:p>
    <w:p w14:paraId="78DCEAD1" w14:textId="77777777" w:rsidR="00D27C0A" w:rsidRDefault="00D27C0A" w:rsidP="00D27C0A">
      <w:pPr>
        <w:spacing w:before="240"/>
        <w:jc w:val="both"/>
        <w:rPr>
          <w:rFonts w:ascii="Book Antiqua" w:hAnsi="Book Antiqua" w:cs="Arial"/>
          <w:b/>
          <w:u w:val="single"/>
        </w:rPr>
      </w:pPr>
    </w:p>
    <w:p w14:paraId="69FDC865" w14:textId="6B42B314" w:rsidR="00A86EB1" w:rsidRPr="00A86EB1" w:rsidRDefault="00A86EB1" w:rsidP="00D27C0A">
      <w:pPr>
        <w:spacing w:before="240"/>
        <w:jc w:val="both"/>
        <w:rPr>
          <w:rFonts w:ascii="Book Antiqua" w:hAnsi="Book Antiqua" w:cs="Arial"/>
          <w:b/>
          <w:u w:val="single"/>
        </w:rPr>
      </w:pPr>
      <w:r>
        <w:rPr>
          <w:rFonts w:ascii="Book Antiqua" w:hAnsi="Book Antiqua" w:cs="Arial"/>
          <w:b/>
          <w:u w:val="single"/>
        </w:rPr>
        <w:lastRenderedPageBreak/>
        <w:t>Background</w:t>
      </w:r>
    </w:p>
    <w:p w14:paraId="47FDC653" w14:textId="1170B144" w:rsidR="00A86EB1" w:rsidRDefault="00A86EB1" w:rsidP="00D27C0A">
      <w:pPr>
        <w:numPr>
          <w:ilvl w:val="0"/>
          <w:numId w:val="3"/>
        </w:numPr>
        <w:spacing w:before="240"/>
        <w:jc w:val="both"/>
        <w:rPr>
          <w:rFonts w:ascii="Book Antiqua" w:hAnsi="Book Antiqua" w:cs="Arial"/>
        </w:rPr>
      </w:pPr>
      <w:r>
        <w:rPr>
          <w:rFonts w:ascii="Book Antiqua" w:hAnsi="Book Antiqua" w:cs="Arial"/>
        </w:rPr>
        <w:t xml:space="preserve">The appellants are citizens of Bangladesh.  The first and second appellants are married and parents of the third appellant.  They also have a son who is present in the UK with leave to remain granted following his successful appeal.  </w:t>
      </w:r>
    </w:p>
    <w:p w14:paraId="6DAE2CC0" w14:textId="77777777" w:rsidR="00A86EB1" w:rsidRDefault="00A86EB1" w:rsidP="00D27C0A">
      <w:pPr>
        <w:numPr>
          <w:ilvl w:val="0"/>
          <w:numId w:val="3"/>
        </w:numPr>
        <w:spacing w:before="240"/>
        <w:jc w:val="both"/>
        <w:rPr>
          <w:rFonts w:ascii="Book Antiqua" w:hAnsi="Book Antiqua" w:cs="Arial"/>
        </w:rPr>
      </w:pPr>
      <w:r>
        <w:rPr>
          <w:rFonts w:ascii="Book Antiqua" w:hAnsi="Book Antiqua" w:cs="Arial"/>
        </w:rPr>
        <w:t>There is a complex history to this case.  The first appellant came to the UK on 17</w:t>
      </w:r>
      <w:r w:rsidRPr="00A86EB1">
        <w:rPr>
          <w:rFonts w:ascii="Book Antiqua" w:hAnsi="Book Antiqua" w:cs="Arial"/>
          <w:vertAlign w:val="superscript"/>
        </w:rPr>
        <w:t>th</w:t>
      </w:r>
      <w:r>
        <w:rPr>
          <w:rFonts w:ascii="Book Antiqua" w:hAnsi="Book Antiqua" w:cs="Arial"/>
        </w:rPr>
        <w:t xml:space="preserve"> May 2007 with leave to enter as a Tier 4 Migrant until 31</w:t>
      </w:r>
      <w:r w:rsidRPr="00A86EB1">
        <w:rPr>
          <w:rFonts w:ascii="Book Antiqua" w:hAnsi="Book Antiqua" w:cs="Arial"/>
          <w:vertAlign w:val="superscript"/>
        </w:rPr>
        <w:t>st</w:t>
      </w:r>
      <w:r>
        <w:rPr>
          <w:rFonts w:ascii="Book Antiqua" w:hAnsi="Book Antiqua" w:cs="Arial"/>
        </w:rPr>
        <w:t xml:space="preserve"> July 2010.  She made a number of further applications and leave was extended until 13</w:t>
      </w:r>
      <w:r w:rsidRPr="00A86EB1">
        <w:rPr>
          <w:rFonts w:ascii="Book Antiqua" w:hAnsi="Book Antiqua" w:cs="Arial"/>
          <w:vertAlign w:val="superscript"/>
        </w:rPr>
        <w:t>th</w:t>
      </w:r>
      <w:r>
        <w:rPr>
          <w:rFonts w:ascii="Book Antiqua" w:hAnsi="Book Antiqua" w:cs="Arial"/>
        </w:rPr>
        <w:t xml:space="preserve"> January 2014.  </w:t>
      </w:r>
    </w:p>
    <w:p w14:paraId="4DF7B058" w14:textId="77777777" w:rsidR="00A86EB1" w:rsidRDefault="00A86EB1" w:rsidP="00D27C0A">
      <w:pPr>
        <w:numPr>
          <w:ilvl w:val="0"/>
          <w:numId w:val="3"/>
        </w:numPr>
        <w:spacing w:before="240"/>
        <w:jc w:val="both"/>
        <w:rPr>
          <w:rFonts w:ascii="Book Antiqua" w:hAnsi="Book Antiqua" w:cs="Arial"/>
        </w:rPr>
      </w:pPr>
      <w:r>
        <w:rPr>
          <w:rFonts w:ascii="Book Antiqua" w:hAnsi="Book Antiqua" w:cs="Arial"/>
        </w:rPr>
        <w:t>On 23</w:t>
      </w:r>
      <w:r w:rsidRPr="00A86EB1">
        <w:rPr>
          <w:rFonts w:ascii="Book Antiqua" w:hAnsi="Book Antiqua" w:cs="Arial"/>
          <w:vertAlign w:val="superscript"/>
        </w:rPr>
        <w:t>rd</w:t>
      </w:r>
      <w:r>
        <w:rPr>
          <w:rFonts w:ascii="Book Antiqua" w:hAnsi="Book Antiqua" w:cs="Arial"/>
        </w:rPr>
        <w:t xml:space="preserve"> December 2013 she applied for leave to remain as a Tier 1 Entrepreneur which was refused on 30</w:t>
      </w:r>
      <w:r w:rsidRPr="00A86EB1">
        <w:rPr>
          <w:rFonts w:ascii="Book Antiqua" w:hAnsi="Book Antiqua" w:cs="Arial"/>
          <w:vertAlign w:val="superscript"/>
        </w:rPr>
        <w:t>th</w:t>
      </w:r>
      <w:r>
        <w:rPr>
          <w:rFonts w:ascii="Book Antiqua" w:hAnsi="Book Antiqua" w:cs="Arial"/>
        </w:rPr>
        <w:t xml:space="preserve"> May 2014.  The appeals by all four members of the family against that decision were dismissed on 1</w:t>
      </w:r>
      <w:r w:rsidRPr="00A86EB1">
        <w:rPr>
          <w:rFonts w:ascii="Book Antiqua" w:hAnsi="Book Antiqua" w:cs="Arial"/>
          <w:vertAlign w:val="superscript"/>
        </w:rPr>
        <w:t>st</w:t>
      </w:r>
      <w:r>
        <w:rPr>
          <w:rFonts w:ascii="Book Antiqua" w:hAnsi="Book Antiqua" w:cs="Arial"/>
        </w:rPr>
        <w:t xml:space="preserve"> September 2015 bu</w:t>
      </w:r>
      <w:r w:rsidR="000D5A75">
        <w:rPr>
          <w:rFonts w:ascii="Book Antiqua" w:hAnsi="Book Antiqua" w:cs="Arial"/>
        </w:rPr>
        <w:t>t in the interim, the appellant</w:t>
      </w:r>
      <w:r>
        <w:rPr>
          <w:rFonts w:ascii="Book Antiqua" w:hAnsi="Book Antiqua" w:cs="Arial"/>
        </w:rPr>
        <w:t>s</w:t>
      </w:r>
      <w:r w:rsidR="000D5A75">
        <w:rPr>
          <w:rFonts w:ascii="Book Antiqua" w:hAnsi="Book Antiqua" w:cs="Arial"/>
        </w:rPr>
        <w:t>’</w:t>
      </w:r>
      <w:r>
        <w:rPr>
          <w:rFonts w:ascii="Book Antiqua" w:hAnsi="Book Antiqua" w:cs="Arial"/>
        </w:rPr>
        <w:t xml:space="preserve"> son applied for leave to remain on the grounds that he had been in the UK for over seven years.  That application was refused but allowed on appeal on 3</w:t>
      </w:r>
      <w:r w:rsidRPr="00A86EB1">
        <w:rPr>
          <w:rFonts w:ascii="Book Antiqua" w:hAnsi="Book Antiqua" w:cs="Arial"/>
          <w:vertAlign w:val="superscript"/>
        </w:rPr>
        <w:t>rd</w:t>
      </w:r>
      <w:r>
        <w:rPr>
          <w:rFonts w:ascii="Book Antiqua" w:hAnsi="Book Antiqua" w:cs="Arial"/>
        </w:rPr>
        <w:t xml:space="preserve"> January 2017.  </w:t>
      </w:r>
    </w:p>
    <w:p w14:paraId="3234FDB5" w14:textId="77777777" w:rsidR="00A86EB1" w:rsidRDefault="00A86EB1" w:rsidP="00D27C0A">
      <w:pPr>
        <w:numPr>
          <w:ilvl w:val="0"/>
          <w:numId w:val="3"/>
        </w:numPr>
        <w:spacing w:before="240"/>
        <w:jc w:val="both"/>
        <w:rPr>
          <w:rFonts w:ascii="Book Antiqua" w:hAnsi="Book Antiqua" w:cs="Arial"/>
        </w:rPr>
      </w:pPr>
      <w:r>
        <w:rPr>
          <w:rFonts w:ascii="Book Antiqua" w:hAnsi="Book Antiqua" w:cs="Arial"/>
        </w:rPr>
        <w:t>The remaining members of the family became appeal rights exhausted on 15</w:t>
      </w:r>
      <w:r w:rsidRPr="00A86EB1">
        <w:rPr>
          <w:rFonts w:ascii="Book Antiqua" w:hAnsi="Book Antiqua" w:cs="Arial"/>
          <w:vertAlign w:val="superscript"/>
        </w:rPr>
        <w:t>th</w:t>
      </w:r>
      <w:r>
        <w:rPr>
          <w:rFonts w:ascii="Book Antiqua" w:hAnsi="Book Antiqua" w:cs="Arial"/>
        </w:rPr>
        <w:t xml:space="preserve"> February 2016.  </w:t>
      </w:r>
    </w:p>
    <w:p w14:paraId="35F5C526" w14:textId="115EA751" w:rsidR="00A86EB1" w:rsidRDefault="00A86EB1" w:rsidP="00D27C0A">
      <w:pPr>
        <w:numPr>
          <w:ilvl w:val="0"/>
          <w:numId w:val="3"/>
        </w:numPr>
        <w:spacing w:before="240"/>
        <w:jc w:val="both"/>
        <w:rPr>
          <w:rFonts w:ascii="Book Antiqua" w:hAnsi="Book Antiqua" w:cs="Arial"/>
        </w:rPr>
      </w:pPr>
      <w:r>
        <w:rPr>
          <w:rFonts w:ascii="Book Antiqua" w:hAnsi="Book Antiqua" w:cs="Arial"/>
        </w:rPr>
        <w:t>On 8</w:t>
      </w:r>
      <w:r w:rsidRPr="00A86EB1">
        <w:rPr>
          <w:rFonts w:ascii="Book Antiqua" w:hAnsi="Book Antiqua" w:cs="Arial"/>
          <w:vertAlign w:val="superscript"/>
        </w:rPr>
        <w:t>th</w:t>
      </w:r>
      <w:r w:rsidR="00B07A4C">
        <w:rPr>
          <w:rFonts w:ascii="Book Antiqua" w:hAnsi="Book Antiqua" w:cs="Arial"/>
        </w:rPr>
        <w:t xml:space="preserve"> March 2016 the</w:t>
      </w:r>
      <w:r>
        <w:rPr>
          <w:rFonts w:ascii="Book Antiqua" w:hAnsi="Book Antiqua" w:cs="Arial"/>
        </w:rPr>
        <w:t xml:space="preserve"> appellants applied for further leave to remain by reference to Appendix FM and paragraph 276ADE and it was the refusal of this decision which was the subject of the appeal before </w:t>
      </w:r>
      <w:r w:rsidR="00937D10">
        <w:rPr>
          <w:rFonts w:ascii="Book Antiqua" w:hAnsi="Book Antiqua" w:cs="Arial"/>
        </w:rPr>
        <w:t>Judge of the First-tier Tribunal Goodrich</w:t>
      </w:r>
      <w:r>
        <w:rPr>
          <w:rFonts w:ascii="Book Antiqua" w:hAnsi="Book Antiqua" w:cs="Arial"/>
        </w:rPr>
        <w:t xml:space="preserve">.  </w:t>
      </w:r>
    </w:p>
    <w:p w14:paraId="309905B8" w14:textId="77777777" w:rsidR="00A86EB1" w:rsidRDefault="00A86EB1" w:rsidP="00D27C0A">
      <w:pPr>
        <w:numPr>
          <w:ilvl w:val="0"/>
          <w:numId w:val="3"/>
        </w:numPr>
        <w:spacing w:before="240"/>
        <w:jc w:val="both"/>
        <w:rPr>
          <w:rFonts w:ascii="Book Antiqua" w:hAnsi="Book Antiqua" w:cs="Arial"/>
        </w:rPr>
      </w:pPr>
      <w:r>
        <w:rPr>
          <w:rFonts w:ascii="Book Antiqua" w:hAnsi="Book Antiqua" w:cs="Arial"/>
        </w:rPr>
        <w:t xml:space="preserve">In a lengthy and detailed </w:t>
      </w:r>
      <w:proofErr w:type="gramStart"/>
      <w:r>
        <w:rPr>
          <w:rFonts w:ascii="Book Antiqua" w:hAnsi="Book Antiqua" w:cs="Arial"/>
        </w:rPr>
        <w:t>determination</w:t>
      </w:r>
      <w:proofErr w:type="gramEnd"/>
      <w:r>
        <w:rPr>
          <w:rFonts w:ascii="Book Antiqua" w:hAnsi="Book Antiqua" w:cs="Arial"/>
        </w:rPr>
        <w:t xml:space="preserve"> the judge recorded the extensive oral evidence and the submissions, set out the applicable law and her assessment and findings of fact and concluded that the appeals ought to be dismissed on human rights grounds.  </w:t>
      </w:r>
    </w:p>
    <w:p w14:paraId="797D1F2F" w14:textId="77777777" w:rsidR="00A86EB1" w:rsidRPr="00A86EB1" w:rsidRDefault="00A86EB1" w:rsidP="00D27C0A">
      <w:pPr>
        <w:spacing w:before="240"/>
        <w:jc w:val="both"/>
        <w:rPr>
          <w:rFonts w:ascii="Book Antiqua" w:hAnsi="Book Antiqua" w:cs="Arial"/>
          <w:b/>
          <w:u w:val="single"/>
        </w:rPr>
      </w:pPr>
      <w:r>
        <w:rPr>
          <w:rFonts w:ascii="Book Antiqua" w:hAnsi="Book Antiqua" w:cs="Arial"/>
          <w:b/>
          <w:u w:val="single"/>
        </w:rPr>
        <w:t>The Grounds of Application</w:t>
      </w:r>
    </w:p>
    <w:p w14:paraId="502248E2" w14:textId="77777777" w:rsidR="00A86EB1" w:rsidRDefault="00A86EB1" w:rsidP="00D27C0A">
      <w:pPr>
        <w:numPr>
          <w:ilvl w:val="0"/>
          <w:numId w:val="3"/>
        </w:numPr>
        <w:spacing w:before="240"/>
        <w:jc w:val="both"/>
        <w:rPr>
          <w:rFonts w:ascii="Book Antiqua" w:hAnsi="Book Antiqua" w:cs="Arial"/>
        </w:rPr>
      </w:pPr>
      <w:r>
        <w:rPr>
          <w:rFonts w:ascii="Book Antiqua" w:hAnsi="Book Antiqua" w:cs="Arial"/>
        </w:rPr>
        <w:t xml:space="preserve">The appellants sought permission to appeal on the grounds that the judge erred in law in the following ways.  </w:t>
      </w:r>
    </w:p>
    <w:p w14:paraId="4E52D4DA" w14:textId="77777777" w:rsidR="00A86EB1" w:rsidRDefault="00A86EB1" w:rsidP="00D27C0A">
      <w:pPr>
        <w:numPr>
          <w:ilvl w:val="1"/>
          <w:numId w:val="3"/>
        </w:numPr>
        <w:spacing w:before="120"/>
        <w:jc w:val="both"/>
        <w:rPr>
          <w:rFonts w:ascii="Book Antiqua" w:hAnsi="Book Antiqua" w:cs="Arial"/>
        </w:rPr>
      </w:pPr>
      <w:r>
        <w:rPr>
          <w:rFonts w:ascii="Book Antiqua" w:hAnsi="Book Antiqua" w:cs="Arial"/>
        </w:rPr>
        <w:t xml:space="preserve">She failed to take into account that the first appellant was in the process of submitting an application on the basis of her ten years’ long residence in accordance with the Immigration Rules.  </w:t>
      </w:r>
    </w:p>
    <w:p w14:paraId="5ABC855D" w14:textId="77777777" w:rsidR="00A86EB1" w:rsidRDefault="00A86EB1" w:rsidP="00D27C0A">
      <w:pPr>
        <w:numPr>
          <w:ilvl w:val="1"/>
          <w:numId w:val="3"/>
        </w:numPr>
        <w:spacing w:before="120"/>
        <w:jc w:val="both"/>
        <w:rPr>
          <w:rFonts w:ascii="Book Antiqua" w:hAnsi="Book Antiqua" w:cs="Arial"/>
        </w:rPr>
      </w:pPr>
      <w:r>
        <w:rPr>
          <w:rFonts w:ascii="Book Antiqua" w:hAnsi="Book Antiqua" w:cs="Arial"/>
        </w:rPr>
        <w:t xml:space="preserve">She had failed to fully consider the third appellant’s circumstances, in particular that she is suffering from depression, anxiety, eating disorders and has been unable to complete her studies.  She failed to grasp that there would be very significant difficulties to her integration into Bangladesh and dismissed the real concern that she would be at risk of a forced marriage.  </w:t>
      </w:r>
    </w:p>
    <w:p w14:paraId="0D551648" w14:textId="27B09DE2" w:rsidR="00A86EB1" w:rsidRDefault="00B07A4C" w:rsidP="00D27C0A">
      <w:pPr>
        <w:numPr>
          <w:ilvl w:val="1"/>
          <w:numId w:val="3"/>
        </w:numPr>
        <w:spacing w:before="120"/>
        <w:jc w:val="both"/>
        <w:rPr>
          <w:rFonts w:ascii="Book Antiqua" w:hAnsi="Book Antiqua" w:cs="Arial"/>
        </w:rPr>
      </w:pPr>
      <w:r>
        <w:rPr>
          <w:rFonts w:ascii="Book Antiqua" w:hAnsi="Book Antiqua" w:cs="Arial"/>
        </w:rPr>
        <w:t>She</w:t>
      </w:r>
      <w:r w:rsidR="00A86EB1">
        <w:rPr>
          <w:rFonts w:ascii="Book Antiqua" w:hAnsi="Book Antiqua" w:cs="Arial"/>
        </w:rPr>
        <w:t xml:space="preserve"> had failed to consider that the first appellant’s son has been granted thirteen months’ leave and any return of the remaining members of the family would clearly result in an interference with their life together.  The judge had wrongly dismissed the submission that there was no public interest in the re</w:t>
      </w:r>
      <w:r>
        <w:rPr>
          <w:rFonts w:ascii="Book Antiqua" w:hAnsi="Book Antiqua" w:cs="Arial"/>
        </w:rPr>
        <w:t>moval of the parents in these circumstances</w:t>
      </w:r>
      <w:r w:rsidR="00A86EB1">
        <w:rPr>
          <w:rFonts w:ascii="Book Antiqua" w:hAnsi="Book Antiqua" w:cs="Arial"/>
        </w:rPr>
        <w:t xml:space="preserve">.  </w:t>
      </w:r>
    </w:p>
    <w:p w14:paraId="1444854D" w14:textId="77777777" w:rsidR="00A86EB1" w:rsidRDefault="00A86EB1" w:rsidP="00D27C0A">
      <w:pPr>
        <w:numPr>
          <w:ilvl w:val="0"/>
          <w:numId w:val="3"/>
        </w:numPr>
        <w:spacing w:before="240"/>
        <w:jc w:val="both"/>
        <w:rPr>
          <w:rFonts w:ascii="Book Antiqua" w:hAnsi="Book Antiqua" w:cs="Arial"/>
        </w:rPr>
      </w:pPr>
      <w:r>
        <w:rPr>
          <w:rFonts w:ascii="Book Antiqua" w:hAnsi="Book Antiqua" w:cs="Arial"/>
        </w:rPr>
        <w:lastRenderedPageBreak/>
        <w:t xml:space="preserve">Permission to appeal was granted by Judge </w:t>
      </w:r>
      <w:r w:rsidR="009E7A99">
        <w:rPr>
          <w:rFonts w:ascii="Book Antiqua" w:hAnsi="Book Antiqua" w:cs="Arial"/>
        </w:rPr>
        <w:t xml:space="preserve">of the First-tier Tribunal </w:t>
      </w:r>
      <w:r>
        <w:rPr>
          <w:rFonts w:ascii="Book Antiqua" w:hAnsi="Book Antiqua" w:cs="Arial"/>
        </w:rPr>
        <w:t>Boyes on 15</w:t>
      </w:r>
      <w:r w:rsidRPr="00A86EB1">
        <w:rPr>
          <w:rFonts w:ascii="Book Antiqua" w:hAnsi="Book Antiqua" w:cs="Arial"/>
          <w:vertAlign w:val="superscript"/>
        </w:rPr>
        <w:t>th</w:t>
      </w:r>
      <w:r>
        <w:rPr>
          <w:rFonts w:ascii="Book Antiqua" w:hAnsi="Book Antiqua" w:cs="Arial"/>
        </w:rPr>
        <w:t xml:space="preserve"> June 2018.  </w:t>
      </w:r>
    </w:p>
    <w:p w14:paraId="23BA96D8" w14:textId="77777777" w:rsidR="00A86EB1" w:rsidRPr="00A86EB1" w:rsidRDefault="00A86EB1" w:rsidP="00D27C0A">
      <w:pPr>
        <w:spacing w:before="240"/>
        <w:jc w:val="both"/>
        <w:rPr>
          <w:rFonts w:ascii="Book Antiqua" w:hAnsi="Book Antiqua" w:cs="Arial"/>
          <w:b/>
          <w:u w:val="single"/>
        </w:rPr>
      </w:pPr>
      <w:r>
        <w:rPr>
          <w:rFonts w:ascii="Book Antiqua" w:hAnsi="Book Antiqua" w:cs="Arial"/>
          <w:b/>
          <w:u w:val="single"/>
        </w:rPr>
        <w:t>Submissions</w:t>
      </w:r>
    </w:p>
    <w:p w14:paraId="483994F7" w14:textId="38D536A0" w:rsidR="00A86EB1" w:rsidRDefault="006B343E" w:rsidP="00D27C0A">
      <w:pPr>
        <w:numPr>
          <w:ilvl w:val="0"/>
          <w:numId w:val="3"/>
        </w:numPr>
        <w:spacing w:before="240"/>
        <w:jc w:val="both"/>
        <w:rPr>
          <w:rFonts w:ascii="Book Antiqua" w:hAnsi="Book Antiqua" w:cs="Arial"/>
        </w:rPr>
      </w:pPr>
      <w:r>
        <w:rPr>
          <w:rFonts w:ascii="Book Antiqua" w:hAnsi="Book Antiqua" w:cs="Arial"/>
        </w:rPr>
        <w:t>Mr Gill helpfully provided a skeleton argument setting out why</w:t>
      </w:r>
      <w:r w:rsidR="004C0F5B">
        <w:rPr>
          <w:rFonts w:ascii="Book Antiqua" w:hAnsi="Book Antiqua" w:cs="Arial"/>
        </w:rPr>
        <w:t>,</w:t>
      </w:r>
      <w:r>
        <w:rPr>
          <w:rFonts w:ascii="Book Antiqua" w:hAnsi="Book Antiqua" w:cs="Arial"/>
        </w:rPr>
        <w:t xml:space="preserve"> in his submission</w:t>
      </w:r>
      <w:r w:rsidR="004C0F5B">
        <w:rPr>
          <w:rFonts w:ascii="Book Antiqua" w:hAnsi="Book Antiqua" w:cs="Arial"/>
        </w:rPr>
        <w:t>,</w:t>
      </w:r>
      <w:r>
        <w:rPr>
          <w:rFonts w:ascii="Book Antiqua" w:hAnsi="Book Antiqua" w:cs="Arial"/>
        </w:rPr>
        <w:t xml:space="preserve"> the judge had erred.  </w:t>
      </w:r>
    </w:p>
    <w:p w14:paraId="64149FEB" w14:textId="77777777" w:rsidR="006B343E" w:rsidRDefault="009E7A99" w:rsidP="00D27C0A">
      <w:pPr>
        <w:numPr>
          <w:ilvl w:val="0"/>
          <w:numId w:val="3"/>
        </w:numPr>
        <w:spacing w:before="240"/>
        <w:jc w:val="both"/>
        <w:rPr>
          <w:rFonts w:ascii="Book Antiqua" w:hAnsi="Book Antiqua" w:cs="Arial"/>
        </w:rPr>
      </w:pPr>
      <w:r>
        <w:rPr>
          <w:rFonts w:ascii="Book Antiqua" w:hAnsi="Book Antiqua" w:cs="Arial"/>
        </w:rPr>
        <w:t>First,</w:t>
      </w:r>
      <w:r w:rsidR="006B343E">
        <w:rPr>
          <w:rFonts w:ascii="Book Antiqua" w:hAnsi="Book Antiqua" w:cs="Arial"/>
        </w:rPr>
        <w:t xml:space="preserve"> he said that the judge had erred in paragraph 28 when she said that she ought to consider the human rights appeal through the prism of the Immigration Rules.  The Rules are simply statements of executive policy and distort the true light of the Article 8 jurisprudence.  The proper approach is for the Tribunal to apply Article 8 for itself in accordance with the jurisprudence of the European Court of Human Rights.  </w:t>
      </w:r>
    </w:p>
    <w:p w14:paraId="0647F28F" w14:textId="7E0CE08A" w:rsidR="006B343E" w:rsidRDefault="006B343E" w:rsidP="00D27C0A">
      <w:pPr>
        <w:numPr>
          <w:ilvl w:val="0"/>
          <w:numId w:val="3"/>
        </w:numPr>
        <w:spacing w:before="240"/>
        <w:jc w:val="both"/>
        <w:rPr>
          <w:rFonts w:ascii="Book Antiqua" w:hAnsi="Book Antiqua" w:cs="Arial"/>
        </w:rPr>
      </w:pPr>
      <w:r>
        <w:rPr>
          <w:rFonts w:ascii="Book Antiqua" w:hAnsi="Book Antiqua" w:cs="Arial"/>
        </w:rPr>
        <w:t>Second</w:t>
      </w:r>
      <w:r w:rsidR="007A684F">
        <w:rPr>
          <w:rFonts w:ascii="Book Antiqua" w:hAnsi="Book Antiqua" w:cs="Arial"/>
        </w:rPr>
        <w:t>,</w:t>
      </w:r>
      <w:r>
        <w:rPr>
          <w:rFonts w:ascii="Book Antiqua" w:hAnsi="Book Antiqua" w:cs="Arial"/>
        </w:rPr>
        <w:t xml:space="preserve"> the judge had misunderstood the concept of precariousness when she said that, for example, the third appellant embarked upon her degree programme at a time when her mother’s status was precarious.  In the present case the family life and private life of each member of the family had not been precarious from the outset of their time in the UK.  A student is entitled under the Immigration Rules to have her dependants live with her</w:t>
      </w:r>
      <w:r w:rsidR="00BB787A">
        <w:rPr>
          <w:rFonts w:ascii="Book Antiqua" w:hAnsi="Book Antiqua" w:cs="Arial"/>
        </w:rPr>
        <w:t>,</w:t>
      </w:r>
      <w:r>
        <w:rPr>
          <w:rFonts w:ascii="Book Antiqua" w:hAnsi="Book Antiqua" w:cs="Arial"/>
        </w:rPr>
        <w:t xml:space="preserve"> and whilst there is no legitimate expectation to a later grant of indefinite leave to remain</w:t>
      </w:r>
      <w:r w:rsidR="00BB787A">
        <w:rPr>
          <w:rFonts w:ascii="Book Antiqua" w:hAnsi="Book Antiqua" w:cs="Arial"/>
        </w:rPr>
        <w:t>,</w:t>
      </w:r>
      <w:r>
        <w:rPr>
          <w:rFonts w:ascii="Book Antiqua" w:hAnsi="Book Antiqua" w:cs="Arial"/>
        </w:rPr>
        <w:t xml:space="preserve"> that does not mean it is not reasonable for a person to think</w:t>
      </w:r>
      <w:r w:rsidR="00BB787A">
        <w:rPr>
          <w:rFonts w:ascii="Book Antiqua" w:hAnsi="Book Antiqua" w:cs="Arial"/>
        </w:rPr>
        <w:t>,</w:t>
      </w:r>
      <w:r>
        <w:rPr>
          <w:rFonts w:ascii="Book Antiqua" w:hAnsi="Book Antiqua" w:cs="Arial"/>
        </w:rPr>
        <w:t xml:space="preserve"> that providing they continue to abide by the Rules the legitimacy and strength of their private and family life as rooted in the UK will not be recognised.  On the contrary there is a reasonable expectation to that effect.  </w:t>
      </w:r>
    </w:p>
    <w:p w14:paraId="113118EA" w14:textId="2D114A7E" w:rsidR="006B343E" w:rsidRDefault="006B343E" w:rsidP="00D27C0A">
      <w:pPr>
        <w:numPr>
          <w:ilvl w:val="0"/>
          <w:numId w:val="3"/>
        </w:numPr>
        <w:spacing w:before="240"/>
        <w:jc w:val="both"/>
        <w:rPr>
          <w:rFonts w:ascii="Book Antiqua" w:hAnsi="Book Antiqua" w:cs="Arial"/>
        </w:rPr>
      </w:pPr>
      <w:r>
        <w:rPr>
          <w:rFonts w:ascii="Book Antiqua" w:hAnsi="Book Antiqua" w:cs="Arial"/>
        </w:rPr>
        <w:t>Third</w:t>
      </w:r>
      <w:r w:rsidR="005D429F">
        <w:rPr>
          <w:rFonts w:ascii="Book Antiqua" w:hAnsi="Book Antiqua" w:cs="Arial"/>
        </w:rPr>
        <w:t>,</w:t>
      </w:r>
      <w:r>
        <w:rPr>
          <w:rFonts w:ascii="Book Antiqua" w:hAnsi="Book Antiqua" w:cs="Arial"/>
        </w:rPr>
        <w:t xml:space="preserve"> the judge erred in not assessing the daughter’s Article 8 rights on an individual basis failing to recognise that</w:t>
      </w:r>
      <w:r w:rsidR="00BB787A">
        <w:rPr>
          <w:rFonts w:ascii="Book Antiqua" w:hAnsi="Book Antiqua" w:cs="Arial"/>
        </w:rPr>
        <w:t>,</w:t>
      </w:r>
      <w:r>
        <w:rPr>
          <w:rFonts w:ascii="Book Antiqua" w:hAnsi="Book Antiqua" w:cs="Arial"/>
        </w:rPr>
        <w:t xml:space="preserve"> whilst she has a continuing and strong family life within her </w:t>
      </w:r>
      <w:proofErr w:type="gramStart"/>
      <w:r>
        <w:rPr>
          <w:rFonts w:ascii="Book Antiqua" w:hAnsi="Book Antiqua" w:cs="Arial"/>
        </w:rPr>
        <w:t>family</w:t>
      </w:r>
      <w:r w:rsidR="00BB787A">
        <w:rPr>
          <w:rFonts w:ascii="Book Antiqua" w:hAnsi="Book Antiqua" w:cs="Arial"/>
        </w:rPr>
        <w:t xml:space="preserve">, </w:t>
      </w:r>
      <w:r>
        <w:rPr>
          <w:rFonts w:ascii="Book Antiqua" w:hAnsi="Book Antiqua" w:cs="Arial"/>
        </w:rPr>
        <w:t xml:space="preserve"> she</w:t>
      </w:r>
      <w:proofErr w:type="gramEnd"/>
      <w:r>
        <w:rPr>
          <w:rFonts w:ascii="Book Antiqua" w:hAnsi="Book Antiqua" w:cs="Arial"/>
        </w:rPr>
        <w:t xml:space="preserve"> has to be treated as an autonomous individual with her own aspirations and own developments.  She should have considered her as being not significantly different to a young person who had been in the UK with leave from childhood.  She failed to properly take into account the fact that it was not reasonable to place significant weight on the fact </w:t>
      </w:r>
      <w:r w:rsidR="00C82C85">
        <w:rPr>
          <w:rFonts w:ascii="Book Antiqua" w:hAnsi="Book Antiqua" w:cs="Arial"/>
        </w:rPr>
        <w:t xml:space="preserve">of presence without leave when the child is a young adult because the situation in which she found herself was not of her own making.  The judge accepted that weight was to be attached to the daughter’s private life when she was a child but did not explain whether this was little or high weight and wrongly stated that less weight was to be attached when the child was an adult because she should not be expected to suffer as a consequence of the choices of her parents.  </w:t>
      </w:r>
    </w:p>
    <w:p w14:paraId="23958EFE" w14:textId="0699ED9C" w:rsidR="00C82C85" w:rsidRDefault="00C82C85" w:rsidP="00D27C0A">
      <w:pPr>
        <w:numPr>
          <w:ilvl w:val="0"/>
          <w:numId w:val="3"/>
        </w:numPr>
        <w:spacing w:before="240"/>
        <w:jc w:val="both"/>
        <w:rPr>
          <w:rFonts w:ascii="Book Antiqua" w:hAnsi="Book Antiqua" w:cs="Arial"/>
        </w:rPr>
      </w:pPr>
      <w:r>
        <w:rPr>
          <w:rFonts w:ascii="Book Antiqua" w:hAnsi="Book Antiqua" w:cs="Arial"/>
        </w:rPr>
        <w:t>Four</w:t>
      </w:r>
      <w:r w:rsidR="00BB787A">
        <w:rPr>
          <w:rFonts w:ascii="Book Antiqua" w:hAnsi="Book Antiqua" w:cs="Arial"/>
        </w:rPr>
        <w:t>th</w:t>
      </w:r>
      <w:r>
        <w:rPr>
          <w:rFonts w:ascii="Book Antiqua" w:hAnsi="Book Antiqua" w:cs="Arial"/>
        </w:rPr>
        <w:t>, the judge failed to recognise that a person such as the third appellant</w:t>
      </w:r>
      <w:r w:rsidR="008207B0">
        <w:rPr>
          <w:rFonts w:ascii="Book Antiqua" w:hAnsi="Book Antiqua" w:cs="Arial"/>
        </w:rPr>
        <w:t>,</w:t>
      </w:r>
      <w:r>
        <w:rPr>
          <w:rFonts w:ascii="Book Antiqua" w:hAnsi="Book Antiqua" w:cs="Arial"/>
        </w:rPr>
        <w:t xml:space="preserve"> who came as a child with leave and who has continued to remain </w:t>
      </w:r>
      <w:r w:rsidR="00FB025F">
        <w:rPr>
          <w:rFonts w:ascii="Book Antiqua" w:hAnsi="Book Antiqua" w:cs="Arial"/>
        </w:rPr>
        <w:t>in the UK whilst her parents have pursued their entitlements to an appeal and who has been in the UK for ten years by the time that the appeal is heard</w:t>
      </w:r>
      <w:r w:rsidR="008207B0">
        <w:rPr>
          <w:rFonts w:ascii="Book Antiqua" w:hAnsi="Book Antiqua" w:cs="Arial"/>
        </w:rPr>
        <w:t>,</w:t>
      </w:r>
      <w:r w:rsidR="00FB025F">
        <w:rPr>
          <w:rFonts w:ascii="Book Antiqua" w:hAnsi="Book Antiqua" w:cs="Arial"/>
        </w:rPr>
        <w:t xml:space="preserve"> ought not to be required to leave.  </w:t>
      </w:r>
    </w:p>
    <w:p w14:paraId="3B9B72C7" w14:textId="561DB0AD" w:rsidR="00FB025F" w:rsidRDefault="00BB787A" w:rsidP="00D27C0A">
      <w:pPr>
        <w:numPr>
          <w:ilvl w:val="0"/>
          <w:numId w:val="3"/>
        </w:numPr>
        <w:spacing w:before="240"/>
        <w:jc w:val="both"/>
        <w:rPr>
          <w:rFonts w:ascii="Book Antiqua" w:hAnsi="Book Antiqua" w:cs="Arial"/>
        </w:rPr>
      </w:pPr>
      <w:r>
        <w:rPr>
          <w:rFonts w:ascii="Book Antiqua" w:hAnsi="Book Antiqua" w:cs="Arial"/>
        </w:rPr>
        <w:t>Fifth</w:t>
      </w:r>
      <w:r w:rsidR="00FB025F">
        <w:rPr>
          <w:rFonts w:ascii="Book Antiqua" w:hAnsi="Book Antiqua" w:cs="Arial"/>
        </w:rPr>
        <w:t xml:space="preserve">, the judge failed to properly apply Section </w:t>
      </w:r>
      <w:r w:rsidR="00B75635">
        <w:rPr>
          <w:rFonts w:ascii="Book Antiqua" w:hAnsi="Book Antiqua" w:cs="Arial"/>
        </w:rPr>
        <w:t>117</w:t>
      </w:r>
      <w:proofErr w:type="gramStart"/>
      <w:r w:rsidR="00B75635">
        <w:rPr>
          <w:rFonts w:ascii="Book Antiqua" w:hAnsi="Book Antiqua" w:cs="Arial"/>
        </w:rPr>
        <w:t>B(</w:t>
      </w:r>
      <w:proofErr w:type="gramEnd"/>
      <w:r w:rsidR="00B75635">
        <w:rPr>
          <w:rFonts w:ascii="Book Antiqua" w:hAnsi="Book Antiqua" w:cs="Arial"/>
        </w:rPr>
        <w:t>6)</w:t>
      </w:r>
      <w:r>
        <w:rPr>
          <w:rFonts w:ascii="Book Antiqua" w:hAnsi="Book Antiqua" w:cs="Arial"/>
        </w:rPr>
        <w:t>. I</w:t>
      </w:r>
      <w:r w:rsidR="00B75635">
        <w:rPr>
          <w:rFonts w:ascii="Book Antiqua" w:hAnsi="Book Antiqua" w:cs="Arial"/>
        </w:rPr>
        <w:t>t was a highly material consideration that her younger brother had acquired seven years’ residence by 29</w:t>
      </w:r>
      <w:r w:rsidR="00B75635" w:rsidRPr="00B75635">
        <w:rPr>
          <w:rFonts w:ascii="Book Antiqua" w:hAnsi="Book Antiqua" w:cs="Arial"/>
          <w:vertAlign w:val="superscript"/>
        </w:rPr>
        <w:t>th</w:t>
      </w:r>
      <w:r w:rsidR="00B75635">
        <w:rPr>
          <w:rFonts w:ascii="Book Antiqua" w:hAnsi="Book Antiqua" w:cs="Arial"/>
        </w:rPr>
        <w:t xml:space="preserve"> January 2015 and was entitled therefore to succeed within the Rules</w:t>
      </w:r>
      <w:r>
        <w:rPr>
          <w:rFonts w:ascii="Book Antiqua" w:hAnsi="Book Antiqua" w:cs="Arial"/>
        </w:rPr>
        <w:t>.  T</w:t>
      </w:r>
      <w:r w:rsidR="00B75635">
        <w:rPr>
          <w:rFonts w:ascii="Book Antiqua" w:hAnsi="Book Antiqua" w:cs="Arial"/>
        </w:rPr>
        <w:t xml:space="preserve">he public </w:t>
      </w:r>
      <w:r w:rsidR="00B75635">
        <w:rPr>
          <w:rFonts w:ascii="Book Antiqua" w:hAnsi="Book Antiqua" w:cs="Arial"/>
        </w:rPr>
        <w:lastRenderedPageBreak/>
        <w:t>interest did not require removal of the parents at that stage.  If the parents would inevitably have succeeded under Section 117</w:t>
      </w:r>
      <w:proofErr w:type="gramStart"/>
      <w:r w:rsidR="00B75635">
        <w:rPr>
          <w:rFonts w:ascii="Book Antiqua" w:hAnsi="Book Antiqua" w:cs="Arial"/>
        </w:rPr>
        <w:t>B(</w:t>
      </w:r>
      <w:proofErr w:type="gramEnd"/>
      <w:r w:rsidR="00B75635">
        <w:rPr>
          <w:rFonts w:ascii="Book Antiqua" w:hAnsi="Book Antiqua" w:cs="Arial"/>
        </w:rPr>
        <w:t xml:space="preserve">6) then leave would also have been granted to the third appellant.  </w:t>
      </w:r>
    </w:p>
    <w:p w14:paraId="558F013A" w14:textId="611DB4A3" w:rsidR="00B75635" w:rsidRDefault="00B75635" w:rsidP="00D27C0A">
      <w:pPr>
        <w:numPr>
          <w:ilvl w:val="0"/>
          <w:numId w:val="3"/>
        </w:numPr>
        <w:spacing w:before="240"/>
        <w:jc w:val="both"/>
        <w:rPr>
          <w:rFonts w:ascii="Book Antiqua" w:hAnsi="Book Antiqua" w:cs="Arial"/>
        </w:rPr>
      </w:pPr>
      <w:r>
        <w:rPr>
          <w:rFonts w:ascii="Book Antiqua" w:hAnsi="Book Antiqua" w:cs="Arial"/>
        </w:rPr>
        <w:t>Finally</w:t>
      </w:r>
      <w:r w:rsidR="00BB787A">
        <w:rPr>
          <w:rFonts w:ascii="Book Antiqua" w:hAnsi="Book Antiqua" w:cs="Arial"/>
        </w:rPr>
        <w:t>,</w:t>
      </w:r>
      <w:r>
        <w:rPr>
          <w:rFonts w:ascii="Book Antiqua" w:hAnsi="Book Antiqua" w:cs="Arial"/>
        </w:rPr>
        <w:t xml:space="preserve"> the decision on proportionality in relation to the daughter was contrary to the evidence.  She is almost 25 and has spent just under half of her life in the UK including her formative years.  In September 2014 she commenced a </w:t>
      </w:r>
      <w:proofErr w:type="gramStart"/>
      <w:r>
        <w:rPr>
          <w:rFonts w:ascii="Book Antiqua" w:hAnsi="Book Antiqua" w:cs="Arial"/>
        </w:rPr>
        <w:t>four year</w:t>
      </w:r>
      <w:proofErr w:type="gramEnd"/>
      <w:r>
        <w:rPr>
          <w:rFonts w:ascii="Book Antiqua" w:hAnsi="Book Antiqua" w:cs="Arial"/>
        </w:rPr>
        <w:t xml:space="preserve"> degree course.  She has completed three years on the course and paid £30,000 and will suffer very significant financial loss if she is no</w:t>
      </w:r>
      <w:r w:rsidR="00BB787A">
        <w:rPr>
          <w:rFonts w:ascii="Book Antiqua" w:hAnsi="Book Antiqua" w:cs="Arial"/>
        </w:rPr>
        <w:t>t allowed to complete it</w:t>
      </w:r>
      <w:r>
        <w:rPr>
          <w:rFonts w:ascii="Book Antiqua" w:hAnsi="Book Antiqua" w:cs="Arial"/>
        </w:rPr>
        <w:t xml:space="preserve">.  In the UK she has many social, educational and career possibilities open to her which are not reasonably likely to be available to her in Bangladesh where she is likely to suffer gender-based discrimination and to be constrained by the restrictions prevailing in that society.  She is a thoroughly westernised young woman whose position was not adequately considered by the judge.  </w:t>
      </w:r>
    </w:p>
    <w:p w14:paraId="6A2EEC1A" w14:textId="77777777" w:rsidR="00B75635" w:rsidRPr="00B75635" w:rsidRDefault="00B75635" w:rsidP="00D27C0A">
      <w:pPr>
        <w:spacing w:before="240"/>
        <w:jc w:val="both"/>
        <w:rPr>
          <w:rFonts w:ascii="Book Antiqua" w:hAnsi="Book Antiqua" w:cs="Arial"/>
          <w:b/>
          <w:u w:val="single"/>
        </w:rPr>
      </w:pPr>
      <w:r>
        <w:rPr>
          <w:rFonts w:ascii="Book Antiqua" w:hAnsi="Book Antiqua" w:cs="Arial"/>
          <w:b/>
          <w:u w:val="single"/>
        </w:rPr>
        <w:t>Findings and Conclusions</w:t>
      </w:r>
    </w:p>
    <w:p w14:paraId="2524A013" w14:textId="77777777" w:rsidR="00B75635" w:rsidRDefault="00B75635" w:rsidP="00D27C0A">
      <w:pPr>
        <w:numPr>
          <w:ilvl w:val="0"/>
          <w:numId w:val="3"/>
        </w:numPr>
        <w:spacing w:before="240"/>
        <w:jc w:val="both"/>
        <w:rPr>
          <w:rFonts w:ascii="Book Antiqua" w:hAnsi="Book Antiqua" w:cs="Arial"/>
        </w:rPr>
      </w:pPr>
      <w:r>
        <w:rPr>
          <w:rFonts w:ascii="Book Antiqua" w:hAnsi="Book Antiqua" w:cs="Arial"/>
        </w:rPr>
        <w:t xml:space="preserve">I am satisfied that the judge reached a decision which was open to her and that she did not err in law.  </w:t>
      </w:r>
    </w:p>
    <w:p w14:paraId="091DD1B2" w14:textId="6EB4D66C" w:rsidR="00B75635" w:rsidRDefault="00B75635" w:rsidP="00D27C0A">
      <w:pPr>
        <w:numPr>
          <w:ilvl w:val="0"/>
          <w:numId w:val="3"/>
        </w:numPr>
        <w:spacing w:before="240"/>
        <w:jc w:val="both"/>
        <w:rPr>
          <w:rFonts w:ascii="Book Antiqua" w:hAnsi="Book Antiqua" w:cs="Arial"/>
        </w:rPr>
      </w:pPr>
      <w:r>
        <w:rPr>
          <w:rFonts w:ascii="Book Antiqua" w:hAnsi="Book Antiqua" w:cs="Arial"/>
        </w:rPr>
        <w:t>First, it was not an error for the judge to state</w:t>
      </w:r>
      <w:r w:rsidR="00741D00">
        <w:rPr>
          <w:rFonts w:ascii="Book Antiqua" w:hAnsi="Book Antiqua" w:cs="Arial"/>
        </w:rPr>
        <w:t>,</w:t>
      </w:r>
      <w:r>
        <w:rPr>
          <w:rFonts w:ascii="Book Antiqua" w:hAnsi="Book Antiqua" w:cs="Arial"/>
        </w:rPr>
        <w:t xml:space="preserve"> as she did</w:t>
      </w:r>
      <w:r w:rsidR="00741D00">
        <w:rPr>
          <w:rFonts w:ascii="Book Antiqua" w:hAnsi="Book Antiqua" w:cs="Arial"/>
        </w:rPr>
        <w:t>,</w:t>
      </w:r>
      <w:r>
        <w:rPr>
          <w:rFonts w:ascii="Book Antiqua" w:hAnsi="Book Antiqua" w:cs="Arial"/>
        </w:rPr>
        <w:t xml:space="preserve"> that the human rights appeal ought to be considered through the lens of the Rules and that all circumstances must be evaluated.  </w:t>
      </w:r>
      <w:proofErr w:type="gramStart"/>
      <w:r w:rsidR="00FA0BF2">
        <w:rPr>
          <w:rFonts w:ascii="Book Antiqua" w:hAnsi="Book Antiqua" w:cs="Arial"/>
        </w:rPr>
        <w:t>Indeed</w:t>
      </w:r>
      <w:proofErr w:type="gramEnd"/>
      <w:r w:rsidR="00FA0BF2">
        <w:rPr>
          <w:rFonts w:ascii="Book Antiqua" w:hAnsi="Book Antiqua" w:cs="Arial"/>
        </w:rPr>
        <w:t xml:space="preserve"> that is precisely what the present jurisprudence states.  The R</w:t>
      </w:r>
      <w:r w:rsidR="00741D00">
        <w:rPr>
          <w:rFonts w:ascii="Book Antiqua" w:hAnsi="Book Antiqua" w:cs="Arial"/>
        </w:rPr>
        <w:t>ules were her starting point.  T</w:t>
      </w:r>
      <w:r w:rsidR="00FA0BF2">
        <w:rPr>
          <w:rFonts w:ascii="Book Antiqua" w:hAnsi="Book Antiqua" w:cs="Arial"/>
        </w:rPr>
        <w:t xml:space="preserve">he </w:t>
      </w:r>
      <w:r w:rsidR="00741D00">
        <w:rPr>
          <w:rFonts w:ascii="Book Antiqua" w:hAnsi="Book Antiqua" w:cs="Arial"/>
        </w:rPr>
        <w:t xml:space="preserve">judge </w:t>
      </w:r>
      <w:r w:rsidR="00FA0BF2">
        <w:rPr>
          <w:rFonts w:ascii="Book Antiqua" w:hAnsi="Book Antiqua" w:cs="Arial"/>
        </w:rPr>
        <w:t xml:space="preserve">then, quite properly, embarked upon a wider consideration of Article 8 and the proportionality of the decision, not confining herself to </w:t>
      </w:r>
      <w:r w:rsidR="009A1AC4">
        <w:rPr>
          <w:rFonts w:ascii="Book Antiqua" w:hAnsi="Book Antiqua" w:cs="Arial"/>
        </w:rPr>
        <w:t xml:space="preserve">the question of </w:t>
      </w:r>
      <w:r w:rsidR="00FA0BF2">
        <w:rPr>
          <w:rFonts w:ascii="Book Antiqua" w:hAnsi="Book Antiqua" w:cs="Arial"/>
        </w:rPr>
        <w:t>whether the appellants could meet the requirements of the Immigration Rules</w:t>
      </w:r>
      <w:r w:rsidR="00741D00">
        <w:rPr>
          <w:rFonts w:ascii="Book Antiqua" w:hAnsi="Book Antiqua" w:cs="Arial"/>
        </w:rPr>
        <w:t>,</w:t>
      </w:r>
      <w:r w:rsidR="00FA0BF2">
        <w:rPr>
          <w:rFonts w:ascii="Book Antiqua" w:hAnsi="Book Antiqua" w:cs="Arial"/>
        </w:rPr>
        <w:t xml:space="preserve"> which they plainly could not.  </w:t>
      </w:r>
    </w:p>
    <w:p w14:paraId="58025681" w14:textId="59A7C417" w:rsidR="00FA0BF2" w:rsidRDefault="00FA0BF2" w:rsidP="00D27C0A">
      <w:pPr>
        <w:numPr>
          <w:ilvl w:val="0"/>
          <w:numId w:val="3"/>
        </w:numPr>
        <w:spacing w:before="240"/>
        <w:jc w:val="both"/>
        <w:rPr>
          <w:rFonts w:ascii="Book Antiqua" w:hAnsi="Book Antiqua" w:cs="Arial"/>
        </w:rPr>
      </w:pPr>
      <w:r>
        <w:rPr>
          <w:rFonts w:ascii="Book Antiqua" w:hAnsi="Book Antiqua" w:cs="Arial"/>
        </w:rPr>
        <w:t xml:space="preserve">Neither is there any error in relation to her comments on precariousness.  The first appellant’s status was always precarious.  It may be that the family hoped that the initial leave would be extended to the point where they would satisfy the requirements for a grant of indefinite leave to remain.  </w:t>
      </w:r>
      <w:proofErr w:type="gramStart"/>
      <w:r>
        <w:rPr>
          <w:rFonts w:ascii="Book Antiqua" w:hAnsi="Book Antiqua" w:cs="Arial"/>
        </w:rPr>
        <w:t>However</w:t>
      </w:r>
      <w:proofErr w:type="gramEnd"/>
      <w:r>
        <w:rPr>
          <w:rFonts w:ascii="Book Antiqua" w:hAnsi="Book Antiqua" w:cs="Arial"/>
        </w:rPr>
        <w:t xml:space="preserve"> at all stages of her applications for Tier 4 leave the first appellant had to establish that she intended to leave the UK at the end of the period of study.  </w:t>
      </w:r>
      <w:proofErr w:type="gramStart"/>
      <w:r>
        <w:rPr>
          <w:rFonts w:ascii="Book Antiqua" w:hAnsi="Book Antiqua" w:cs="Arial"/>
        </w:rPr>
        <w:t>Indeed</w:t>
      </w:r>
      <w:proofErr w:type="gramEnd"/>
      <w:r>
        <w:rPr>
          <w:rFonts w:ascii="Book Antiqua" w:hAnsi="Book Antiqua" w:cs="Arial"/>
        </w:rPr>
        <w:t xml:space="preserve"> when the third appellant started her course at London Metropolitan University the family had been refused leave to remain by the respondent</w:t>
      </w:r>
      <w:r w:rsidR="00741D00">
        <w:rPr>
          <w:rFonts w:ascii="Book Antiqua" w:hAnsi="Book Antiqua" w:cs="Arial"/>
        </w:rPr>
        <w:t>.  W</w:t>
      </w:r>
      <w:r>
        <w:rPr>
          <w:rFonts w:ascii="Book Antiqua" w:hAnsi="Book Antiqua" w:cs="Arial"/>
        </w:rPr>
        <w:t>hilst they were entitled to</w:t>
      </w:r>
      <w:r w:rsidR="0045420D">
        <w:rPr>
          <w:rFonts w:ascii="Book Antiqua" w:hAnsi="Book Antiqua" w:cs="Arial"/>
        </w:rPr>
        <w:t xml:space="preserve"> exercise their statutory right</w:t>
      </w:r>
      <w:r>
        <w:rPr>
          <w:rFonts w:ascii="Book Antiqua" w:hAnsi="Book Antiqua" w:cs="Arial"/>
        </w:rPr>
        <w:t xml:space="preserve"> to appeal it cannot properly </w:t>
      </w:r>
      <w:r w:rsidR="00741D00">
        <w:rPr>
          <w:rFonts w:ascii="Book Antiqua" w:hAnsi="Book Antiqua" w:cs="Arial"/>
        </w:rPr>
        <w:t xml:space="preserve">be said that at that stage, the third appellant was </w:t>
      </w:r>
      <w:r w:rsidR="00EB60CB">
        <w:rPr>
          <w:rFonts w:ascii="Book Antiqua" w:hAnsi="Book Antiqua" w:cs="Arial"/>
        </w:rPr>
        <w:t xml:space="preserve">not </w:t>
      </w:r>
      <w:r w:rsidR="00741D00">
        <w:rPr>
          <w:rFonts w:ascii="Book Antiqua" w:hAnsi="Book Antiqua" w:cs="Arial"/>
        </w:rPr>
        <w:t>taking a calculated risk that she would not be able to comple</w:t>
      </w:r>
      <w:r w:rsidR="00167B21">
        <w:rPr>
          <w:rFonts w:ascii="Book Antiqua" w:hAnsi="Book Antiqua" w:cs="Arial"/>
        </w:rPr>
        <w:t>te her course.</w:t>
      </w:r>
      <w:r>
        <w:rPr>
          <w:rFonts w:ascii="Book Antiqua" w:hAnsi="Book Antiqua" w:cs="Arial"/>
        </w:rPr>
        <w:t xml:space="preserve">  </w:t>
      </w:r>
    </w:p>
    <w:p w14:paraId="6CBD7F95" w14:textId="7E3218EE" w:rsidR="00FA0BF2" w:rsidRDefault="00FA0BF2" w:rsidP="00D27C0A">
      <w:pPr>
        <w:numPr>
          <w:ilvl w:val="0"/>
          <w:numId w:val="3"/>
        </w:numPr>
        <w:spacing w:before="240"/>
        <w:jc w:val="both"/>
        <w:rPr>
          <w:rFonts w:ascii="Book Antiqua" w:hAnsi="Book Antiqua" w:cs="Arial"/>
        </w:rPr>
      </w:pPr>
      <w:r>
        <w:rPr>
          <w:rFonts w:ascii="Book Antiqua" w:hAnsi="Book Antiqua" w:cs="Arial"/>
        </w:rPr>
        <w:t>Third, it is quite wrong to say that the third appellant’s Article 8 rights were not assessed on an individual basis.  The judge set out her findings in</w:t>
      </w:r>
      <w:r w:rsidR="00275C7E">
        <w:rPr>
          <w:rFonts w:ascii="Book Antiqua" w:hAnsi="Book Antiqua" w:cs="Arial"/>
        </w:rPr>
        <w:t xml:space="preserve"> relation to her</w:t>
      </w:r>
      <w:r>
        <w:rPr>
          <w:rFonts w:ascii="Book Antiqua" w:hAnsi="Book Antiqua" w:cs="Arial"/>
        </w:rPr>
        <w:t xml:space="preserve"> in some detail, recognising that she had wasted time on a degree course which had been halted and that she may have lost money in the process.  The judge was entitled to observe however that there was an option to apply for study for a degree in Bangladesh or indeed to make an entry clearance application to finish her studies in the UK.  </w:t>
      </w:r>
    </w:p>
    <w:p w14:paraId="3CD46679" w14:textId="696CA62F" w:rsidR="00FA0BF2" w:rsidRDefault="00FA0BF2" w:rsidP="00D27C0A">
      <w:pPr>
        <w:numPr>
          <w:ilvl w:val="0"/>
          <w:numId w:val="3"/>
        </w:numPr>
        <w:spacing w:before="240"/>
        <w:jc w:val="both"/>
        <w:rPr>
          <w:rFonts w:ascii="Book Antiqua" w:hAnsi="Book Antiqua" w:cs="Arial"/>
        </w:rPr>
      </w:pPr>
      <w:r>
        <w:rPr>
          <w:rFonts w:ascii="Book Antiqua" w:hAnsi="Book Antiqua" w:cs="Arial"/>
        </w:rPr>
        <w:lastRenderedPageBreak/>
        <w:t>The judge also considered the third appellant’s private life in some detail.  She said that she attached weight to the private life enjoyed by her when she was a child because she was not responsible for the decisions made by her parents</w:t>
      </w:r>
      <w:r w:rsidR="00275C7E">
        <w:rPr>
          <w:rFonts w:ascii="Book Antiqua" w:hAnsi="Book Antiqua" w:cs="Arial"/>
        </w:rPr>
        <w:t>,</w:t>
      </w:r>
      <w:r>
        <w:rPr>
          <w:rFonts w:ascii="Book Antiqua" w:hAnsi="Book Antiqua" w:cs="Arial"/>
        </w:rPr>
        <w:t xml:space="preserve"> but when she became 21 in September 2015 she was aware that the human rights claim of the family as a unit had been refused and therefore less weight ought to be attached </w:t>
      </w:r>
      <w:r w:rsidR="001E349E">
        <w:rPr>
          <w:rFonts w:ascii="Book Antiqua" w:hAnsi="Book Antiqua" w:cs="Arial"/>
        </w:rPr>
        <w:t>to her private life from that date.  Mr Gill’s submissions on this point, in particular that the determination ran contrary to the UN</w:t>
      </w:r>
      <w:r w:rsidR="00275C7E">
        <w:rPr>
          <w:rFonts w:ascii="Book Antiqua" w:hAnsi="Book Antiqua" w:cs="Arial"/>
        </w:rPr>
        <w:t xml:space="preserve"> Convention in relation to the Rights of C</w:t>
      </w:r>
      <w:r w:rsidR="001E349E">
        <w:rPr>
          <w:rFonts w:ascii="Book Antiqua" w:hAnsi="Book Antiqua" w:cs="Arial"/>
        </w:rPr>
        <w:t>hildren</w:t>
      </w:r>
      <w:r w:rsidR="00BE5DFE">
        <w:rPr>
          <w:rFonts w:ascii="Book Antiqua" w:hAnsi="Book Antiqua" w:cs="Arial"/>
        </w:rPr>
        <w:t>,</w:t>
      </w:r>
      <w:r w:rsidR="001E349E">
        <w:rPr>
          <w:rFonts w:ascii="Book Antiqua" w:hAnsi="Book Antiqua" w:cs="Arial"/>
        </w:rPr>
        <w:t xml:space="preserve"> failed to acknowledge that the third appellant was born in 1994 and is now 24 years old.  </w:t>
      </w:r>
    </w:p>
    <w:p w14:paraId="3B6C06CD" w14:textId="0AACA461" w:rsidR="001E349E" w:rsidRDefault="001E349E" w:rsidP="00D27C0A">
      <w:pPr>
        <w:numPr>
          <w:ilvl w:val="0"/>
          <w:numId w:val="3"/>
        </w:numPr>
        <w:spacing w:before="240"/>
        <w:jc w:val="both"/>
        <w:rPr>
          <w:rFonts w:ascii="Book Antiqua" w:hAnsi="Book Antiqua" w:cs="Arial"/>
        </w:rPr>
      </w:pPr>
      <w:r>
        <w:rPr>
          <w:rFonts w:ascii="Book Antiqua" w:hAnsi="Book Antiqua" w:cs="Arial"/>
        </w:rPr>
        <w:t xml:space="preserve">It is true to say that the third appellant could not meet the </w:t>
      </w:r>
      <w:proofErr w:type="gramStart"/>
      <w:r>
        <w:rPr>
          <w:rFonts w:ascii="Book Antiqua" w:hAnsi="Book Antiqua" w:cs="Arial"/>
        </w:rPr>
        <w:t>seven year</w:t>
      </w:r>
      <w:proofErr w:type="gramEnd"/>
      <w:r>
        <w:rPr>
          <w:rFonts w:ascii="Book Antiqua" w:hAnsi="Book Antiqua" w:cs="Arial"/>
        </w:rPr>
        <w:t xml:space="preserve"> Rule because she arrived in the UK when she was 14 years old and has not yet been in the</w:t>
      </w:r>
      <w:r w:rsidR="00275C7E">
        <w:rPr>
          <w:rFonts w:ascii="Book Antiqua" w:hAnsi="Book Antiqua" w:cs="Arial"/>
        </w:rPr>
        <w:t xml:space="preserve"> UK for half of her life.  T</w:t>
      </w:r>
      <w:r>
        <w:rPr>
          <w:rFonts w:ascii="Book Antiqua" w:hAnsi="Book Antiqua" w:cs="Arial"/>
        </w:rPr>
        <w:t>he fact that the judge did not state i</w:t>
      </w:r>
      <w:r w:rsidR="00275C7E">
        <w:rPr>
          <w:rFonts w:ascii="Book Antiqua" w:hAnsi="Book Antiqua" w:cs="Arial"/>
        </w:rPr>
        <w:t>n terms that she</w:t>
      </w:r>
      <w:r>
        <w:rPr>
          <w:rFonts w:ascii="Book Antiqua" w:hAnsi="Book Antiqua" w:cs="Arial"/>
        </w:rPr>
        <w:t xml:space="preserve"> was not able to meet either of the requirements set out in paragraph 276ADE is immaterial.  </w:t>
      </w:r>
      <w:r w:rsidR="00EB60CB">
        <w:rPr>
          <w:rFonts w:ascii="Book Antiqua" w:hAnsi="Book Antiqua" w:cs="Arial"/>
        </w:rPr>
        <w:t xml:space="preserve">Similarly, the first appellant’s application under the </w:t>
      </w:r>
      <w:proofErr w:type="gramStart"/>
      <w:r w:rsidR="00EB60CB">
        <w:rPr>
          <w:rFonts w:ascii="Book Antiqua" w:hAnsi="Book Antiqua" w:cs="Arial"/>
        </w:rPr>
        <w:t>10 year</w:t>
      </w:r>
      <w:proofErr w:type="gramEnd"/>
      <w:r w:rsidR="00EB60CB">
        <w:rPr>
          <w:rFonts w:ascii="Book Antiqua" w:hAnsi="Book Antiqua" w:cs="Arial"/>
        </w:rPr>
        <w:t xml:space="preserve"> rule said to be under consideration is not relevant.</w:t>
      </w:r>
    </w:p>
    <w:p w14:paraId="3A4DADF4" w14:textId="73BECEE8" w:rsidR="001E349E" w:rsidRDefault="003738FD" w:rsidP="00D27C0A">
      <w:pPr>
        <w:numPr>
          <w:ilvl w:val="0"/>
          <w:numId w:val="3"/>
        </w:numPr>
        <w:spacing w:before="240"/>
        <w:jc w:val="both"/>
        <w:rPr>
          <w:rFonts w:ascii="Book Antiqua" w:hAnsi="Book Antiqua" w:cs="Arial"/>
        </w:rPr>
      </w:pPr>
      <w:r>
        <w:rPr>
          <w:rFonts w:ascii="Book Antiqua" w:hAnsi="Book Antiqua" w:cs="Arial"/>
        </w:rPr>
        <w:t xml:space="preserve">It was argued before the judge that there was no public interest in removing the first and second appellants once their son had been granted limited </w:t>
      </w:r>
      <w:r w:rsidR="00275C7E">
        <w:rPr>
          <w:rFonts w:ascii="Book Antiqua" w:hAnsi="Book Antiqua" w:cs="Arial"/>
        </w:rPr>
        <w:t xml:space="preserve">leave to remain.  Mr Gill submitted that, </w:t>
      </w:r>
      <w:r>
        <w:rPr>
          <w:rFonts w:ascii="Book Antiqua" w:hAnsi="Book Antiqua" w:cs="Arial"/>
        </w:rPr>
        <w:t>if it had been recognised at that stage that the parents ought to have been granted leave</w:t>
      </w:r>
      <w:r w:rsidR="00275C7E">
        <w:rPr>
          <w:rFonts w:ascii="Book Antiqua" w:hAnsi="Book Antiqua" w:cs="Arial"/>
        </w:rPr>
        <w:t>,</w:t>
      </w:r>
      <w:r>
        <w:rPr>
          <w:rFonts w:ascii="Book Antiqua" w:hAnsi="Book Antiqua" w:cs="Arial"/>
        </w:rPr>
        <w:t xml:space="preserve"> then they should not now be deprived of the benefit of leave which they should have had.  If the parents had succeeded then the daughter would have done too.  </w:t>
      </w:r>
    </w:p>
    <w:p w14:paraId="51174E6B" w14:textId="3222F70B" w:rsidR="003738FD" w:rsidRDefault="003738FD" w:rsidP="00D27C0A">
      <w:pPr>
        <w:numPr>
          <w:ilvl w:val="0"/>
          <w:numId w:val="3"/>
        </w:numPr>
        <w:spacing w:before="240"/>
        <w:jc w:val="both"/>
        <w:rPr>
          <w:rFonts w:ascii="Book Antiqua" w:hAnsi="Book Antiqua" w:cs="Arial"/>
        </w:rPr>
      </w:pPr>
      <w:r>
        <w:rPr>
          <w:rFonts w:ascii="Book Antiqua" w:hAnsi="Book Antiqua" w:cs="Arial"/>
        </w:rPr>
        <w:t>The judge dealt with this point by observing that the son’s appeal was not based upon family life but upon his own private life</w:t>
      </w:r>
      <w:r w:rsidR="004E7E23">
        <w:rPr>
          <w:rFonts w:ascii="Book Antiqua" w:hAnsi="Book Antiqua" w:cs="Arial"/>
        </w:rPr>
        <w:t>. There was therefore nothing to mandate a grant of leave to his parents.  I</w:t>
      </w:r>
      <w:r>
        <w:rPr>
          <w:rFonts w:ascii="Book Antiqua" w:hAnsi="Book Antiqua" w:cs="Arial"/>
        </w:rPr>
        <w:t xml:space="preserve">n any event, by the time of the decision allowing his appeal, he was no longer a qualifying child.  He is now 20 years old.  It is difficult to argue that this appeal ought to succeed </w:t>
      </w:r>
      <w:r w:rsidR="004E7E23">
        <w:rPr>
          <w:rFonts w:ascii="Book Antiqua" w:hAnsi="Book Antiqua" w:cs="Arial"/>
        </w:rPr>
        <w:t xml:space="preserve">now </w:t>
      </w:r>
      <w:r>
        <w:rPr>
          <w:rFonts w:ascii="Book Antiqua" w:hAnsi="Book Antiqua" w:cs="Arial"/>
        </w:rPr>
        <w:t>under paragraph 117</w:t>
      </w:r>
      <w:proofErr w:type="gramStart"/>
      <w:r>
        <w:rPr>
          <w:rFonts w:ascii="Book Antiqua" w:hAnsi="Book Antiqua" w:cs="Arial"/>
        </w:rPr>
        <w:t>B(</w:t>
      </w:r>
      <w:proofErr w:type="gramEnd"/>
      <w:r>
        <w:rPr>
          <w:rFonts w:ascii="Book Antiqua" w:hAnsi="Book Antiqua" w:cs="Arial"/>
        </w:rPr>
        <w:t xml:space="preserve">6) in a case where there are no qualifying children.  </w:t>
      </w:r>
    </w:p>
    <w:p w14:paraId="0628447A" w14:textId="5775E983" w:rsidR="003738FD" w:rsidRDefault="003738FD" w:rsidP="00D27C0A">
      <w:pPr>
        <w:numPr>
          <w:ilvl w:val="0"/>
          <w:numId w:val="3"/>
        </w:numPr>
        <w:spacing w:before="240"/>
        <w:jc w:val="both"/>
        <w:rPr>
          <w:rFonts w:ascii="Book Antiqua" w:hAnsi="Book Antiqua" w:cs="Arial"/>
        </w:rPr>
      </w:pPr>
      <w:r>
        <w:rPr>
          <w:rFonts w:ascii="Book Antiqua" w:hAnsi="Book Antiqua" w:cs="Arial"/>
        </w:rPr>
        <w:t>The remaining arguments in relation to the third appellant amount to a disagreement with the decision.  Mr Gill made extensive submissions about the position of the third appellant on a return to Bangladesh but these were considered by the judge who was entitled to observe that</w:t>
      </w:r>
      <w:r w:rsidR="004E7E23">
        <w:rPr>
          <w:rFonts w:ascii="Book Antiqua" w:hAnsi="Book Antiqua" w:cs="Arial"/>
        </w:rPr>
        <w:t>,</w:t>
      </w:r>
      <w:r>
        <w:rPr>
          <w:rFonts w:ascii="Book Antiqua" w:hAnsi="Book Antiqua" w:cs="Arial"/>
        </w:rPr>
        <w:t xml:space="preserve"> whilst the opportunities of her life in the UK will not be the same in Bangladesh</w:t>
      </w:r>
      <w:r w:rsidR="004E7E23">
        <w:rPr>
          <w:rFonts w:ascii="Book Antiqua" w:hAnsi="Book Antiqua" w:cs="Arial"/>
        </w:rPr>
        <w:t>,</w:t>
      </w:r>
      <w:r>
        <w:rPr>
          <w:rFonts w:ascii="Book Antiqua" w:hAnsi="Book Antiqua" w:cs="Arial"/>
        </w:rPr>
        <w:t xml:space="preserve"> there was no reason why she should not be able to live a fulfilling life in her country of nationality.  She took into account the separation from her brother, albeit temporary since he o</w:t>
      </w:r>
      <w:r w:rsidR="004E7E23">
        <w:rPr>
          <w:rFonts w:ascii="Book Antiqua" w:hAnsi="Book Antiqua" w:cs="Arial"/>
        </w:rPr>
        <w:t xml:space="preserve">nly has limited leave to remain. It was open to her  </w:t>
      </w:r>
      <w:r>
        <w:rPr>
          <w:rFonts w:ascii="Book Antiqua" w:hAnsi="Book Antiqua" w:cs="Arial"/>
        </w:rPr>
        <w:t xml:space="preserve"> to conclude that the maintenance of immigration control weighed more heavily in the balance than the arguments put forward by the appellants.  </w:t>
      </w:r>
    </w:p>
    <w:p w14:paraId="51D7BB7C" w14:textId="77777777" w:rsidR="00BF3B8C" w:rsidRPr="00BF3B8C" w:rsidRDefault="00BF3B8C" w:rsidP="00D27C0A">
      <w:pPr>
        <w:spacing w:before="240"/>
        <w:jc w:val="both"/>
        <w:rPr>
          <w:rFonts w:ascii="Book Antiqua" w:hAnsi="Book Antiqua" w:cs="Arial"/>
          <w:b/>
          <w:u w:val="single"/>
        </w:rPr>
      </w:pPr>
      <w:r w:rsidRPr="00BF3B8C">
        <w:rPr>
          <w:rFonts w:ascii="Book Antiqua" w:hAnsi="Book Antiqua" w:cs="Arial"/>
          <w:b/>
          <w:u w:val="single"/>
        </w:rPr>
        <w:t>Notice of Decision</w:t>
      </w:r>
    </w:p>
    <w:p w14:paraId="2D13B6FE" w14:textId="77777777" w:rsidR="00BF3B8C" w:rsidRPr="00BF3B8C" w:rsidRDefault="003738FD" w:rsidP="00D27C0A">
      <w:pPr>
        <w:spacing w:before="240"/>
        <w:jc w:val="both"/>
        <w:rPr>
          <w:rFonts w:ascii="Book Antiqua" w:hAnsi="Book Antiqua" w:cs="Arial"/>
        </w:rPr>
      </w:pPr>
      <w:r>
        <w:rPr>
          <w:rFonts w:ascii="Book Antiqua" w:hAnsi="Book Antiqua" w:cs="Arial"/>
        </w:rPr>
        <w:t xml:space="preserve">The judge did not err in law.  Her decision stands.  The appellants’ appeals are dismissed.  </w:t>
      </w:r>
    </w:p>
    <w:p w14:paraId="685FEA37" w14:textId="77777777" w:rsidR="00BF3B8C" w:rsidRPr="00BF3B8C" w:rsidRDefault="00BF3B8C" w:rsidP="00D27C0A">
      <w:pPr>
        <w:spacing w:before="240"/>
        <w:jc w:val="both"/>
        <w:rPr>
          <w:rFonts w:ascii="Book Antiqua" w:hAnsi="Book Antiqua" w:cs="Arial"/>
        </w:rPr>
      </w:pPr>
    </w:p>
    <w:p w14:paraId="6F6EED37" w14:textId="77777777" w:rsidR="00BF3B8C" w:rsidRPr="00BF3B8C" w:rsidRDefault="00BF3B8C" w:rsidP="00D27C0A">
      <w:pPr>
        <w:spacing w:before="240"/>
        <w:jc w:val="both"/>
        <w:rPr>
          <w:rFonts w:ascii="Book Antiqua" w:hAnsi="Book Antiqua" w:cs="Arial"/>
        </w:rPr>
      </w:pPr>
      <w:r w:rsidRPr="00BF3B8C">
        <w:rPr>
          <w:rFonts w:ascii="Book Antiqua" w:hAnsi="Book Antiqua" w:cs="Arial"/>
          <w:b/>
          <w:u w:val="single"/>
        </w:rPr>
        <w:lastRenderedPageBreak/>
        <w:t>Direction Regarding Anonymity – Rule 14 of the Tribunal Procedure (Upper Tribunal) Rules 2008</w:t>
      </w:r>
    </w:p>
    <w:p w14:paraId="4FCB4F57" w14:textId="77777777" w:rsidR="00BF3B8C" w:rsidRPr="00687601" w:rsidRDefault="00BF3B8C" w:rsidP="00D27C0A">
      <w:pPr>
        <w:spacing w:before="240"/>
        <w:jc w:val="both"/>
        <w:rPr>
          <w:rFonts w:ascii="Book Antiqua" w:hAnsi="Book Antiqua" w:cs="Arial"/>
        </w:rPr>
      </w:pPr>
      <w:r w:rsidRPr="00BF3B8C">
        <w:rPr>
          <w:rFonts w:ascii="Book Antiqua" w:hAnsi="Book Antiqua" w:cs="Arial"/>
        </w:rPr>
        <w:t xml:space="preserve">Unless and </w:t>
      </w:r>
      <w:r w:rsidRPr="00BF3B8C">
        <w:rPr>
          <w:rFonts w:ascii="Book Antiqua" w:hAnsi="Book Antiqua"/>
        </w:rPr>
        <w:t xml:space="preserve">until a Tribunal or court directs otherwise, the </w:t>
      </w:r>
      <w:r w:rsidR="00CE2079">
        <w:rPr>
          <w:rFonts w:ascii="Book Antiqua" w:hAnsi="Book Antiqua"/>
        </w:rPr>
        <w:t>a</w:t>
      </w:r>
      <w:r w:rsidRPr="00BF3B8C">
        <w:rPr>
          <w:rFonts w:ascii="Book Antiqua" w:hAnsi="Book Antiqua"/>
        </w:rPr>
        <w:t>ppellant</w:t>
      </w:r>
      <w:r w:rsidR="00A91663">
        <w:rPr>
          <w:rFonts w:ascii="Book Antiqua" w:hAnsi="Book Antiqua"/>
        </w:rPr>
        <w:t>s</w:t>
      </w:r>
      <w:r w:rsidRPr="00BF3B8C">
        <w:rPr>
          <w:rFonts w:ascii="Book Antiqua" w:hAnsi="Book Antiqua"/>
        </w:rPr>
        <w:t xml:space="preserve"> </w:t>
      </w:r>
      <w:r w:rsidR="00A91663">
        <w:rPr>
          <w:rFonts w:ascii="Book Antiqua" w:hAnsi="Book Antiqua"/>
        </w:rPr>
        <w:t>are</w:t>
      </w:r>
      <w:r w:rsidRPr="00BF3B8C">
        <w:rPr>
          <w:rFonts w:ascii="Book Antiqua" w:hAnsi="Book Antiqua"/>
        </w:rPr>
        <w:t xml:space="preserve"> granted anonymity.  No report of these proceedings shall directly or indirectly identify </w:t>
      </w:r>
      <w:r w:rsidR="00A91663">
        <w:rPr>
          <w:rFonts w:ascii="Book Antiqua" w:hAnsi="Book Antiqua"/>
        </w:rPr>
        <w:t>them</w:t>
      </w:r>
      <w:r w:rsidRPr="00BF3B8C">
        <w:rPr>
          <w:rFonts w:ascii="Book Antiqua" w:hAnsi="Book Antiqua"/>
        </w:rPr>
        <w:t xml:space="preserve"> or any member of their family.  This direction applies both to the </w:t>
      </w:r>
      <w:r w:rsidR="00CE2079">
        <w:rPr>
          <w:rFonts w:ascii="Book Antiqua" w:hAnsi="Book Antiqua"/>
        </w:rPr>
        <w:t>a</w:t>
      </w:r>
      <w:r w:rsidRPr="00BF3B8C">
        <w:rPr>
          <w:rFonts w:ascii="Book Antiqua" w:hAnsi="Book Antiqua"/>
        </w:rPr>
        <w:t>ppellant</w:t>
      </w:r>
      <w:r w:rsidR="00A91663">
        <w:rPr>
          <w:rFonts w:ascii="Book Antiqua" w:hAnsi="Book Antiqua"/>
        </w:rPr>
        <w:t>s</w:t>
      </w:r>
      <w:r w:rsidRPr="00BF3B8C">
        <w:rPr>
          <w:rFonts w:ascii="Book Antiqua" w:hAnsi="Book Antiqua"/>
        </w:rPr>
        <w:t xml:space="preserve"> and to the </w:t>
      </w:r>
      <w:r w:rsidR="00CE2079">
        <w:rPr>
          <w:rFonts w:ascii="Book Antiqua" w:hAnsi="Book Antiqua"/>
        </w:rPr>
        <w:t>r</w:t>
      </w:r>
      <w:r w:rsidRPr="00BF3B8C">
        <w:rPr>
          <w:rFonts w:ascii="Book Antiqua" w:hAnsi="Book Antiqua"/>
        </w:rPr>
        <w:t>espondent.  Failure to comply with this direction could lead to contempt of court proceedings.</w:t>
      </w:r>
    </w:p>
    <w:p w14:paraId="755885F2" w14:textId="77777777" w:rsidR="000369F5" w:rsidRPr="00CE6902" w:rsidRDefault="000369F5" w:rsidP="00BF3B8C">
      <w:pPr>
        <w:tabs>
          <w:tab w:val="left" w:pos="2520"/>
        </w:tabs>
        <w:jc w:val="both"/>
        <w:rPr>
          <w:rFonts w:ascii="Book Antiqua" w:hAnsi="Book Antiqua" w:cs="Arial"/>
        </w:rPr>
      </w:pPr>
    </w:p>
    <w:p w14:paraId="60179D22" w14:textId="77777777" w:rsidR="000369F5" w:rsidRPr="00CE6902" w:rsidRDefault="000369F5" w:rsidP="00BF3B8C">
      <w:pPr>
        <w:tabs>
          <w:tab w:val="left" w:pos="2520"/>
        </w:tabs>
        <w:jc w:val="both"/>
        <w:rPr>
          <w:rFonts w:ascii="Book Antiqua" w:hAnsi="Book Antiqua" w:cs="Arial"/>
        </w:rPr>
      </w:pPr>
    </w:p>
    <w:p w14:paraId="04F403E3" w14:textId="26151C97" w:rsidR="001F2716" w:rsidRPr="00CE6902" w:rsidRDefault="006E3C90" w:rsidP="000369F5">
      <w:pPr>
        <w:tabs>
          <w:tab w:val="left" w:pos="2520"/>
        </w:tabs>
        <w:jc w:val="both"/>
        <w:rPr>
          <w:rFonts w:ascii="Book Antiqua" w:hAnsi="Book Antiqua" w:cs="Arial"/>
        </w:rPr>
      </w:pPr>
      <w:r w:rsidRPr="00CE6902">
        <w:rPr>
          <w:rFonts w:ascii="Book Antiqua" w:hAnsi="Book Antiqua" w:cs="Arial"/>
        </w:rPr>
        <w:t>Signed</w:t>
      </w:r>
      <w:r w:rsidR="00D6744D" w:rsidRPr="00F27BB4">
        <w:rPr>
          <w:noProof/>
        </w:rPr>
        <w:drawing>
          <wp:inline distT="0" distB="0" distL="0" distR="0" wp14:anchorId="12F692B1" wp14:editId="18664EDE">
            <wp:extent cx="1421130" cy="60515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1130" cy="605155"/>
                    </a:xfrm>
                    <a:prstGeom prst="rect">
                      <a:avLst/>
                    </a:prstGeom>
                    <a:noFill/>
                    <a:ln>
                      <a:noFill/>
                    </a:ln>
                  </pic:spPr>
                </pic:pic>
              </a:graphicData>
            </a:graphic>
          </wp:inline>
        </w:drawing>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Pr="00CE6902">
        <w:rPr>
          <w:rFonts w:ascii="Book Antiqua" w:hAnsi="Book Antiqua" w:cs="Arial"/>
        </w:rPr>
        <w:tab/>
      </w:r>
      <w:r w:rsidR="001F2716" w:rsidRPr="00CE6902">
        <w:rPr>
          <w:rFonts w:ascii="Book Antiqua" w:hAnsi="Book Antiqua" w:cs="Arial"/>
        </w:rPr>
        <w:t>Date</w:t>
      </w:r>
      <w:r w:rsidR="00D6744D">
        <w:rPr>
          <w:rFonts w:ascii="Book Antiqua" w:hAnsi="Book Antiqua" w:cs="Arial"/>
        </w:rPr>
        <w:t xml:space="preserve"> 25 August 2018</w:t>
      </w:r>
    </w:p>
    <w:p w14:paraId="304EEEAA" w14:textId="77777777" w:rsidR="001F2716" w:rsidRPr="00CE6902" w:rsidRDefault="001F2716" w:rsidP="000369F5">
      <w:pPr>
        <w:tabs>
          <w:tab w:val="left" w:pos="2520"/>
        </w:tabs>
        <w:jc w:val="both"/>
        <w:rPr>
          <w:rFonts w:ascii="Book Antiqua" w:hAnsi="Book Antiqua" w:cs="Arial"/>
        </w:rPr>
      </w:pPr>
    </w:p>
    <w:p w14:paraId="5F26C314" w14:textId="77777777" w:rsidR="005B7789" w:rsidRDefault="00561B4E" w:rsidP="000369F5">
      <w:pPr>
        <w:tabs>
          <w:tab w:val="left" w:pos="2520"/>
        </w:tabs>
        <w:jc w:val="both"/>
        <w:rPr>
          <w:rFonts w:ascii="Book Antiqua" w:hAnsi="Book Antiqua" w:cs="Arial"/>
        </w:rPr>
      </w:pPr>
      <w:r>
        <w:rPr>
          <w:rFonts w:ascii="Book Antiqua" w:hAnsi="Book Antiqua" w:cs="Arial"/>
        </w:rPr>
        <w:t xml:space="preserve">Deputy </w:t>
      </w:r>
      <w:r w:rsidR="00ED1BAF">
        <w:rPr>
          <w:rFonts w:ascii="Book Antiqua" w:hAnsi="Book Antiqua" w:cs="Arial"/>
        </w:rPr>
        <w:t>Upper Tribunal</w:t>
      </w:r>
      <w:r w:rsidR="00AC5CF6" w:rsidRPr="00CE6902">
        <w:rPr>
          <w:rFonts w:ascii="Book Antiqua" w:hAnsi="Book Antiqua" w:cs="Arial"/>
        </w:rPr>
        <w:t xml:space="preserve"> Judge</w:t>
      </w:r>
      <w:r w:rsidR="00B03FBE" w:rsidRPr="00CE6902">
        <w:rPr>
          <w:rFonts w:ascii="Book Antiqua" w:hAnsi="Book Antiqua" w:cs="Arial"/>
        </w:rPr>
        <w:t xml:space="preserve"> Taylor</w:t>
      </w:r>
      <w:r w:rsidR="00CB7FD7" w:rsidRPr="00CE6902">
        <w:rPr>
          <w:rFonts w:ascii="Book Antiqua" w:hAnsi="Book Antiqua" w:cs="Arial"/>
        </w:rPr>
        <w:t xml:space="preserve"> </w:t>
      </w:r>
    </w:p>
    <w:p w14:paraId="6D16AF81" w14:textId="77777777" w:rsidR="00CB7FD7" w:rsidRPr="00CE6902" w:rsidRDefault="00CB7FD7" w:rsidP="000369F5">
      <w:pPr>
        <w:tabs>
          <w:tab w:val="left" w:pos="2520"/>
        </w:tabs>
        <w:jc w:val="both"/>
        <w:rPr>
          <w:rFonts w:ascii="Book Antiqua" w:hAnsi="Book Antiqua" w:cs="Arial"/>
        </w:rPr>
      </w:pPr>
    </w:p>
    <w:sectPr w:rsidR="00CB7FD7" w:rsidRPr="00CE6902" w:rsidSect="00776E97">
      <w:headerReference w:type="default" r:id="rId9"/>
      <w:footerReference w:type="default" r:id="rId10"/>
      <w:headerReference w:type="first" r:id="rId11"/>
      <w:footerReference w:type="first" r:id="rId12"/>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94D94" w14:textId="77777777" w:rsidR="00F72BEF" w:rsidRDefault="00F72BEF">
      <w:r>
        <w:separator/>
      </w:r>
    </w:p>
  </w:endnote>
  <w:endnote w:type="continuationSeparator" w:id="0">
    <w:p w14:paraId="5DA47E03" w14:textId="77777777" w:rsidR="00F72BEF" w:rsidRDefault="00F72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4332F4" w14:textId="3C8FCBDB" w:rsidR="00FA0BF2" w:rsidRPr="00D27C0A" w:rsidRDefault="00FA0BF2" w:rsidP="00593795">
    <w:pPr>
      <w:pStyle w:val="Footer"/>
      <w:jc w:val="center"/>
      <w:rPr>
        <w:rFonts w:ascii="Book Antiqua" w:hAnsi="Book Antiqua" w:cs="Arial"/>
        <w:sz w:val="20"/>
        <w:szCs w:val="20"/>
      </w:rPr>
    </w:pPr>
    <w:r w:rsidRPr="00D27C0A">
      <w:rPr>
        <w:rStyle w:val="PageNumber"/>
        <w:rFonts w:ascii="Book Antiqua" w:hAnsi="Book Antiqua" w:cs="Arial"/>
        <w:sz w:val="20"/>
        <w:szCs w:val="20"/>
      </w:rPr>
      <w:fldChar w:fldCharType="begin"/>
    </w:r>
    <w:r w:rsidRPr="00D27C0A">
      <w:rPr>
        <w:rStyle w:val="PageNumber"/>
        <w:rFonts w:ascii="Book Antiqua" w:hAnsi="Book Antiqua" w:cs="Arial"/>
        <w:sz w:val="20"/>
        <w:szCs w:val="20"/>
      </w:rPr>
      <w:instrText xml:space="preserve"> PAGE </w:instrText>
    </w:r>
    <w:r w:rsidRPr="00D27C0A">
      <w:rPr>
        <w:rStyle w:val="PageNumber"/>
        <w:rFonts w:ascii="Book Antiqua" w:hAnsi="Book Antiqua" w:cs="Arial"/>
        <w:sz w:val="20"/>
        <w:szCs w:val="20"/>
      </w:rPr>
      <w:fldChar w:fldCharType="separate"/>
    </w:r>
    <w:r w:rsidR="00ED6993">
      <w:rPr>
        <w:rStyle w:val="PageNumber"/>
        <w:rFonts w:ascii="Book Antiqua" w:hAnsi="Book Antiqua" w:cs="Arial"/>
        <w:noProof/>
        <w:sz w:val="20"/>
        <w:szCs w:val="20"/>
      </w:rPr>
      <w:t>6</w:t>
    </w:r>
    <w:r w:rsidRPr="00D27C0A">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43F6B4" w14:textId="77777777" w:rsidR="00FA0BF2" w:rsidRPr="00CE6902" w:rsidRDefault="00FA0BF2" w:rsidP="007404B2">
    <w:pPr>
      <w:jc w:val="center"/>
      <w:rPr>
        <w:rFonts w:ascii="Book Antiqua" w:hAnsi="Book Antiqua" w:cs="Arial"/>
        <w:b/>
      </w:rPr>
    </w:pPr>
    <w:r w:rsidRPr="00CE6902">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1E08C" w14:textId="77777777" w:rsidR="00F72BEF" w:rsidRDefault="00F72BEF">
      <w:r>
        <w:separator/>
      </w:r>
    </w:p>
  </w:footnote>
  <w:footnote w:type="continuationSeparator" w:id="0">
    <w:p w14:paraId="1CBC3EA0" w14:textId="77777777" w:rsidR="00F72BEF" w:rsidRDefault="00F72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AE677F" w14:textId="1D25B941" w:rsidR="00FA0BF2" w:rsidRPr="00D27C0A" w:rsidRDefault="00FA0BF2" w:rsidP="000369F5">
    <w:pPr>
      <w:pStyle w:val="Header"/>
      <w:tabs>
        <w:tab w:val="clear" w:pos="4153"/>
        <w:tab w:val="clear" w:pos="8306"/>
        <w:tab w:val="right" w:pos="9639"/>
      </w:tabs>
      <w:jc w:val="right"/>
      <w:rPr>
        <w:rFonts w:ascii="Book Antiqua" w:hAnsi="Book Antiqua" w:cs="Arial"/>
        <w:sz w:val="20"/>
        <w:szCs w:val="20"/>
      </w:rPr>
    </w:pPr>
    <w:r w:rsidRPr="00D27C0A">
      <w:rPr>
        <w:rFonts w:ascii="Book Antiqua" w:hAnsi="Book Antiqua" w:cs="Arial"/>
        <w:sz w:val="20"/>
        <w:szCs w:val="20"/>
      </w:rPr>
      <w:t>Appeal Numbers: HU/22788/2016</w:t>
    </w:r>
  </w:p>
  <w:p w14:paraId="1EC552E6" w14:textId="77777777" w:rsidR="00FA0BF2" w:rsidRPr="00D27C0A" w:rsidRDefault="00FA0BF2" w:rsidP="000369F5">
    <w:pPr>
      <w:pStyle w:val="Header"/>
      <w:tabs>
        <w:tab w:val="clear" w:pos="4153"/>
        <w:tab w:val="clear" w:pos="8306"/>
        <w:tab w:val="right" w:pos="9639"/>
      </w:tabs>
      <w:jc w:val="right"/>
      <w:rPr>
        <w:rFonts w:ascii="Book Antiqua" w:hAnsi="Book Antiqua" w:cs="Arial"/>
        <w:sz w:val="20"/>
        <w:szCs w:val="20"/>
      </w:rPr>
    </w:pPr>
    <w:r w:rsidRPr="00D27C0A">
      <w:rPr>
        <w:rFonts w:ascii="Book Antiqua" w:hAnsi="Book Antiqua" w:cs="Arial"/>
        <w:sz w:val="20"/>
        <w:szCs w:val="20"/>
      </w:rPr>
      <w:t>HU/22791/2016</w:t>
    </w:r>
  </w:p>
  <w:p w14:paraId="1309FA47" w14:textId="77777777" w:rsidR="00FA0BF2" w:rsidRPr="00D27C0A" w:rsidRDefault="00FA0BF2" w:rsidP="000369F5">
    <w:pPr>
      <w:pStyle w:val="Header"/>
      <w:tabs>
        <w:tab w:val="clear" w:pos="4153"/>
        <w:tab w:val="clear" w:pos="8306"/>
        <w:tab w:val="right" w:pos="9639"/>
      </w:tabs>
      <w:jc w:val="right"/>
      <w:rPr>
        <w:rFonts w:ascii="Book Antiqua" w:hAnsi="Book Antiqua" w:cs="Arial"/>
        <w:sz w:val="20"/>
        <w:szCs w:val="20"/>
      </w:rPr>
    </w:pPr>
    <w:r w:rsidRPr="00D27C0A">
      <w:rPr>
        <w:rFonts w:ascii="Book Antiqua" w:hAnsi="Book Antiqua" w:cs="Arial"/>
        <w:sz w:val="20"/>
        <w:szCs w:val="20"/>
      </w:rPr>
      <w:t>HU/22792/2016</w:t>
    </w:r>
  </w:p>
  <w:p w14:paraId="00D33C88" w14:textId="77777777" w:rsidR="00FA0BF2" w:rsidRPr="00D27C0A" w:rsidRDefault="00FA0BF2" w:rsidP="000369F5">
    <w:pPr>
      <w:pStyle w:val="Header"/>
      <w:tabs>
        <w:tab w:val="clear" w:pos="4153"/>
        <w:tab w:val="clear" w:pos="8306"/>
        <w:tab w:val="right" w:pos="9639"/>
      </w:tabs>
      <w:jc w:val="right"/>
      <w:rPr>
        <w:rFonts w:ascii="Book Antiqua" w:hAnsi="Book Antiqua" w:cs="Arial"/>
        <w:sz w:val="20"/>
        <w:szCs w:val="20"/>
      </w:rPr>
    </w:pPr>
    <w:r w:rsidRPr="00D27C0A">
      <w:rPr>
        <w:rFonts w:ascii="Book Antiqua" w:hAnsi="Book Antiqua" w:cs="Arial"/>
        <w:sz w:val="20"/>
        <w:szCs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3C514" w14:textId="662DE471" w:rsidR="00FA0BF2" w:rsidRPr="00CE6902" w:rsidRDefault="00FA0BF2">
    <w:pPr>
      <w:pStyle w:val="Header"/>
      <w:rPr>
        <w:rFonts w:ascii="Book Antiqua" w:hAnsi="Book Antiqua"/>
      </w:rPr>
    </w:pPr>
    <w:r w:rsidRPr="00CE690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76B35C7"/>
    <w:multiLevelType w:val="multilevel"/>
    <w:tmpl w:val="6CA6ABA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4390705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B891B8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8"/>
  </w:num>
  <w:num w:numId="9">
    <w:abstractNumId w:val="7"/>
  </w:num>
  <w:num w:numId="10">
    <w:abstractNumId w:val="17"/>
  </w:num>
  <w:num w:numId="11">
    <w:abstractNumId w:val="16"/>
  </w:num>
  <w:num w:numId="12">
    <w:abstractNumId w:val="2"/>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9C9"/>
    <w:rsid w:val="00000621"/>
    <w:rsid w:val="000036C2"/>
    <w:rsid w:val="00033D3D"/>
    <w:rsid w:val="000369F5"/>
    <w:rsid w:val="00071A7E"/>
    <w:rsid w:val="000746C0"/>
    <w:rsid w:val="00074D1D"/>
    <w:rsid w:val="00092580"/>
    <w:rsid w:val="000B17A7"/>
    <w:rsid w:val="000C5C20"/>
    <w:rsid w:val="000D5A75"/>
    <w:rsid w:val="000D5D94"/>
    <w:rsid w:val="000F38CB"/>
    <w:rsid w:val="00110F6F"/>
    <w:rsid w:val="00114924"/>
    <w:rsid w:val="001165A7"/>
    <w:rsid w:val="00151BB7"/>
    <w:rsid w:val="00152152"/>
    <w:rsid w:val="00163090"/>
    <w:rsid w:val="001653C0"/>
    <w:rsid w:val="00167B21"/>
    <w:rsid w:val="00167D3A"/>
    <w:rsid w:val="001A24E4"/>
    <w:rsid w:val="001B416D"/>
    <w:rsid w:val="001C1220"/>
    <w:rsid w:val="001E349E"/>
    <w:rsid w:val="001E6D96"/>
    <w:rsid w:val="001F2716"/>
    <w:rsid w:val="0020133A"/>
    <w:rsid w:val="00207617"/>
    <w:rsid w:val="002344F5"/>
    <w:rsid w:val="00244A9E"/>
    <w:rsid w:val="00275075"/>
    <w:rsid w:val="00275C7E"/>
    <w:rsid w:val="00283659"/>
    <w:rsid w:val="00283EB8"/>
    <w:rsid w:val="00297A75"/>
    <w:rsid w:val="002C4E73"/>
    <w:rsid w:val="002D68BF"/>
    <w:rsid w:val="0031335C"/>
    <w:rsid w:val="00316625"/>
    <w:rsid w:val="00317517"/>
    <w:rsid w:val="00336CBF"/>
    <w:rsid w:val="00337A21"/>
    <w:rsid w:val="003439EF"/>
    <w:rsid w:val="003546C8"/>
    <w:rsid w:val="00367068"/>
    <w:rsid w:val="003738FD"/>
    <w:rsid w:val="003A7CF2"/>
    <w:rsid w:val="003C5CE5"/>
    <w:rsid w:val="003E267B"/>
    <w:rsid w:val="003E7CD1"/>
    <w:rsid w:val="00400698"/>
    <w:rsid w:val="00402B9E"/>
    <w:rsid w:val="004229B4"/>
    <w:rsid w:val="00423932"/>
    <w:rsid w:val="004249CB"/>
    <w:rsid w:val="00436C72"/>
    <w:rsid w:val="0044127D"/>
    <w:rsid w:val="004448DB"/>
    <w:rsid w:val="00446C9A"/>
    <w:rsid w:val="0045420D"/>
    <w:rsid w:val="004606D8"/>
    <w:rsid w:val="00477193"/>
    <w:rsid w:val="004A1848"/>
    <w:rsid w:val="004C0F5B"/>
    <w:rsid w:val="004C1E34"/>
    <w:rsid w:val="004E72D4"/>
    <w:rsid w:val="004E7E23"/>
    <w:rsid w:val="004F6E17"/>
    <w:rsid w:val="00503969"/>
    <w:rsid w:val="005053CF"/>
    <w:rsid w:val="00507FEC"/>
    <w:rsid w:val="00510F0E"/>
    <w:rsid w:val="00512741"/>
    <w:rsid w:val="00522434"/>
    <w:rsid w:val="005310BF"/>
    <w:rsid w:val="00535875"/>
    <w:rsid w:val="005479E1"/>
    <w:rsid w:val="005570FD"/>
    <w:rsid w:val="005575EA"/>
    <w:rsid w:val="00561B4E"/>
    <w:rsid w:val="005629B5"/>
    <w:rsid w:val="005632C5"/>
    <w:rsid w:val="0057790C"/>
    <w:rsid w:val="00593795"/>
    <w:rsid w:val="005A75FF"/>
    <w:rsid w:val="005B51C3"/>
    <w:rsid w:val="005B7789"/>
    <w:rsid w:val="005C1F10"/>
    <w:rsid w:val="005D429F"/>
    <w:rsid w:val="005E4B6F"/>
    <w:rsid w:val="005E57FF"/>
    <w:rsid w:val="00637384"/>
    <w:rsid w:val="0065791C"/>
    <w:rsid w:val="00690B8A"/>
    <w:rsid w:val="006A7DA4"/>
    <w:rsid w:val="006B343E"/>
    <w:rsid w:val="006D1DFA"/>
    <w:rsid w:val="006D24EE"/>
    <w:rsid w:val="006D506B"/>
    <w:rsid w:val="006E3C90"/>
    <w:rsid w:val="00704B61"/>
    <w:rsid w:val="00717DBE"/>
    <w:rsid w:val="00734A14"/>
    <w:rsid w:val="007404B2"/>
    <w:rsid w:val="00741D00"/>
    <w:rsid w:val="00742A8D"/>
    <w:rsid w:val="007552A9"/>
    <w:rsid w:val="0076043D"/>
    <w:rsid w:val="00761858"/>
    <w:rsid w:val="00767D59"/>
    <w:rsid w:val="00776E97"/>
    <w:rsid w:val="00780FD7"/>
    <w:rsid w:val="007912AD"/>
    <w:rsid w:val="007939C0"/>
    <w:rsid w:val="007A684F"/>
    <w:rsid w:val="007B0824"/>
    <w:rsid w:val="00807563"/>
    <w:rsid w:val="008207B0"/>
    <w:rsid w:val="008303B8"/>
    <w:rsid w:val="00833DCE"/>
    <w:rsid w:val="00871D34"/>
    <w:rsid w:val="008749A9"/>
    <w:rsid w:val="008A0C3B"/>
    <w:rsid w:val="008B270C"/>
    <w:rsid w:val="008C3D3D"/>
    <w:rsid w:val="008D4131"/>
    <w:rsid w:val="008F1932"/>
    <w:rsid w:val="008F294D"/>
    <w:rsid w:val="008F389D"/>
    <w:rsid w:val="00912F6A"/>
    <w:rsid w:val="00921062"/>
    <w:rsid w:val="009234AF"/>
    <w:rsid w:val="00937D10"/>
    <w:rsid w:val="00966ECF"/>
    <w:rsid w:val="009727A3"/>
    <w:rsid w:val="00987774"/>
    <w:rsid w:val="009937EE"/>
    <w:rsid w:val="009A11E8"/>
    <w:rsid w:val="009A1AC4"/>
    <w:rsid w:val="009E7A99"/>
    <w:rsid w:val="009F5220"/>
    <w:rsid w:val="009F7C4D"/>
    <w:rsid w:val="00A14872"/>
    <w:rsid w:val="00A15234"/>
    <w:rsid w:val="00A201AB"/>
    <w:rsid w:val="00A31C8B"/>
    <w:rsid w:val="00A341D2"/>
    <w:rsid w:val="00A34C0B"/>
    <w:rsid w:val="00A55677"/>
    <w:rsid w:val="00A845DC"/>
    <w:rsid w:val="00A86EB1"/>
    <w:rsid w:val="00A91663"/>
    <w:rsid w:val="00A957E0"/>
    <w:rsid w:val="00A97AEE"/>
    <w:rsid w:val="00AC29E2"/>
    <w:rsid w:val="00AC5CF6"/>
    <w:rsid w:val="00AF3421"/>
    <w:rsid w:val="00AF4C4B"/>
    <w:rsid w:val="00B03FBE"/>
    <w:rsid w:val="00B07A4C"/>
    <w:rsid w:val="00B144FA"/>
    <w:rsid w:val="00B25B10"/>
    <w:rsid w:val="00B30648"/>
    <w:rsid w:val="00B3524D"/>
    <w:rsid w:val="00B40F69"/>
    <w:rsid w:val="00B46616"/>
    <w:rsid w:val="00B61205"/>
    <w:rsid w:val="00B617C4"/>
    <w:rsid w:val="00B626FA"/>
    <w:rsid w:val="00B7040A"/>
    <w:rsid w:val="00B75635"/>
    <w:rsid w:val="00BB787A"/>
    <w:rsid w:val="00BD4196"/>
    <w:rsid w:val="00BD6602"/>
    <w:rsid w:val="00BE5DFE"/>
    <w:rsid w:val="00BF22CA"/>
    <w:rsid w:val="00BF3B8C"/>
    <w:rsid w:val="00C26032"/>
    <w:rsid w:val="00C265B0"/>
    <w:rsid w:val="00C32BB1"/>
    <w:rsid w:val="00C345E1"/>
    <w:rsid w:val="00C665DF"/>
    <w:rsid w:val="00C72137"/>
    <w:rsid w:val="00C73242"/>
    <w:rsid w:val="00C73349"/>
    <w:rsid w:val="00C82C85"/>
    <w:rsid w:val="00C90C15"/>
    <w:rsid w:val="00C94A8F"/>
    <w:rsid w:val="00CB2738"/>
    <w:rsid w:val="00CB6E35"/>
    <w:rsid w:val="00CB7FD7"/>
    <w:rsid w:val="00CC0EA5"/>
    <w:rsid w:val="00CE1A46"/>
    <w:rsid w:val="00CE2079"/>
    <w:rsid w:val="00CE39C9"/>
    <w:rsid w:val="00CE6902"/>
    <w:rsid w:val="00CF253F"/>
    <w:rsid w:val="00CF56B4"/>
    <w:rsid w:val="00D20F09"/>
    <w:rsid w:val="00D22636"/>
    <w:rsid w:val="00D27C0A"/>
    <w:rsid w:val="00D40FD9"/>
    <w:rsid w:val="00D53769"/>
    <w:rsid w:val="00D53893"/>
    <w:rsid w:val="00D6744D"/>
    <w:rsid w:val="00D85C13"/>
    <w:rsid w:val="00D91BE3"/>
    <w:rsid w:val="00D94AFC"/>
    <w:rsid w:val="00DB70AE"/>
    <w:rsid w:val="00DB7231"/>
    <w:rsid w:val="00DD5071"/>
    <w:rsid w:val="00DD5C39"/>
    <w:rsid w:val="00DE26AF"/>
    <w:rsid w:val="00DE7DB7"/>
    <w:rsid w:val="00E00A0A"/>
    <w:rsid w:val="00E04C9F"/>
    <w:rsid w:val="00E07F57"/>
    <w:rsid w:val="00E318D3"/>
    <w:rsid w:val="00E33145"/>
    <w:rsid w:val="00E50BCE"/>
    <w:rsid w:val="00E61292"/>
    <w:rsid w:val="00E76309"/>
    <w:rsid w:val="00E77C4D"/>
    <w:rsid w:val="00E81D01"/>
    <w:rsid w:val="00EA5C71"/>
    <w:rsid w:val="00EB60CB"/>
    <w:rsid w:val="00EB707E"/>
    <w:rsid w:val="00ED1BAF"/>
    <w:rsid w:val="00ED49AF"/>
    <w:rsid w:val="00ED6993"/>
    <w:rsid w:val="00EE3E65"/>
    <w:rsid w:val="00EE45D8"/>
    <w:rsid w:val="00EF1230"/>
    <w:rsid w:val="00F004CD"/>
    <w:rsid w:val="00F01496"/>
    <w:rsid w:val="00F22EDA"/>
    <w:rsid w:val="00F240AF"/>
    <w:rsid w:val="00F33E0E"/>
    <w:rsid w:val="00F72BEF"/>
    <w:rsid w:val="00FA0BF2"/>
    <w:rsid w:val="00FA17F3"/>
    <w:rsid w:val="00FB025F"/>
    <w:rsid w:val="00FB7E80"/>
    <w:rsid w:val="00FE6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88FFBB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NormalWeb">
    <w:name w:val="Normal (Web)"/>
    <w:basedOn w:val="Normal"/>
    <w:uiPriority w:val="99"/>
    <w:unhideWhenUsed/>
    <w:rsid w:val="00AC29E2"/>
    <w:pPr>
      <w:spacing w:before="100" w:beforeAutospacing="1" w:after="100" w:afterAutospacing="1"/>
    </w:pPr>
    <w:rPr>
      <w:rFonts w:eastAsiaTheme="minorEastAs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2231</Words>
  <Characters>10682</Characters>
  <Application>Microsoft Office Word</Application>
  <DocSecurity>0</DocSecurity>
  <Lines>89</Lines>
  <Paragraphs>25</Paragraphs>
  <ScaleCrop>false</ScaleCrop>
  <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2018-09-18T15:09:00Z</dcterms:created>
  <dcterms:modified xsi:type="dcterms:W3CDTF">2018-09-18T15:09:00Z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