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3D6A5" w14:textId="77777777" w:rsidR="001D0125" w:rsidRPr="001D0125" w:rsidRDefault="001D0125" w:rsidP="00EE7AD4">
      <w:pPr>
        <w:rPr>
          <w:rFonts w:ascii="Book Antiqua" w:hAnsi="Book Antiqua" w:cs="Arial"/>
          <w:color w:val="000000"/>
          <w:sz w:val="24"/>
          <w:szCs w:val="24"/>
        </w:rPr>
      </w:pPr>
      <w:bookmarkStart w:id="0" w:name="_GoBack"/>
      <w:bookmarkEnd w:id="0"/>
    </w:p>
    <w:p w14:paraId="09EE6AA9" w14:textId="77777777" w:rsidR="001D0125" w:rsidRPr="001D0125" w:rsidRDefault="001D0125" w:rsidP="00EE7AD4">
      <w:pPr>
        <w:jc w:val="center"/>
        <w:rPr>
          <w:rFonts w:ascii="Book Antiqua" w:hAnsi="Book Antiqua" w:cs="Arial"/>
          <w:color w:val="000000"/>
          <w:sz w:val="24"/>
          <w:szCs w:val="24"/>
        </w:rPr>
      </w:pPr>
      <w:r w:rsidRPr="001D0125">
        <w:rPr>
          <w:noProof/>
          <w:sz w:val="24"/>
          <w:szCs w:val="24"/>
        </w:rPr>
        <w:drawing>
          <wp:inline distT="0" distB="0" distL="0" distR="0" wp14:anchorId="56A8654E" wp14:editId="53192164">
            <wp:extent cx="1404000" cy="1065600"/>
            <wp:effectExtent l="0" t="0" r="5715" b="0"/>
            <wp:docPr id="4" name="Picture 4"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04000" cy="1065600"/>
                    </a:xfrm>
                    <a:prstGeom prst="rect">
                      <a:avLst/>
                    </a:prstGeom>
                    <a:noFill/>
                    <a:ln>
                      <a:noFill/>
                    </a:ln>
                  </pic:spPr>
                </pic:pic>
              </a:graphicData>
            </a:graphic>
          </wp:inline>
        </w:drawing>
      </w:r>
    </w:p>
    <w:p w14:paraId="1A7E8C65" w14:textId="6DBAF3D8" w:rsidR="001D0125" w:rsidRPr="001D0125" w:rsidRDefault="00AF6A92" w:rsidP="00EE7AD4">
      <w:pPr>
        <w:tabs>
          <w:tab w:val="right" w:pos="9720"/>
        </w:tabs>
        <w:ind w:right="-82"/>
        <w:outlineLvl w:val="0"/>
        <w:rPr>
          <w:rFonts w:ascii="Book Antiqua" w:hAnsi="Book Antiqua" w:cs="Arial"/>
          <w:b/>
          <w:color w:val="000000"/>
          <w:sz w:val="24"/>
          <w:szCs w:val="24"/>
        </w:rPr>
      </w:pPr>
      <w:r>
        <w:rPr>
          <w:rFonts w:ascii="Book Antiqua" w:hAnsi="Book Antiqua" w:cs="Arial"/>
          <w:b/>
          <w:color w:val="000000"/>
          <w:sz w:val="24"/>
          <w:szCs w:val="24"/>
        </w:rPr>
        <w:t>Upper Tribunal</w:t>
      </w:r>
    </w:p>
    <w:p w14:paraId="03DCBE9C" w14:textId="4B72A066" w:rsidR="001D0125" w:rsidRPr="00AF6A92" w:rsidRDefault="001D0125" w:rsidP="00AF6A92">
      <w:pPr>
        <w:tabs>
          <w:tab w:val="left" w:pos="3906"/>
        </w:tabs>
        <w:rPr>
          <w:b/>
          <w:sz w:val="24"/>
          <w:szCs w:val="24"/>
        </w:rPr>
      </w:pPr>
      <w:r w:rsidRPr="001D0125">
        <w:rPr>
          <w:rFonts w:ascii="Book Antiqua" w:hAnsi="Book Antiqua" w:cs="Arial"/>
          <w:b/>
          <w:color w:val="000000"/>
          <w:sz w:val="24"/>
          <w:szCs w:val="24"/>
        </w:rPr>
        <w:t>(Immigration and Asylum Chamber)</w:t>
      </w:r>
      <w:r w:rsidRPr="001D0125">
        <w:rPr>
          <w:rFonts w:ascii="Book Antiqua" w:hAnsi="Book Antiqua" w:cs="Arial"/>
          <w:b/>
          <w:color w:val="000000"/>
          <w:sz w:val="24"/>
          <w:szCs w:val="24"/>
        </w:rPr>
        <w:tab/>
        <w:t xml:space="preserve">  </w:t>
      </w:r>
      <w:r w:rsidR="00AF6A92">
        <w:rPr>
          <w:rFonts w:ascii="Book Antiqua" w:hAnsi="Book Antiqua" w:cs="Arial"/>
          <w:b/>
          <w:color w:val="000000"/>
          <w:sz w:val="24"/>
          <w:szCs w:val="24"/>
        </w:rPr>
        <w:t xml:space="preserve">              </w:t>
      </w:r>
      <w:r w:rsidRPr="00AF6A92">
        <w:rPr>
          <w:b/>
          <w:sz w:val="24"/>
          <w:szCs w:val="24"/>
        </w:rPr>
        <w:t>Appeal Number HU/22878/2016</w:t>
      </w:r>
    </w:p>
    <w:p w14:paraId="468917D3" w14:textId="77777777" w:rsidR="001D0125" w:rsidRPr="00AF6A92" w:rsidRDefault="001D0125" w:rsidP="00301B09">
      <w:pPr>
        <w:jc w:val="right"/>
        <w:rPr>
          <w:b/>
          <w:sz w:val="24"/>
          <w:szCs w:val="24"/>
        </w:rPr>
      </w:pPr>
    </w:p>
    <w:p w14:paraId="1463D97D" w14:textId="77777777" w:rsidR="001D0125" w:rsidRPr="00AF6A92" w:rsidRDefault="001D0125" w:rsidP="00EE7AD4">
      <w:pPr>
        <w:jc w:val="center"/>
        <w:rPr>
          <w:b/>
          <w:sz w:val="24"/>
          <w:szCs w:val="24"/>
          <w:u w:val="single"/>
        </w:rPr>
      </w:pPr>
      <w:r w:rsidRPr="00AF6A92">
        <w:rPr>
          <w:b/>
          <w:sz w:val="24"/>
          <w:szCs w:val="24"/>
          <w:u w:val="single"/>
        </w:rPr>
        <w:t>THE IMMIGRATION ACTS</w:t>
      </w:r>
    </w:p>
    <w:p w14:paraId="559B5019" w14:textId="77777777" w:rsidR="001D0125" w:rsidRPr="00AF6A92" w:rsidRDefault="001D0125" w:rsidP="00EE7AD4">
      <w:pPr>
        <w:jc w:val="center"/>
        <w:rPr>
          <w:b/>
          <w:sz w:val="24"/>
          <w:szCs w:val="24"/>
          <w:u w:val="single"/>
        </w:rPr>
      </w:pPr>
    </w:p>
    <w:p w14:paraId="425CB80F" w14:textId="73223EA3" w:rsidR="001D0125" w:rsidRPr="00AF6A92" w:rsidRDefault="001D0125" w:rsidP="00EE7AD4">
      <w:pPr>
        <w:rPr>
          <w:b/>
          <w:sz w:val="24"/>
          <w:szCs w:val="24"/>
        </w:rPr>
      </w:pPr>
      <w:r w:rsidRPr="00AF6A92">
        <w:rPr>
          <w:b/>
          <w:sz w:val="24"/>
          <w:szCs w:val="24"/>
        </w:rPr>
        <w:t xml:space="preserve">Heard at Field House                                   </w:t>
      </w:r>
      <w:r w:rsidR="00AF6A92">
        <w:rPr>
          <w:b/>
          <w:sz w:val="24"/>
          <w:szCs w:val="24"/>
        </w:rPr>
        <w:t xml:space="preserve">              </w:t>
      </w:r>
      <w:r w:rsidRPr="00AF6A92">
        <w:rPr>
          <w:b/>
          <w:sz w:val="24"/>
          <w:szCs w:val="24"/>
        </w:rPr>
        <w:t xml:space="preserve">  Decision and Reasons Promulgated</w:t>
      </w:r>
    </w:p>
    <w:p w14:paraId="7A0DDD47" w14:textId="64865607" w:rsidR="001D0125" w:rsidRPr="00AF6A92" w:rsidRDefault="001D0125" w:rsidP="00EE7AD4">
      <w:pPr>
        <w:rPr>
          <w:b/>
          <w:sz w:val="24"/>
          <w:szCs w:val="24"/>
        </w:rPr>
      </w:pPr>
      <w:r w:rsidRPr="00AF6A92">
        <w:rPr>
          <w:b/>
          <w:sz w:val="24"/>
          <w:szCs w:val="24"/>
        </w:rPr>
        <w:t>On 23</w:t>
      </w:r>
      <w:r w:rsidRPr="00AF6A92">
        <w:rPr>
          <w:b/>
          <w:sz w:val="24"/>
          <w:szCs w:val="24"/>
          <w:vertAlign w:val="superscript"/>
        </w:rPr>
        <w:t>rd</w:t>
      </w:r>
      <w:r w:rsidRPr="00AF6A92">
        <w:rPr>
          <w:b/>
          <w:sz w:val="24"/>
          <w:szCs w:val="24"/>
        </w:rPr>
        <w:t xml:space="preserve"> July 2018</w:t>
      </w:r>
      <w:r w:rsidR="00AF6A92">
        <w:rPr>
          <w:b/>
          <w:sz w:val="24"/>
          <w:szCs w:val="24"/>
        </w:rPr>
        <w:tab/>
      </w:r>
      <w:r w:rsidR="00AF6A92">
        <w:rPr>
          <w:b/>
          <w:sz w:val="24"/>
          <w:szCs w:val="24"/>
        </w:rPr>
        <w:tab/>
      </w:r>
      <w:r w:rsidR="00AF6A92">
        <w:rPr>
          <w:b/>
          <w:sz w:val="24"/>
          <w:szCs w:val="24"/>
        </w:rPr>
        <w:tab/>
        <w:t xml:space="preserve">                           </w:t>
      </w:r>
      <w:r w:rsidR="0085142F" w:rsidRPr="00AF6A92">
        <w:rPr>
          <w:b/>
          <w:sz w:val="24"/>
          <w:szCs w:val="24"/>
        </w:rPr>
        <w:t>On 30</w:t>
      </w:r>
      <w:r w:rsidR="00B329F9" w:rsidRPr="00AF6A92">
        <w:rPr>
          <w:b/>
          <w:sz w:val="24"/>
          <w:szCs w:val="24"/>
          <w:vertAlign w:val="superscript"/>
        </w:rPr>
        <w:t>th</w:t>
      </w:r>
      <w:r w:rsidR="00B329F9" w:rsidRPr="00AF6A92">
        <w:rPr>
          <w:b/>
          <w:sz w:val="24"/>
          <w:szCs w:val="24"/>
        </w:rPr>
        <w:t xml:space="preserve"> July 2018</w:t>
      </w:r>
    </w:p>
    <w:p w14:paraId="00EEF817" w14:textId="40979DEF" w:rsidR="001D0125" w:rsidRPr="00AF6A92" w:rsidRDefault="001D0125" w:rsidP="00EE7AD4">
      <w:pPr>
        <w:rPr>
          <w:b/>
          <w:sz w:val="24"/>
          <w:szCs w:val="24"/>
        </w:rPr>
      </w:pPr>
      <w:r w:rsidRPr="00AF6A92">
        <w:rPr>
          <w:b/>
          <w:sz w:val="24"/>
          <w:szCs w:val="24"/>
        </w:rPr>
        <w:t xml:space="preserve">                                                                                               </w:t>
      </w:r>
      <w:r w:rsidR="00B329F9" w:rsidRPr="00AF6A92">
        <w:rPr>
          <w:b/>
          <w:sz w:val="24"/>
          <w:szCs w:val="24"/>
        </w:rPr>
        <w:t xml:space="preserve">                         </w:t>
      </w:r>
    </w:p>
    <w:p w14:paraId="45B0A4D9" w14:textId="77777777" w:rsidR="00AF6A92" w:rsidRDefault="00AF6A92" w:rsidP="00EE7AD4">
      <w:pPr>
        <w:jc w:val="center"/>
        <w:rPr>
          <w:b/>
          <w:sz w:val="24"/>
          <w:szCs w:val="24"/>
        </w:rPr>
      </w:pPr>
    </w:p>
    <w:p w14:paraId="6AB0313E" w14:textId="109F2DE7" w:rsidR="001D0125" w:rsidRPr="00AF6A92" w:rsidRDefault="001D0125" w:rsidP="00EE7AD4">
      <w:pPr>
        <w:jc w:val="center"/>
        <w:rPr>
          <w:b/>
          <w:sz w:val="24"/>
          <w:szCs w:val="24"/>
        </w:rPr>
      </w:pPr>
      <w:r w:rsidRPr="00AF6A92">
        <w:rPr>
          <w:b/>
          <w:sz w:val="24"/>
          <w:szCs w:val="24"/>
        </w:rPr>
        <w:t>Before</w:t>
      </w:r>
    </w:p>
    <w:p w14:paraId="045DFBC8" w14:textId="77777777" w:rsidR="001D0125" w:rsidRPr="00AF6A92" w:rsidRDefault="001D0125" w:rsidP="00EE7AD4">
      <w:pPr>
        <w:jc w:val="center"/>
        <w:rPr>
          <w:b/>
          <w:sz w:val="24"/>
          <w:szCs w:val="24"/>
        </w:rPr>
      </w:pPr>
    </w:p>
    <w:p w14:paraId="2490E7F2" w14:textId="77777777" w:rsidR="001D0125" w:rsidRPr="00AF6A92" w:rsidRDefault="001D0125" w:rsidP="00EE7AD4">
      <w:pPr>
        <w:jc w:val="center"/>
        <w:rPr>
          <w:b/>
          <w:sz w:val="24"/>
          <w:szCs w:val="24"/>
        </w:rPr>
      </w:pPr>
      <w:r w:rsidRPr="00AF6A92">
        <w:rPr>
          <w:b/>
          <w:sz w:val="24"/>
          <w:szCs w:val="24"/>
        </w:rPr>
        <w:t>DEPUTY UPPER TRIBUNAL JUDGE PARKES</w:t>
      </w:r>
    </w:p>
    <w:p w14:paraId="661F02E8" w14:textId="77777777" w:rsidR="001D0125" w:rsidRPr="00AF6A92" w:rsidRDefault="001D0125" w:rsidP="00EE7AD4">
      <w:pPr>
        <w:jc w:val="center"/>
        <w:rPr>
          <w:b/>
          <w:sz w:val="24"/>
          <w:szCs w:val="24"/>
        </w:rPr>
      </w:pPr>
    </w:p>
    <w:p w14:paraId="4EBF6FDF" w14:textId="77777777" w:rsidR="001D0125" w:rsidRPr="00AF6A92" w:rsidRDefault="001D0125" w:rsidP="00EE7AD4">
      <w:pPr>
        <w:jc w:val="center"/>
        <w:rPr>
          <w:b/>
          <w:sz w:val="24"/>
          <w:szCs w:val="24"/>
        </w:rPr>
      </w:pPr>
      <w:r w:rsidRPr="00AF6A92">
        <w:rPr>
          <w:b/>
          <w:sz w:val="24"/>
          <w:szCs w:val="24"/>
        </w:rPr>
        <w:t>Between</w:t>
      </w:r>
    </w:p>
    <w:p w14:paraId="2133A5F1" w14:textId="77777777" w:rsidR="001D0125" w:rsidRPr="00AF6A92" w:rsidRDefault="001D0125" w:rsidP="00EE7AD4">
      <w:pPr>
        <w:jc w:val="center"/>
        <w:rPr>
          <w:b/>
          <w:sz w:val="24"/>
          <w:szCs w:val="24"/>
        </w:rPr>
      </w:pPr>
    </w:p>
    <w:p w14:paraId="5571BF8E" w14:textId="77777777" w:rsidR="001D0125" w:rsidRPr="00AF6A92" w:rsidRDefault="001D0125" w:rsidP="00EE7AD4">
      <w:pPr>
        <w:jc w:val="center"/>
        <w:rPr>
          <w:b/>
          <w:sz w:val="24"/>
          <w:szCs w:val="24"/>
        </w:rPr>
      </w:pPr>
      <w:r w:rsidRPr="00AF6A92">
        <w:rPr>
          <w:b/>
          <w:sz w:val="24"/>
          <w:szCs w:val="24"/>
        </w:rPr>
        <w:t>JUDE OJEMEN</w:t>
      </w:r>
    </w:p>
    <w:p w14:paraId="07CE7C7C" w14:textId="77777777" w:rsidR="001D0125" w:rsidRPr="001D0125" w:rsidRDefault="001D0125" w:rsidP="00EE7AD4">
      <w:pPr>
        <w:jc w:val="center"/>
        <w:rPr>
          <w:sz w:val="24"/>
          <w:szCs w:val="24"/>
        </w:rPr>
      </w:pPr>
      <w:r w:rsidRPr="001D0125">
        <w:rPr>
          <w:sz w:val="24"/>
          <w:szCs w:val="24"/>
        </w:rPr>
        <w:t>(ANONYMITY DIRECTION NOT MADE)</w:t>
      </w:r>
    </w:p>
    <w:p w14:paraId="178A68FB" w14:textId="77777777" w:rsidR="001D0125" w:rsidRPr="001D0125" w:rsidRDefault="001D0125" w:rsidP="00EE7AD4">
      <w:pPr>
        <w:jc w:val="right"/>
        <w:rPr>
          <w:sz w:val="24"/>
          <w:szCs w:val="24"/>
          <w:u w:val="single"/>
        </w:rPr>
      </w:pPr>
      <w:r w:rsidRPr="001D0125">
        <w:rPr>
          <w:sz w:val="24"/>
          <w:szCs w:val="24"/>
          <w:u w:val="single"/>
        </w:rPr>
        <w:t>Appellant</w:t>
      </w:r>
    </w:p>
    <w:p w14:paraId="33EA270C" w14:textId="77777777" w:rsidR="001D0125" w:rsidRPr="00AF6A92" w:rsidRDefault="001D0125" w:rsidP="00EE7AD4">
      <w:pPr>
        <w:jc w:val="center"/>
        <w:rPr>
          <w:b/>
          <w:sz w:val="24"/>
          <w:szCs w:val="24"/>
        </w:rPr>
      </w:pPr>
      <w:r w:rsidRPr="00AF6A92">
        <w:rPr>
          <w:b/>
          <w:sz w:val="24"/>
          <w:szCs w:val="24"/>
        </w:rPr>
        <w:t>And</w:t>
      </w:r>
    </w:p>
    <w:p w14:paraId="38E8C43D" w14:textId="77777777" w:rsidR="001D0125" w:rsidRPr="00AF6A92" w:rsidRDefault="001D0125" w:rsidP="00EE7AD4">
      <w:pPr>
        <w:jc w:val="center"/>
        <w:rPr>
          <w:b/>
          <w:sz w:val="24"/>
          <w:szCs w:val="24"/>
        </w:rPr>
      </w:pPr>
      <w:r w:rsidRPr="00AF6A92">
        <w:rPr>
          <w:b/>
          <w:sz w:val="24"/>
          <w:szCs w:val="24"/>
        </w:rPr>
        <w:t xml:space="preserve"> </w:t>
      </w:r>
    </w:p>
    <w:p w14:paraId="54BD1992" w14:textId="77777777" w:rsidR="001D0125" w:rsidRPr="00AF6A92" w:rsidRDefault="001D0125" w:rsidP="00EE7AD4">
      <w:pPr>
        <w:jc w:val="center"/>
        <w:rPr>
          <w:b/>
          <w:sz w:val="24"/>
          <w:szCs w:val="24"/>
        </w:rPr>
      </w:pPr>
      <w:r w:rsidRPr="00AF6A92">
        <w:rPr>
          <w:b/>
          <w:sz w:val="24"/>
          <w:szCs w:val="24"/>
        </w:rPr>
        <w:t>SECRETARY OF STATE FOR THE HOME DEPARTMENT</w:t>
      </w:r>
    </w:p>
    <w:p w14:paraId="758AE5D4" w14:textId="77777777" w:rsidR="001D0125" w:rsidRPr="001D0125" w:rsidRDefault="001D0125" w:rsidP="00EE7AD4">
      <w:pPr>
        <w:jc w:val="right"/>
        <w:rPr>
          <w:sz w:val="24"/>
          <w:szCs w:val="24"/>
          <w:u w:val="single"/>
        </w:rPr>
      </w:pPr>
      <w:r w:rsidRPr="001D0125">
        <w:rPr>
          <w:sz w:val="24"/>
          <w:szCs w:val="24"/>
          <w:u w:val="single"/>
        </w:rPr>
        <w:t>Respondent</w:t>
      </w:r>
    </w:p>
    <w:p w14:paraId="6C9FF684" w14:textId="27228982" w:rsidR="001D0125" w:rsidRDefault="001D0125" w:rsidP="00EE7AD4">
      <w:pPr>
        <w:jc w:val="right"/>
        <w:rPr>
          <w:sz w:val="24"/>
          <w:szCs w:val="24"/>
          <w:u w:val="single"/>
        </w:rPr>
      </w:pPr>
    </w:p>
    <w:p w14:paraId="7302108C" w14:textId="70F472B9" w:rsidR="00AF6A92" w:rsidRDefault="00AF6A92" w:rsidP="00AF6A92">
      <w:pPr>
        <w:rPr>
          <w:b/>
          <w:sz w:val="24"/>
          <w:szCs w:val="24"/>
          <w:u w:val="single"/>
        </w:rPr>
      </w:pPr>
      <w:r>
        <w:rPr>
          <w:b/>
          <w:sz w:val="24"/>
          <w:szCs w:val="24"/>
          <w:u w:val="single"/>
        </w:rPr>
        <w:t>Representation:</w:t>
      </w:r>
    </w:p>
    <w:p w14:paraId="6CE225CE" w14:textId="77777777" w:rsidR="00AF6A92" w:rsidRPr="00AF6A92" w:rsidRDefault="00AF6A92" w:rsidP="00AF6A92">
      <w:pPr>
        <w:rPr>
          <w:b/>
          <w:sz w:val="24"/>
          <w:szCs w:val="24"/>
          <w:u w:val="single"/>
        </w:rPr>
      </w:pPr>
    </w:p>
    <w:p w14:paraId="4FC11393" w14:textId="71B918E0" w:rsidR="001D0125" w:rsidRPr="001D0125" w:rsidRDefault="001D0125" w:rsidP="00EE7AD4">
      <w:pPr>
        <w:rPr>
          <w:sz w:val="24"/>
          <w:szCs w:val="24"/>
        </w:rPr>
      </w:pPr>
      <w:r w:rsidRPr="001D0125">
        <w:rPr>
          <w:sz w:val="24"/>
          <w:szCs w:val="24"/>
        </w:rPr>
        <w:t xml:space="preserve">For the Appellant: </w:t>
      </w:r>
      <w:r w:rsidR="00AF6A92">
        <w:rPr>
          <w:sz w:val="24"/>
          <w:szCs w:val="24"/>
        </w:rPr>
        <w:t xml:space="preserve">         </w:t>
      </w:r>
      <w:r>
        <w:rPr>
          <w:sz w:val="24"/>
          <w:szCs w:val="24"/>
        </w:rPr>
        <w:t xml:space="preserve">Mr </w:t>
      </w:r>
      <w:r w:rsidR="00162FA2">
        <w:rPr>
          <w:sz w:val="24"/>
          <w:szCs w:val="24"/>
        </w:rPr>
        <w:t>E Pipi</w:t>
      </w:r>
      <w:r w:rsidRPr="001D0125">
        <w:rPr>
          <w:sz w:val="24"/>
          <w:szCs w:val="24"/>
        </w:rPr>
        <w:t xml:space="preserve"> (</w:t>
      </w:r>
      <w:r w:rsidR="00162FA2">
        <w:rPr>
          <w:sz w:val="24"/>
          <w:szCs w:val="24"/>
        </w:rPr>
        <w:t>Counsel, instructed by Fairview Solicitors Ltd</w:t>
      </w:r>
      <w:r w:rsidRPr="001D0125">
        <w:rPr>
          <w:sz w:val="24"/>
          <w:szCs w:val="24"/>
        </w:rPr>
        <w:t>)</w:t>
      </w:r>
    </w:p>
    <w:p w14:paraId="3D18BE5A" w14:textId="57BE5466" w:rsidR="001D0125" w:rsidRPr="001D0125" w:rsidRDefault="001D0125" w:rsidP="00EE7AD4">
      <w:pPr>
        <w:rPr>
          <w:sz w:val="24"/>
          <w:szCs w:val="24"/>
        </w:rPr>
      </w:pPr>
      <w:r w:rsidRPr="001D0125">
        <w:rPr>
          <w:sz w:val="24"/>
          <w:szCs w:val="24"/>
        </w:rPr>
        <w:t xml:space="preserve">For the Respondent: </w:t>
      </w:r>
      <w:r w:rsidR="00AF6A92">
        <w:rPr>
          <w:sz w:val="24"/>
          <w:szCs w:val="24"/>
        </w:rPr>
        <w:t xml:space="preserve">      </w:t>
      </w:r>
      <w:r w:rsidRPr="001D0125">
        <w:rPr>
          <w:sz w:val="24"/>
          <w:szCs w:val="24"/>
        </w:rPr>
        <w:t>M</w:t>
      </w:r>
      <w:r w:rsidR="00162FA2">
        <w:rPr>
          <w:sz w:val="24"/>
          <w:szCs w:val="24"/>
        </w:rPr>
        <w:t>s K Pal</w:t>
      </w:r>
      <w:r w:rsidRPr="001D0125">
        <w:rPr>
          <w:sz w:val="24"/>
          <w:szCs w:val="24"/>
        </w:rPr>
        <w:t xml:space="preserve"> (Home Office Presenting Officer)</w:t>
      </w:r>
    </w:p>
    <w:p w14:paraId="794B5543" w14:textId="77777777" w:rsidR="001D0125" w:rsidRPr="001D0125" w:rsidRDefault="001D0125" w:rsidP="00EE7AD4">
      <w:pPr>
        <w:rPr>
          <w:sz w:val="24"/>
          <w:szCs w:val="24"/>
        </w:rPr>
      </w:pPr>
    </w:p>
    <w:p w14:paraId="5A12F1FC" w14:textId="77777777" w:rsidR="001D0125" w:rsidRPr="00AF6A92" w:rsidRDefault="001D0125" w:rsidP="00EE7AD4">
      <w:pPr>
        <w:jc w:val="center"/>
        <w:rPr>
          <w:b/>
          <w:sz w:val="24"/>
          <w:szCs w:val="24"/>
        </w:rPr>
      </w:pPr>
      <w:r w:rsidRPr="00AF6A92">
        <w:rPr>
          <w:b/>
          <w:sz w:val="24"/>
          <w:szCs w:val="24"/>
          <w:u w:val="single"/>
        </w:rPr>
        <w:t>DETERMINATION AND REASONS</w:t>
      </w:r>
    </w:p>
    <w:p w14:paraId="23DA3A1F" w14:textId="77777777" w:rsidR="001D0125" w:rsidRPr="001D0125" w:rsidRDefault="001D0125" w:rsidP="00EE7AD4">
      <w:pPr>
        <w:rPr>
          <w:sz w:val="24"/>
          <w:szCs w:val="24"/>
        </w:rPr>
      </w:pPr>
    </w:p>
    <w:p w14:paraId="05F48E7B" w14:textId="1FA92350" w:rsidR="001D0125" w:rsidRPr="001D0125" w:rsidRDefault="001D0125" w:rsidP="001D0125">
      <w:pPr>
        <w:numPr>
          <w:ilvl w:val="0"/>
          <w:numId w:val="1"/>
        </w:numPr>
        <w:rPr>
          <w:sz w:val="24"/>
          <w:szCs w:val="24"/>
        </w:rPr>
      </w:pPr>
      <w:r w:rsidRPr="001D0125">
        <w:rPr>
          <w:sz w:val="24"/>
          <w:szCs w:val="24"/>
        </w:rPr>
        <w:t>The</w:t>
      </w:r>
      <w:r w:rsidR="00162FA2">
        <w:rPr>
          <w:sz w:val="24"/>
          <w:szCs w:val="24"/>
        </w:rPr>
        <w:t xml:space="preserve"> Appellant's application for leave to remain </w:t>
      </w:r>
      <w:proofErr w:type="gramStart"/>
      <w:r w:rsidR="00162FA2">
        <w:rPr>
          <w:sz w:val="24"/>
          <w:szCs w:val="24"/>
        </w:rPr>
        <w:t>on the basis of</w:t>
      </w:r>
      <w:proofErr w:type="gramEnd"/>
      <w:r w:rsidR="00162FA2">
        <w:rPr>
          <w:sz w:val="24"/>
          <w:szCs w:val="24"/>
        </w:rPr>
        <w:t xml:space="preserve"> continuous residence from 1995 was rejected by the Secretary of State. The Appellant's appeal was heard by First-tier Tribunal Judge Gibbs at Hatton Cross on the 21</w:t>
      </w:r>
      <w:r w:rsidR="00162FA2" w:rsidRPr="00162FA2">
        <w:rPr>
          <w:sz w:val="24"/>
          <w:szCs w:val="24"/>
          <w:vertAlign w:val="superscript"/>
        </w:rPr>
        <w:t>st</w:t>
      </w:r>
      <w:r w:rsidR="00162FA2">
        <w:rPr>
          <w:sz w:val="24"/>
          <w:szCs w:val="24"/>
        </w:rPr>
        <w:t xml:space="preserve"> of February 2018. The decision in the appeal was promulgated on the 22</w:t>
      </w:r>
      <w:r w:rsidR="00162FA2" w:rsidRPr="00162FA2">
        <w:rPr>
          <w:sz w:val="24"/>
          <w:szCs w:val="24"/>
          <w:vertAlign w:val="superscript"/>
        </w:rPr>
        <w:t>nd</w:t>
      </w:r>
      <w:r w:rsidR="00162FA2">
        <w:rPr>
          <w:sz w:val="24"/>
          <w:szCs w:val="24"/>
        </w:rPr>
        <w:t xml:space="preserve"> of March 2018.</w:t>
      </w:r>
    </w:p>
    <w:p w14:paraId="120AC8A6" w14:textId="77777777" w:rsidR="001D0125" w:rsidRPr="001D0125" w:rsidRDefault="001D0125" w:rsidP="00EE7AD4">
      <w:pPr>
        <w:rPr>
          <w:sz w:val="24"/>
          <w:szCs w:val="24"/>
        </w:rPr>
      </w:pPr>
    </w:p>
    <w:p w14:paraId="42C0321D" w14:textId="1CCB4478" w:rsidR="001D0125" w:rsidRPr="001D0125" w:rsidRDefault="001D0125" w:rsidP="001D0125">
      <w:pPr>
        <w:numPr>
          <w:ilvl w:val="0"/>
          <w:numId w:val="1"/>
        </w:numPr>
        <w:rPr>
          <w:sz w:val="24"/>
          <w:szCs w:val="24"/>
        </w:rPr>
      </w:pPr>
      <w:r w:rsidRPr="001D0125">
        <w:rPr>
          <w:sz w:val="24"/>
          <w:szCs w:val="24"/>
        </w:rPr>
        <w:t>The</w:t>
      </w:r>
      <w:r w:rsidR="00162FA2">
        <w:rPr>
          <w:sz w:val="24"/>
          <w:szCs w:val="24"/>
        </w:rPr>
        <w:t xml:space="preserve"> Judge rejected the Appellant's claims </w:t>
      </w:r>
      <w:proofErr w:type="gramStart"/>
      <w:r w:rsidR="00162FA2">
        <w:rPr>
          <w:sz w:val="24"/>
          <w:szCs w:val="24"/>
        </w:rPr>
        <w:t>with regard to</w:t>
      </w:r>
      <w:proofErr w:type="gramEnd"/>
      <w:r w:rsidR="00162FA2">
        <w:rPr>
          <w:sz w:val="24"/>
          <w:szCs w:val="24"/>
        </w:rPr>
        <w:t xml:space="preserve"> his length of residence given the lack of supporting evidence discussed in paragraphs 7 to 11. However the Judge in paragraph 12 stated “In the face of Ms </w:t>
      </w:r>
      <w:proofErr w:type="spellStart"/>
      <w:r w:rsidR="00162FA2">
        <w:rPr>
          <w:sz w:val="24"/>
          <w:szCs w:val="24"/>
        </w:rPr>
        <w:t>Hunjan’s</w:t>
      </w:r>
      <w:proofErr w:type="spellEnd"/>
      <w:r w:rsidR="00162FA2">
        <w:rPr>
          <w:sz w:val="24"/>
          <w:szCs w:val="24"/>
        </w:rPr>
        <w:t xml:space="preserve"> comprehensive cross-examination I find that the Appellant appeared credible.” The Judge then went to find that the absence of reliable corroborative documentary evidence led the Judge to find that the Appellant had not discharged the burden of proof.</w:t>
      </w:r>
    </w:p>
    <w:p w14:paraId="624F6A02" w14:textId="77777777" w:rsidR="001D0125" w:rsidRPr="001D0125" w:rsidRDefault="001D0125" w:rsidP="00EE7AD4">
      <w:pPr>
        <w:rPr>
          <w:sz w:val="24"/>
          <w:szCs w:val="24"/>
        </w:rPr>
      </w:pPr>
    </w:p>
    <w:p w14:paraId="1BA2C903" w14:textId="4DACD9E6" w:rsidR="001D0125" w:rsidRPr="001D0125" w:rsidRDefault="001D0125" w:rsidP="001D0125">
      <w:pPr>
        <w:numPr>
          <w:ilvl w:val="0"/>
          <w:numId w:val="1"/>
        </w:numPr>
        <w:rPr>
          <w:sz w:val="24"/>
          <w:szCs w:val="24"/>
        </w:rPr>
      </w:pPr>
      <w:r w:rsidRPr="001D0125">
        <w:rPr>
          <w:sz w:val="24"/>
          <w:szCs w:val="24"/>
        </w:rPr>
        <w:t>The</w:t>
      </w:r>
      <w:r w:rsidR="00162FA2">
        <w:rPr>
          <w:sz w:val="24"/>
          <w:szCs w:val="24"/>
        </w:rPr>
        <w:t xml:space="preserve"> grounds complain that the Judge appeared to have dismissed the appeal on the basis that the Appellant had not provided corroborative evidence which is not a legal requirement and had accepted the Appellant as credible and had not given reasons why removal was not in breach of </w:t>
      </w:r>
      <w:r w:rsidR="00162FA2">
        <w:rPr>
          <w:sz w:val="24"/>
          <w:szCs w:val="24"/>
        </w:rPr>
        <w:lastRenderedPageBreak/>
        <w:t>article 8. Permission was granted with First-tier Tribunal Judge Hollingworth also referring to the contradiction in paragraph 12.</w:t>
      </w:r>
    </w:p>
    <w:p w14:paraId="4F063C59" w14:textId="77777777" w:rsidR="001D0125" w:rsidRPr="001D0125" w:rsidRDefault="001D0125" w:rsidP="00EE7AD4">
      <w:pPr>
        <w:rPr>
          <w:sz w:val="24"/>
          <w:szCs w:val="24"/>
        </w:rPr>
      </w:pPr>
    </w:p>
    <w:p w14:paraId="1534BAC1" w14:textId="77777777" w:rsidR="00162FA2" w:rsidRDefault="00162FA2" w:rsidP="001D0125">
      <w:pPr>
        <w:numPr>
          <w:ilvl w:val="0"/>
          <w:numId w:val="1"/>
        </w:numPr>
        <w:rPr>
          <w:sz w:val="24"/>
          <w:szCs w:val="24"/>
        </w:rPr>
      </w:pPr>
      <w:r>
        <w:rPr>
          <w:sz w:val="24"/>
          <w:szCs w:val="24"/>
        </w:rPr>
        <w:t xml:space="preserve">Corroboration is not a legal requirement but a Judge is perfectly entitled to have regard to supporting evidence that might reasonably be expected but which is not provided and for which there is no adequate explanation. This is a feature that commonly arises in long residence cases and the reasons given by the Judge in paragraphs 7 to 11 would have sufficed but for the contents of paragraph 12. </w:t>
      </w:r>
    </w:p>
    <w:p w14:paraId="22ED44FF" w14:textId="77777777" w:rsidR="00162FA2" w:rsidRDefault="00162FA2" w:rsidP="00162FA2">
      <w:pPr>
        <w:pStyle w:val="ListParagraph"/>
        <w:rPr>
          <w:sz w:val="24"/>
          <w:szCs w:val="24"/>
        </w:rPr>
      </w:pPr>
    </w:p>
    <w:p w14:paraId="3D460E61" w14:textId="564246F5" w:rsidR="001D0125" w:rsidRPr="001D0125" w:rsidRDefault="00162FA2" w:rsidP="001D0125">
      <w:pPr>
        <w:numPr>
          <w:ilvl w:val="0"/>
          <w:numId w:val="1"/>
        </w:numPr>
        <w:rPr>
          <w:sz w:val="24"/>
          <w:szCs w:val="24"/>
        </w:rPr>
      </w:pPr>
      <w:r>
        <w:rPr>
          <w:sz w:val="24"/>
          <w:szCs w:val="24"/>
        </w:rPr>
        <w:t xml:space="preserve">Either the Appellant is credible in which case he had discharged the burden of proof or the evidence is insufficient to discharge the burden of proof. </w:t>
      </w:r>
      <w:r w:rsidR="00376E06">
        <w:rPr>
          <w:sz w:val="24"/>
          <w:szCs w:val="24"/>
        </w:rPr>
        <w:t>It is not possible to reconcile the findings in paragraphs 7 to 11 with the observation in paragraph 12</w:t>
      </w:r>
      <w:r w:rsidR="009D56F2">
        <w:rPr>
          <w:sz w:val="24"/>
          <w:szCs w:val="24"/>
        </w:rPr>
        <w:t xml:space="preserve">. It is an unhappy choice of words but a formula that has the effect of undermining the previous reasoning provided. In the circumstances I regret that I find that the decision cannot stand and that it </w:t>
      </w:r>
      <w:proofErr w:type="gramStart"/>
      <w:r w:rsidR="009D56F2">
        <w:rPr>
          <w:sz w:val="24"/>
          <w:szCs w:val="24"/>
        </w:rPr>
        <w:t>has to</w:t>
      </w:r>
      <w:proofErr w:type="gramEnd"/>
      <w:r w:rsidR="009D56F2">
        <w:rPr>
          <w:sz w:val="24"/>
          <w:szCs w:val="24"/>
        </w:rPr>
        <w:t xml:space="preserve"> be set aside and remitted to the First-tier Tribunal to be heard by a Judge other than Judge Gibbs. </w:t>
      </w:r>
      <w:proofErr w:type="gramStart"/>
      <w:r w:rsidR="009D56F2">
        <w:rPr>
          <w:sz w:val="24"/>
          <w:szCs w:val="24"/>
        </w:rPr>
        <w:t>Obviously</w:t>
      </w:r>
      <w:proofErr w:type="gramEnd"/>
      <w:r w:rsidR="009D56F2">
        <w:rPr>
          <w:sz w:val="24"/>
          <w:szCs w:val="24"/>
        </w:rPr>
        <w:t xml:space="preserve"> the hearing will be de novo, with no findings preserved. </w:t>
      </w:r>
    </w:p>
    <w:p w14:paraId="43A2763B" w14:textId="77777777" w:rsidR="001D0125" w:rsidRPr="001D0125" w:rsidRDefault="001D0125" w:rsidP="00EE7AD4">
      <w:pPr>
        <w:rPr>
          <w:sz w:val="24"/>
          <w:szCs w:val="24"/>
        </w:rPr>
      </w:pPr>
      <w:r w:rsidRPr="001D0125">
        <w:rPr>
          <w:sz w:val="24"/>
          <w:szCs w:val="24"/>
        </w:rPr>
        <w:t xml:space="preserve"> </w:t>
      </w:r>
    </w:p>
    <w:p w14:paraId="4A9E8ADA" w14:textId="77777777" w:rsidR="001D0125" w:rsidRPr="001D0125" w:rsidRDefault="001D0125" w:rsidP="00EE7AD4">
      <w:pPr>
        <w:rPr>
          <w:sz w:val="24"/>
          <w:szCs w:val="24"/>
        </w:rPr>
      </w:pPr>
      <w:r w:rsidRPr="001D0125">
        <w:rPr>
          <w:sz w:val="24"/>
          <w:szCs w:val="24"/>
        </w:rPr>
        <w:t>CONCLUSIONS</w:t>
      </w:r>
    </w:p>
    <w:p w14:paraId="3F41A9BB" w14:textId="77777777" w:rsidR="001D0125" w:rsidRPr="001D0125" w:rsidRDefault="001D0125" w:rsidP="00EE7AD4">
      <w:pPr>
        <w:rPr>
          <w:sz w:val="24"/>
          <w:szCs w:val="24"/>
        </w:rPr>
      </w:pPr>
    </w:p>
    <w:p w14:paraId="55195149" w14:textId="3B030219" w:rsidR="001D0125" w:rsidRPr="001D0125" w:rsidRDefault="001D0125" w:rsidP="00EE7AD4">
      <w:pPr>
        <w:rPr>
          <w:sz w:val="24"/>
          <w:szCs w:val="24"/>
        </w:rPr>
      </w:pPr>
      <w:r w:rsidRPr="001D0125">
        <w:rPr>
          <w:sz w:val="24"/>
          <w:szCs w:val="24"/>
        </w:rPr>
        <w:t>The making of the decision of the First-tier Tribunal involve</w:t>
      </w:r>
      <w:r w:rsidR="009D56F2">
        <w:rPr>
          <w:sz w:val="24"/>
          <w:szCs w:val="24"/>
        </w:rPr>
        <w:t>d</w:t>
      </w:r>
      <w:r w:rsidRPr="001D0125">
        <w:rPr>
          <w:sz w:val="24"/>
          <w:szCs w:val="24"/>
        </w:rPr>
        <w:t xml:space="preserve"> the making of an error on a point of law.</w:t>
      </w:r>
    </w:p>
    <w:p w14:paraId="47503C01" w14:textId="77777777" w:rsidR="001D0125" w:rsidRPr="001D0125" w:rsidRDefault="001D0125" w:rsidP="00EE7AD4">
      <w:pPr>
        <w:rPr>
          <w:sz w:val="24"/>
          <w:szCs w:val="24"/>
        </w:rPr>
      </w:pPr>
    </w:p>
    <w:p w14:paraId="6C1ACE13" w14:textId="6ECF853F" w:rsidR="001D0125" w:rsidRDefault="001D0125" w:rsidP="00EE7AD4">
      <w:pPr>
        <w:rPr>
          <w:sz w:val="24"/>
          <w:szCs w:val="24"/>
        </w:rPr>
      </w:pPr>
      <w:r w:rsidRPr="001D0125">
        <w:rPr>
          <w:sz w:val="24"/>
          <w:szCs w:val="24"/>
        </w:rPr>
        <w:t>I set aside the decision.</w:t>
      </w:r>
    </w:p>
    <w:p w14:paraId="2A37AB50" w14:textId="34B3E56B" w:rsidR="009D56F2" w:rsidRDefault="009D56F2" w:rsidP="00EE7AD4">
      <w:pPr>
        <w:rPr>
          <w:sz w:val="24"/>
          <w:szCs w:val="24"/>
        </w:rPr>
      </w:pPr>
    </w:p>
    <w:p w14:paraId="74750D0A" w14:textId="52C0C0BE" w:rsidR="009D56F2" w:rsidRPr="001D0125" w:rsidRDefault="009D56F2" w:rsidP="00EE7AD4">
      <w:pPr>
        <w:rPr>
          <w:sz w:val="24"/>
          <w:szCs w:val="24"/>
        </w:rPr>
      </w:pPr>
      <w:r>
        <w:rPr>
          <w:sz w:val="24"/>
          <w:szCs w:val="24"/>
        </w:rPr>
        <w:t>The appeal is remitted to the First-tier Tribunal at Hatton Cross to be heard by a First-tier Tribunal Judge other than Judge Gibbs.</w:t>
      </w:r>
    </w:p>
    <w:p w14:paraId="5B609554" w14:textId="77777777" w:rsidR="001D0125" w:rsidRPr="001D0125" w:rsidRDefault="001D0125" w:rsidP="00EE7AD4">
      <w:pPr>
        <w:rPr>
          <w:sz w:val="24"/>
          <w:szCs w:val="24"/>
        </w:rPr>
      </w:pPr>
    </w:p>
    <w:p w14:paraId="234D9D0C" w14:textId="77777777" w:rsidR="001D0125" w:rsidRPr="001D0125" w:rsidRDefault="001D0125" w:rsidP="00EE7AD4">
      <w:pPr>
        <w:rPr>
          <w:sz w:val="24"/>
          <w:szCs w:val="24"/>
        </w:rPr>
      </w:pPr>
      <w:r w:rsidRPr="001D0125">
        <w:rPr>
          <w:sz w:val="24"/>
          <w:szCs w:val="24"/>
        </w:rPr>
        <w:t>Anonymity</w:t>
      </w:r>
    </w:p>
    <w:p w14:paraId="738E8D8E" w14:textId="77777777" w:rsidR="001D0125" w:rsidRPr="001D0125" w:rsidRDefault="001D0125" w:rsidP="00EE7AD4">
      <w:pPr>
        <w:rPr>
          <w:sz w:val="24"/>
          <w:szCs w:val="24"/>
        </w:rPr>
      </w:pPr>
    </w:p>
    <w:p w14:paraId="3ED96344" w14:textId="39FA8D86" w:rsidR="001D0125" w:rsidRPr="001D0125" w:rsidRDefault="001D0125" w:rsidP="00EE7AD4">
      <w:pPr>
        <w:rPr>
          <w:sz w:val="24"/>
          <w:szCs w:val="24"/>
        </w:rPr>
      </w:pPr>
      <w:r w:rsidRPr="001D0125">
        <w:rPr>
          <w:sz w:val="24"/>
          <w:szCs w:val="24"/>
        </w:rPr>
        <w:t xml:space="preserve">The First-tier Tribunal </w:t>
      </w:r>
      <w:r w:rsidR="009D56F2">
        <w:rPr>
          <w:sz w:val="24"/>
          <w:szCs w:val="24"/>
        </w:rPr>
        <w:t xml:space="preserve">did not make </w:t>
      </w:r>
      <w:r w:rsidRPr="001D0125">
        <w:rPr>
          <w:sz w:val="24"/>
          <w:szCs w:val="24"/>
        </w:rPr>
        <w:t>an order pursuant to rule 45(4)(</w:t>
      </w:r>
      <w:proofErr w:type="spellStart"/>
      <w:r w:rsidRPr="001D0125">
        <w:rPr>
          <w:sz w:val="24"/>
          <w:szCs w:val="24"/>
        </w:rPr>
        <w:t>i</w:t>
      </w:r>
      <w:proofErr w:type="spellEnd"/>
      <w:r w:rsidRPr="001D0125">
        <w:rPr>
          <w:sz w:val="24"/>
          <w:szCs w:val="24"/>
        </w:rPr>
        <w:t>) of the Asylum and Immigration Tribunal (Procedure) Rules 2005</w:t>
      </w:r>
      <w:r w:rsidR="009D56F2">
        <w:rPr>
          <w:sz w:val="24"/>
          <w:szCs w:val="24"/>
        </w:rPr>
        <w:t xml:space="preserve"> and I make no order.</w:t>
      </w:r>
    </w:p>
    <w:p w14:paraId="34C20A16" w14:textId="77777777" w:rsidR="001D0125" w:rsidRPr="001D0125" w:rsidRDefault="001D0125" w:rsidP="00EE7AD4">
      <w:pPr>
        <w:rPr>
          <w:sz w:val="24"/>
          <w:szCs w:val="24"/>
        </w:rPr>
      </w:pPr>
    </w:p>
    <w:p w14:paraId="30B8926E" w14:textId="77777777" w:rsidR="001D0125" w:rsidRPr="001D0125" w:rsidRDefault="001D0125" w:rsidP="00EE7AD4">
      <w:pPr>
        <w:rPr>
          <w:sz w:val="24"/>
          <w:szCs w:val="24"/>
        </w:rPr>
      </w:pPr>
      <w:r w:rsidRPr="001D0125">
        <w:rPr>
          <w:sz w:val="24"/>
          <w:szCs w:val="24"/>
        </w:rPr>
        <w:t>Fee Award</w:t>
      </w:r>
    </w:p>
    <w:p w14:paraId="33D66665" w14:textId="77777777" w:rsidR="001D0125" w:rsidRPr="001D0125" w:rsidRDefault="001D0125" w:rsidP="00EE7AD4">
      <w:pPr>
        <w:rPr>
          <w:sz w:val="24"/>
          <w:szCs w:val="24"/>
        </w:rPr>
      </w:pPr>
    </w:p>
    <w:p w14:paraId="432301C4" w14:textId="1C77A179" w:rsidR="001D0125" w:rsidRPr="001D0125" w:rsidRDefault="001D0125" w:rsidP="00EE7AD4">
      <w:pPr>
        <w:rPr>
          <w:sz w:val="24"/>
          <w:szCs w:val="24"/>
        </w:rPr>
      </w:pPr>
      <w:r w:rsidRPr="001D0125">
        <w:rPr>
          <w:sz w:val="24"/>
          <w:szCs w:val="24"/>
        </w:rPr>
        <w:t xml:space="preserve">In </w:t>
      </w:r>
      <w:r w:rsidR="009D56F2">
        <w:rPr>
          <w:sz w:val="24"/>
          <w:szCs w:val="24"/>
        </w:rPr>
        <w:t xml:space="preserve">setting </w:t>
      </w:r>
      <w:proofErr w:type="gramStart"/>
      <w:r w:rsidR="009D56F2">
        <w:rPr>
          <w:sz w:val="24"/>
          <w:szCs w:val="24"/>
        </w:rPr>
        <w:t>aside</w:t>
      </w:r>
      <w:proofErr w:type="gramEnd"/>
      <w:r w:rsidR="009D56F2">
        <w:rPr>
          <w:sz w:val="24"/>
          <w:szCs w:val="24"/>
        </w:rPr>
        <w:t xml:space="preserve"> the decision I make no fee award which remains a matter for the First-tier Tribunal at the conclusion of the remitted hearing.</w:t>
      </w:r>
    </w:p>
    <w:p w14:paraId="31078436" w14:textId="77777777" w:rsidR="001D0125" w:rsidRPr="001D0125" w:rsidRDefault="001D0125" w:rsidP="00EE7AD4">
      <w:pPr>
        <w:rPr>
          <w:sz w:val="24"/>
          <w:szCs w:val="24"/>
        </w:rPr>
      </w:pPr>
    </w:p>
    <w:p w14:paraId="0867D474" w14:textId="1FFA9C04" w:rsidR="001D0125" w:rsidRPr="001D0125" w:rsidRDefault="001D0125" w:rsidP="00EE7AD4">
      <w:pPr>
        <w:rPr>
          <w:sz w:val="24"/>
          <w:szCs w:val="24"/>
        </w:rPr>
      </w:pPr>
      <w:r w:rsidRPr="001D0125">
        <w:rPr>
          <w:sz w:val="24"/>
          <w:szCs w:val="24"/>
        </w:rPr>
        <w:t>Signed:</w:t>
      </w:r>
      <w:r w:rsidR="009D56F2">
        <w:rPr>
          <w:sz w:val="24"/>
          <w:szCs w:val="24"/>
        </w:rPr>
        <w:t xml:space="preserve"> </w:t>
      </w:r>
    </w:p>
    <w:p w14:paraId="124E0889" w14:textId="6396D397" w:rsidR="001D0125" w:rsidRPr="001D0125" w:rsidRDefault="001D0125" w:rsidP="00EE7AD4">
      <w:pPr>
        <w:rPr>
          <w:sz w:val="24"/>
          <w:szCs w:val="24"/>
        </w:rPr>
      </w:pPr>
    </w:p>
    <w:p w14:paraId="566D0FD2" w14:textId="2C4041D7" w:rsidR="00AF6A92" w:rsidRDefault="00AF6A92" w:rsidP="00EE7AD4">
      <w:pPr>
        <w:rPr>
          <w:sz w:val="24"/>
          <w:szCs w:val="24"/>
        </w:rPr>
      </w:pPr>
      <w:r>
        <w:rPr>
          <w:noProof/>
          <w:sz w:val="24"/>
          <w:szCs w:val="24"/>
        </w:rPr>
        <mc:AlternateContent>
          <mc:Choice Requires="wpi">
            <w:drawing>
              <wp:anchor distT="0" distB="0" distL="114300" distR="114300" simplePos="0" relativeHeight="251663360" behindDoc="0" locked="0" layoutInCell="1" allowOverlap="1" wp14:anchorId="20C0011C" wp14:editId="18906B90">
                <wp:simplePos x="0" y="0"/>
                <wp:positionH relativeFrom="column">
                  <wp:posOffset>906145</wp:posOffset>
                </wp:positionH>
                <wp:positionV relativeFrom="paragraph">
                  <wp:posOffset>-182245</wp:posOffset>
                </wp:positionV>
                <wp:extent cx="1250440" cy="480060"/>
                <wp:effectExtent l="38100" t="38100" r="45085" b="53340"/>
                <wp:wrapNone/>
                <wp:docPr id="6"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1250440" cy="480060"/>
                      </w14:xfrm>
                    </w14:contentPart>
                  </a:graphicData>
                </a:graphic>
              </wp:anchor>
            </w:drawing>
          </mc:Choice>
          <mc:Fallback>
            <w:pict>
              <v:shapetype w14:anchorId="05A3504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70.65pt;margin-top:-15.05pt;width:99.85pt;height:39.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">
                <v:imagedata r:id="rId9" o:title=""/>
              </v:shape>
            </w:pict>
          </mc:Fallback>
        </mc:AlternateContent>
      </w:r>
    </w:p>
    <w:p w14:paraId="1EC6743F" w14:textId="77777777" w:rsidR="00AF6A92" w:rsidRDefault="00AF6A92" w:rsidP="00EE7AD4">
      <w:pPr>
        <w:rPr>
          <w:sz w:val="24"/>
          <w:szCs w:val="24"/>
        </w:rPr>
      </w:pPr>
    </w:p>
    <w:p w14:paraId="56AA318E" w14:textId="5EC09FFC" w:rsidR="001D0125" w:rsidRPr="001D0125" w:rsidRDefault="001D0125" w:rsidP="00EE7AD4">
      <w:pPr>
        <w:rPr>
          <w:sz w:val="24"/>
          <w:szCs w:val="24"/>
        </w:rPr>
      </w:pPr>
      <w:r w:rsidRPr="001D0125">
        <w:rPr>
          <w:sz w:val="24"/>
          <w:szCs w:val="24"/>
        </w:rPr>
        <w:t>Deputy Judge of the Upper Tribunal (IAC)</w:t>
      </w:r>
    </w:p>
    <w:p w14:paraId="5A3C00DB" w14:textId="77777777" w:rsidR="001D0125" w:rsidRPr="001D0125" w:rsidRDefault="001D0125" w:rsidP="00EE7AD4">
      <w:pPr>
        <w:rPr>
          <w:sz w:val="24"/>
          <w:szCs w:val="24"/>
        </w:rPr>
      </w:pPr>
    </w:p>
    <w:p w14:paraId="4AF9BD74" w14:textId="12218C2C" w:rsidR="00DE623A" w:rsidRDefault="001D0125">
      <w:pPr>
        <w:rPr>
          <w:sz w:val="24"/>
          <w:szCs w:val="24"/>
        </w:rPr>
      </w:pPr>
      <w:r w:rsidRPr="001D0125">
        <w:rPr>
          <w:sz w:val="24"/>
          <w:szCs w:val="24"/>
        </w:rPr>
        <w:t xml:space="preserve">Dated: </w:t>
      </w:r>
      <w:r w:rsidR="009D56F2">
        <w:rPr>
          <w:sz w:val="24"/>
          <w:szCs w:val="24"/>
        </w:rPr>
        <w:t>23</w:t>
      </w:r>
      <w:r w:rsidR="009D56F2" w:rsidRPr="009D56F2">
        <w:rPr>
          <w:sz w:val="24"/>
          <w:szCs w:val="24"/>
          <w:vertAlign w:val="superscript"/>
        </w:rPr>
        <w:t>rd</w:t>
      </w:r>
      <w:r w:rsidR="009D56F2">
        <w:rPr>
          <w:sz w:val="24"/>
          <w:szCs w:val="24"/>
        </w:rPr>
        <w:t xml:space="preserve"> July </w:t>
      </w:r>
      <w:r w:rsidRPr="001D0125">
        <w:rPr>
          <w:sz w:val="24"/>
          <w:szCs w:val="24"/>
        </w:rPr>
        <w:t>2018</w:t>
      </w:r>
    </w:p>
    <w:p w14:paraId="2C0B322D" w14:textId="4490B90C" w:rsidR="00F26273" w:rsidRDefault="00F26273">
      <w:pPr>
        <w:rPr>
          <w:sz w:val="24"/>
          <w:szCs w:val="24"/>
        </w:rPr>
      </w:pPr>
    </w:p>
    <w:p w14:paraId="7F17CCE2" w14:textId="4F1BFDE6" w:rsidR="00F26273" w:rsidRDefault="00F26273">
      <w:pPr>
        <w:rPr>
          <w:sz w:val="24"/>
          <w:szCs w:val="24"/>
        </w:rPr>
      </w:pPr>
    </w:p>
    <w:p w14:paraId="402582E6" w14:textId="7A1B7C08" w:rsidR="00F26273" w:rsidRDefault="00F26273">
      <w:pPr>
        <w:rPr>
          <w:sz w:val="24"/>
          <w:szCs w:val="24"/>
        </w:rPr>
      </w:pPr>
    </w:p>
    <w:p w14:paraId="0B722DE1" w14:textId="3656C4AA" w:rsidR="00F26273" w:rsidRDefault="00F26273">
      <w:pPr>
        <w:rPr>
          <w:sz w:val="24"/>
          <w:szCs w:val="24"/>
        </w:rPr>
      </w:pPr>
    </w:p>
    <w:p w14:paraId="39C382E1" w14:textId="1C80B267" w:rsidR="00F26273" w:rsidRDefault="00F26273">
      <w:pPr>
        <w:rPr>
          <w:sz w:val="24"/>
          <w:szCs w:val="24"/>
        </w:rPr>
      </w:pPr>
    </w:p>
    <w:p w14:paraId="1048E9E5" w14:textId="5841ACD0" w:rsidR="00F26273" w:rsidRDefault="00F26273">
      <w:pPr>
        <w:rPr>
          <w:sz w:val="24"/>
          <w:szCs w:val="24"/>
        </w:rPr>
      </w:pPr>
    </w:p>
    <w:p w14:paraId="6A8F915C" w14:textId="20C8628C" w:rsidR="00F26273" w:rsidRDefault="00F26273">
      <w:pPr>
        <w:rPr>
          <w:sz w:val="24"/>
          <w:szCs w:val="24"/>
        </w:rPr>
      </w:pPr>
    </w:p>
    <w:p w14:paraId="42794C75" w14:textId="0A7D3508" w:rsidR="00F26273" w:rsidRPr="001D0125" w:rsidRDefault="00F26273">
      <w:pPr>
        <w:rPr>
          <w:sz w:val="24"/>
          <w:szCs w:val="24"/>
        </w:rPr>
      </w:pPr>
    </w:p>
    <w:sectPr w:rsidR="00F26273" w:rsidRPr="001D0125" w:rsidSect="00AF6A92">
      <w:headerReference w:type="default" r:id="rId10"/>
      <w:footerReference w:type="default" r:id="rId11"/>
      <w:footerReference w:type="first" r:id="rId12"/>
      <w:pgSz w:w="11906" w:h="16838"/>
      <w:pgMar w:top="426"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2BE1A" w14:textId="77777777" w:rsidR="00D57D6B" w:rsidRDefault="00D57D6B" w:rsidP="00E56345">
      <w:r>
        <w:separator/>
      </w:r>
    </w:p>
  </w:endnote>
  <w:endnote w:type="continuationSeparator" w:id="0">
    <w:p w14:paraId="730A69F3" w14:textId="77777777" w:rsidR="00D57D6B" w:rsidRDefault="00D57D6B" w:rsidP="00E56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7875946"/>
      <w:docPartObj>
        <w:docPartGallery w:val="Page Numbers (Bottom of Page)"/>
        <w:docPartUnique/>
      </w:docPartObj>
    </w:sdtPr>
    <w:sdtEndPr>
      <w:rPr>
        <w:noProof/>
        <w:sz w:val="24"/>
        <w:szCs w:val="24"/>
      </w:rPr>
    </w:sdtEndPr>
    <w:sdtContent>
      <w:p w14:paraId="5856CE2F" w14:textId="18DA55DE" w:rsidR="00E56345" w:rsidRPr="00AF6A92" w:rsidRDefault="00E56345">
        <w:pPr>
          <w:pStyle w:val="Footer"/>
          <w:jc w:val="center"/>
          <w:rPr>
            <w:sz w:val="24"/>
            <w:szCs w:val="24"/>
          </w:rPr>
        </w:pPr>
        <w:r w:rsidRPr="00AF6A92">
          <w:rPr>
            <w:sz w:val="24"/>
            <w:szCs w:val="24"/>
          </w:rPr>
          <w:fldChar w:fldCharType="begin"/>
        </w:r>
        <w:r w:rsidRPr="00AF6A92">
          <w:rPr>
            <w:sz w:val="24"/>
            <w:szCs w:val="24"/>
          </w:rPr>
          <w:instrText xml:space="preserve"> PAGE   \* MERGEFORMAT </w:instrText>
        </w:r>
        <w:r w:rsidRPr="00AF6A92">
          <w:rPr>
            <w:sz w:val="24"/>
            <w:szCs w:val="24"/>
          </w:rPr>
          <w:fldChar w:fldCharType="separate"/>
        </w:r>
        <w:r w:rsidR="00196237">
          <w:rPr>
            <w:noProof/>
            <w:sz w:val="24"/>
            <w:szCs w:val="24"/>
          </w:rPr>
          <w:t>2</w:t>
        </w:r>
        <w:r w:rsidRPr="00AF6A92">
          <w:rPr>
            <w:noProof/>
            <w:sz w:val="24"/>
            <w:szCs w:val="24"/>
          </w:rPr>
          <w:fldChar w:fldCharType="end"/>
        </w:r>
      </w:p>
    </w:sdtContent>
  </w:sdt>
  <w:p w14:paraId="05D59A1C" w14:textId="77777777" w:rsidR="00E56345" w:rsidRDefault="00E563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69B75" w14:textId="77777777" w:rsidR="00AF6A92" w:rsidRDefault="00AF6A92" w:rsidP="00AF6A92">
    <w:pPr>
      <w:jc w:val="center"/>
      <w:rPr>
        <w:rFonts w:ascii="Times New Roman" w:hAnsi="Times New Roman" w:cs="Times New Roman"/>
        <w:b/>
        <w:spacing w:val="-6"/>
        <w:sz w:val="24"/>
        <w:szCs w:val="24"/>
      </w:rPr>
    </w:pPr>
  </w:p>
  <w:p w14:paraId="06084C6C" w14:textId="508BB409" w:rsidR="00AF6A92" w:rsidRPr="00AF6A92" w:rsidRDefault="00AF6A92" w:rsidP="00AF6A92">
    <w:pPr>
      <w:jc w:val="center"/>
      <w:rPr>
        <w:rFonts w:ascii="Times New Roman" w:hAnsi="Times New Roman" w:cs="Times New Roman"/>
        <w:b/>
        <w:sz w:val="24"/>
        <w:szCs w:val="24"/>
      </w:rPr>
    </w:pPr>
    <w:r w:rsidRPr="00AF6A92">
      <w:rPr>
        <w:rFonts w:ascii="Times New Roman" w:hAnsi="Times New Roman" w:cs="Times New Roman"/>
        <w:b/>
        <w:spacing w:val="-6"/>
        <w:sz w:val="24"/>
        <w:szCs w:val="24"/>
      </w:rPr>
      <w:t>©</w:t>
    </w:r>
    <w:r w:rsidRPr="00AF6A92">
      <w:rPr>
        <w:rFonts w:ascii="Times New Roman" w:hAnsi="Times New Roman" w:cs="Times New Roman"/>
        <w:b/>
        <w:sz w:val="24"/>
        <w:szCs w:val="24"/>
      </w:rPr>
      <w:t xml:space="preserve"> CROWN COPYRIGHT 2018</w:t>
    </w:r>
  </w:p>
  <w:p w14:paraId="36752A15" w14:textId="68FD7330" w:rsidR="00E56345" w:rsidRPr="00AF6A92" w:rsidRDefault="00E56345" w:rsidP="00AF6A9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C78A4" w14:textId="77777777" w:rsidR="00D57D6B" w:rsidRDefault="00D57D6B" w:rsidP="00E56345">
      <w:r>
        <w:separator/>
      </w:r>
    </w:p>
  </w:footnote>
  <w:footnote w:type="continuationSeparator" w:id="0">
    <w:p w14:paraId="0C0021B8" w14:textId="77777777" w:rsidR="00D57D6B" w:rsidRDefault="00D57D6B" w:rsidP="00E563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D1471" w14:textId="1A56D13E" w:rsidR="00E56345" w:rsidRPr="00AF6A92" w:rsidRDefault="00AF6A92" w:rsidP="00E56345">
    <w:pPr>
      <w:pStyle w:val="Header"/>
      <w:jc w:val="right"/>
      <w:rPr>
        <w:sz w:val="16"/>
        <w:szCs w:val="16"/>
      </w:rPr>
    </w:pPr>
    <w:r>
      <w:rPr>
        <w:sz w:val="16"/>
        <w:szCs w:val="16"/>
      </w:rPr>
      <w:t xml:space="preserve">Appeal Number: </w:t>
    </w:r>
    <w:r w:rsidR="00E56345" w:rsidRPr="00AF6A92">
      <w:rPr>
        <w:sz w:val="16"/>
        <w:szCs w:val="16"/>
      </w:rPr>
      <w:t>HU/22878/2016</w:t>
    </w:r>
  </w:p>
  <w:p w14:paraId="79072664" w14:textId="77777777" w:rsidR="00E56345" w:rsidRDefault="00E563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850055"/>
    <w:multiLevelType w:val="hybridMultilevel"/>
    <w:tmpl w:val="B3A2BADE"/>
    <w:lvl w:ilvl="0" w:tplc="C2C6D944">
      <w:start w:val="1"/>
      <w:numFmt w:val="decimal"/>
      <w:lvlText w:val="%1."/>
      <w:lvlJc w:val="left"/>
      <w:pPr>
        <w:tabs>
          <w:tab w:val="num" w:pos="360"/>
        </w:tabs>
        <w:ind w:left="340" w:hanging="34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125"/>
    <w:rsid w:val="00077ED8"/>
    <w:rsid w:val="00162FA2"/>
    <w:rsid w:val="00196237"/>
    <w:rsid w:val="001D0125"/>
    <w:rsid w:val="00301B09"/>
    <w:rsid w:val="003625DB"/>
    <w:rsid w:val="00376E06"/>
    <w:rsid w:val="003838C1"/>
    <w:rsid w:val="00523009"/>
    <w:rsid w:val="006D2C5F"/>
    <w:rsid w:val="007F71FD"/>
    <w:rsid w:val="0085142F"/>
    <w:rsid w:val="009D56F2"/>
    <w:rsid w:val="00A7029B"/>
    <w:rsid w:val="00AF6A92"/>
    <w:rsid w:val="00B329F9"/>
    <w:rsid w:val="00D57D6B"/>
    <w:rsid w:val="00DB5AB9"/>
    <w:rsid w:val="00DD4BB3"/>
    <w:rsid w:val="00DE623A"/>
    <w:rsid w:val="00DF60A6"/>
    <w:rsid w:val="00E56345"/>
    <w:rsid w:val="00F26273"/>
    <w:rsid w:val="00FB68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66B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25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FA2"/>
    <w:pPr>
      <w:ind w:left="720"/>
      <w:contextualSpacing/>
    </w:pPr>
  </w:style>
  <w:style w:type="paragraph" w:customStyle="1" w:styleId="legp2paratext">
    <w:name w:val="legp2paratext"/>
    <w:basedOn w:val="Normal"/>
    <w:rsid w:val="00F26273"/>
    <w:pPr>
      <w:spacing w:before="100" w:beforeAutospacing="1" w:after="100" w:afterAutospacing="1"/>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E56345"/>
    <w:pPr>
      <w:tabs>
        <w:tab w:val="center" w:pos="4513"/>
        <w:tab w:val="right" w:pos="9026"/>
      </w:tabs>
    </w:pPr>
  </w:style>
  <w:style w:type="character" w:customStyle="1" w:styleId="HeaderChar">
    <w:name w:val="Header Char"/>
    <w:basedOn w:val="DefaultParagraphFont"/>
    <w:link w:val="Header"/>
    <w:uiPriority w:val="99"/>
    <w:rsid w:val="00E56345"/>
  </w:style>
  <w:style w:type="paragraph" w:styleId="Footer">
    <w:name w:val="footer"/>
    <w:basedOn w:val="Normal"/>
    <w:link w:val="FooterChar"/>
    <w:uiPriority w:val="99"/>
    <w:unhideWhenUsed/>
    <w:rsid w:val="00E56345"/>
    <w:pPr>
      <w:tabs>
        <w:tab w:val="center" w:pos="4513"/>
        <w:tab w:val="right" w:pos="9026"/>
      </w:tabs>
    </w:pPr>
  </w:style>
  <w:style w:type="character" w:customStyle="1" w:styleId="FooterChar">
    <w:name w:val="Footer Char"/>
    <w:basedOn w:val="DefaultParagraphFont"/>
    <w:link w:val="Footer"/>
    <w:uiPriority w:val="99"/>
    <w:rsid w:val="00E56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23T17:29:18.375"/>
    </inkml:context>
    <inkml:brush xml:id="br0">
      <inkml:brushProperty name="width" value="0.05" units="cm"/>
      <inkml:brushProperty name="height" value="0.05" units="cm"/>
    </inkml:brush>
  </inkml:definitions>
  <inkml:trace contextRef="#ctx0" brushRef="#br0">145 258 15631,'0'-16'5445,"0"16"-320,0 0-2146,0 0-3236,0 0-31,0 0 0,0 16-65,0 0 129,0 16 0,0 0 96,-16 16 64,0 17-64,0-1-128,-1 32 63,1 1-31,0-1 0,0 1 32,0 15-65,0-31 97,16-1-64,0-16 96,0-16 320,16-15 32,-16-17-95,16-16-33,0-32 64,-16-1-32,0-31 160,16 0 0,-16-33-159,0-15-33,16-1 288,-16 1 128,17-17-63,-1 17 31,0 15-31,0 17-65,0-1-64,16 17-95,-16 16-257,0 16-225,0 32 33,0-16-32,0 32-64,0 0 63,1 16 1,-1-16 128,16 16 192,0 0 128,0-16 0,16 0 65,1-16-33,-1 0-32,0 0 0,16-16-32,-16 0-96,1-16-31,-1 16-1,0 0-97,-16 0-191,0 0-64,-15 16 0,-1 0-97,-16 32 129,16 0-96,-16 32-1,-16 1 1,0 31 160,-1 1-33,1-1 33,0 1 0,0-1-32,0 1 64,0-33 31,16 0 129,-16 0 193,16-31 127,0-17-1185,16 0-2658,-16-16-1218,16 0-160,-16-32-223,0 15-97</inkml:trace>
  <inkml:trace contextRef="#ctx0" brushRef="#br0" timeOffset="859.0623">1158 209 17713,'0'-16'5413,"0"-16"-160,0 16-4132,16-16-1281,0 16 32,16-16 128,0 0 160,16 15-128,0 17-128,1-16-161,-1 16-31,0 16-32,0 1 0,-15 15-33,-17 0 65,0 32 128,-16-16 32,-16 17 96,-17-1 0,1 16 0,-16-15 0,0-1 32,-16-16 32,15 0-64,17-15 256,0-1-256,0-32-32,16 0 96,16-16-32,0-16 96,16-1-96,0-15 96,16 16-128,0-16 384,-16 16-128,16 16-127,1-1-33,-17 17-96,0 17-32,-16 31-129,0 16-127,0 0-192,-16 17 127,0-1 97,-17 1 64,17-17 128,0 0 96,0-16 0,0-16-2146,16-15-2275,0-17-479,0 0-225,16-17-64,-16 1 961</inkml:trace>
  <inkml:trace contextRef="#ctx0" brushRef="#br0" timeOffset="2819.5559">1897 869 13677,'16'-17'5157,"-16"1"-289,0-16-2593,0 0-1763,0 0 33,0 0 63,-16 0-95,0-1-97,0 1-96,0 16-192,0 0-128,-16 0-192,-1 16-128,17 16-32,-16 0-97,0 16 97,16 17 32,-16-17 31,0 32 129,16-16 32,0 1 128,16-1 32,0-16 32,16 0-64,0 0 32,0-16 32,16-16-96,0 0-32,0-32 32,16 16 96,-15-16-64,-1 0 64,0-16 64,-16 15 161,16 1 127,-16 16-224,-16 0-192,0 16-96,0 0-32,0 32-128,-16 0 64,0 1-97,0 15-127,0 0 224,0-16 192,16 16 64,0-32 64,0 17-32,0-17-32,16-16-32,0 0-32,16-16 32,0-1-96,-16-15-128,16 16 128,-15-16 128,15 16 128,-16 0 64,0 0-64,0 16-31,0 0-1,0 0 0,-16 0-64,16 16 0,0-16-96,-16 16-96,16-16-32,0 0 32,0 0-64,17 0 32,-17-16-33,16 0 193,-16-16-32,0 0 129,16-17 31,0 1 64,-16 0 32,17-16-32,-17-1 129,0 1-289,0-16 32,0 15-32,16 1-32,-32 0 64,16 15 0,0 17 96,-16 0-320,0 16 32,0 16-64,0 0 0,0 32-32,0 0 31,0 1-31,-16 31-128,0 16 224,0 1 64,-16 15-192,16 1-65,0-17 65,0 16-64,-1-31 96,17-1 128,-16-32-129,16 0-159,0-16 256,0-16 96,16-16 0,-16-16 0,17 0 0,-17 0 64,16-16 160,0-1 129,0 1 31,0 0-32,0 0-63,0-1 31,0 1 0,0 16-192,16-16 129,-16 32-65,0-16 0,1 16 0,-1-1-32,0 17-64,0 0-96,-16 0-64,16 0-96,-16 0-32,16 17-64,-16-17-1,0 16 1,0 0 128,0 0-64,0 0 64,-16 16-32,0 0 64,0 16-129,0-15 33,-17 31 0,1-16-64,16 0 160,0 1 32,0-1 128,16-16-32,0-16 128,16 0-32,16-16 32,0 0-64,1-16-64,-1 0 32,16 0 0,-16-16-384,0 16 128,0 16 96,-15 0-32,-1 16-65,0 0-31,-16 16-128,-16 0-129,16 0 385,0 16 0,0-15 64,0-17 96,16 0 161,0-16 63,16 0 0,0-32 96,16 15-31,1-15-97,-1-16-256,0 16-96,16-16 128,-16 16-64,1-1 64,-1 17-64,-16 0-32,0 16 64,-16 16 128,0 17 0,0-17-160,-16 32 64,-16-16-160,16 16 96,-16-16 32,-16 0-128,16-15-64,0-1 31,-16 0-3138,0-16-1601,16 0-193,-17-32-192,1 15-128,0-15 3523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3152</Characters>
  <Application>Microsoft Office Word</Application>
  <DocSecurity>0</DocSecurity>
  <Lines>26</Lines>
  <Paragraphs>7</Paragraphs>
  <ScaleCrop>false</ScaleCrop>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2018-08-13T12:45:00Z</dcterms:created>
  <dcterms:modified xsi:type="dcterms:W3CDTF">2018-08-13T12:45:00Z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