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8578D0" w:rsidRDefault="00D94AFC">
      <w:pPr>
        <w:rPr>
          <w:rFonts w:ascii="Arial" w:hAnsi="Arial" w:cs="Arial"/>
          <w:color w:val="000000"/>
        </w:rPr>
      </w:pPr>
    </w:p>
    <w:p w:rsidR="00F97703" w:rsidRPr="008578D0" w:rsidRDefault="00082D15" w:rsidP="00F97703">
      <w:pPr>
        <w:jc w:val="center"/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noProof/>
        </w:rPr>
        <w:drawing>
          <wp:inline distT="0" distB="0" distL="0" distR="0" wp14:anchorId="3BB4BB07" wp14:editId="3BB4BB08">
            <wp:extent cx="1425600" cy="1080000"/>
            <wp:effectExtent l="0" t="0" r="317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03" w:rsidRPr="008578D0" w:rsidRDefault="00BB39BE" w:rsidP="00DA4D91">
      <w:pPr>
        <w:tabs>
          <w:tab w:val="right" w:pos="9720"/>
        </w:tabs>
        <w:ind w:right="-82"/>
        <w:outlineLvl w:val="0"/>
        <w:rPr>
          <w:rFonts w:ascii="Arial" w:hAnsi="Arial" w:cs="Arial"/>
          <w:b/>
          <w:color w:val="000000"/>
        </w:rPr>
      </w:pPr>
      <w:r w:rsidRPr="008578D0">
        <w:rPr>
          <w:rFonts w:ascii="Arial" w:hAnsi="Arial" w:cs="Arial"/>
          <w:b/>
          <w:color w:val="000000"/>
        </w:rPr>
        <w:t>Upper</w:t>
      </w:r>
      <w:r w:rsidR="00F97703" w:rsidRPr="008578D0">
        <w:rPr>
          <w:rFonts w:ascii="Arial" w:hAnsi="Arial" w:cs="Arial"/>
          <w:b/>
          <w:color w:val="000000"/>
        </w:rPr>
        <w:t xml:space="preserve"> Tribunal </w:t>
      </w:r>
    </w:p>
    <w:p w:rsidR="00874C7E" w:rsidRPr="005563FA" w:rsidRDefault="00F97703" w:rsidP="00780F86">
      <w:pPr>
        <w:tabs>
          <w:tab w:val="right" w:pos="9720"/>
        </w:tabs>
        <w:ind w:right="-82"/>
        <w:rPr>
          <w:rFonts w:ascii="Arial" w:hAnsi="Arial" w:cs="Arial"/>
          <w:b/>
          <w:color w:val="000000"/>
        </w:rPr>
      </w:pPr>
      <w:r w:rsidRPr="008578D0">
        <w:rPr>
          <w:rFonts w:ascii="Arial" w:hAnsi="Arial" w:cs="Arial"/>
          <w:b/>
          <w:color w:val="000000"/>
        </w:rPr>
        <w:t xml:space="preserve">(Immigration and Asylum </w:t>
      </w:r>
      <w:proofErr w:type="gramStart"/>
      <w:r w:rsidRPr="008578D0">
        <w:rPr>
          <w:rFonts w:ascii="Arial" w:hAnsi="Arial" w:cs="Arial"/>
          <w:b/>
          <w:color w:val="000000"/>
        </w:rPr>
        <w:t>Chamber)</w:t>
      </w:r>
      <w:r w:rsidR="005563FA">
        <w:rPr>
          <w:rFonts w:ascii="Arial" w:hAnsi="Arial" w:cs="Arial"/>
          <w:b/>
          <w:color w:val="000000"/>
        </w:rPr>
        <w:t xml:space="preserve">   </w:t>
      </w:r>
      <w:proofErr w:type="gramEnd"/>
      <w:r w:rsidR="005563FA">
        <w:rPr>
          <w:rFonts w:ascii="Arial" w:hAnsi="Arial" w:cs="Arial"/>
          <w:b/>
          <w:color w:val="000000"/>
        </w:rPr>
        <w:t xml:space="preserve">                 </w:t>
      </w:r>
      <w:r w:rsidR="00B3524D" w:rsidRPr="005563FA">
        <w:rPr>
          <w:rFonts w:ascii="Arial" w:hAnsi="Arial" w:cs="Arial"/>
          <w:b/>
          <w:color w:val="000000"/>
        </w:rPr>
        <w:t>Appeal Number</w:t>
      </w:r>
      <w:r w:rsidR="00D53769" w:rsidRPr="005563FA">
        <w:rPr>
          <w:rFonts w:ascii="Arial" w:hAnsi="Arial" w:cs="Arial"/>
          <w:b/>
          <w:color w:val="000000"/>
        </w:rPr>
        <w:t>:</w:t>
      </w:r>
      <w:r w:rsidR="00B3524D" w:rsidRPr="005563FA">
        <w:rPr>
          <w:rFonts w:ascii="Arial" w:hAnsi="Arial" w:cs="Arial"/>
          <w:b/>
          <w:color w:val="000000"/>
        </w:rPr>
        <w:t xml:space="preserve"> </w:t>
      </w:r>
      <w:r w:rsidR="00685421" w:rsidRPr="005563FA">
        <w:rPr>
          <w:rFonts w:ascii="Arial" w:hAnsi="Arial" w:cs="Arial"/>
          <w:b/>
          <w:color w:val="000000"/>
        </w:rPr>
        <w:t>HU/2356</w:t>
      </w:r>
      <w:r w:rsidR="00C0232E" w:rsidRPr="005563FA">
        <w:rPr>
          <w:rFonts w:ascii="Arial" w:hAnsi="Arial" w:cs="Arial"/>
          <w:b/>
          <w:color w:val="000000"/>
        </w:rPr>
        <w:t>1</w:t>
      </w:r>
      <w:r w:rsidR="00685421" w:rsidRPr="005563FA">
        <w:rPr>
          <w:rFonts w:ascii="Arial" w:hAnsi="Arial" w:cs="Arial"/>
          <w:b/>
          <w:color w:val="000000"/>
        </w:rPr>
        <w:t>/2016</w:t>
      </w:r>
    </w:p>
    <w:p w:rsidR="00C345E1" w:rsidRPr="005563FA" w:rsidRDefault="00C345E1" w:rsidP="00C345E1">
      <w:pPr>
        <w:jc w:val="center"/>
        <w:rPr>
          <w:rFonts w:ascii="Arial" w:hAnsi="Arial" w:cs="Arial"/>
          <w:b/>
          <w:color w:val="000000"/>
        </w:rPr>
      </w:pPr>
    </w:p>
    <w:p w:rsidR="00C345E1" w:rsidRPr="008578D0" w:rsidRDefault="00C345E1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  <w:r w:rsidRPr="008578D0">
        <w:rPr>
          <w:rFonts w:ascii="Arial" w:hAnsi="Arial" w:cs="Arial"/>
          <w:b/>
          <w:color w:val="000000"/>
          <w:u w:val="single"/>
        </w:rPr>
        <w:t>THE IMMIGRATION ACTS</w:t>
      </w:r>
    </w:p>
    <w:p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p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40"/>
        <w:gridCol w:w="672"/>
        <w:gridCol w:w="3716"/>
      </w:tblGrid>
      <w:tr w:rsidR="00D22636" w:rsidRPr="00FD50E5" w:rsidTr="000571C9">
        <w:tc>
          <w:tcPr>
            <w:tcW w:w="5240" w:type="dxa"/>
            <w:shd w:val="clear" w:color="auto" w:fill="auto"/>
          </w:tcPr>
          <w:p w:rsidR="00D22636" w:rsidRPr="00FD50E5" w:rsidRDefault="00844156" w:rsidP="00673E8F">
            <w:pPr>
              <w:jc w:val="both"/>
              <w:rPr>
                <w:rFonts w:ascii="Arial" w:hAnsi="Arial" w:cs="Arial"/>
                <w:b/>
              </w:rPr>
            </w:pPr>
            <w:r w:rsidRPr="00FD50E5">
              <w:rPr>
                <w:rFonts w:ascii="Arial" w:hAnsi="Arial" w:cs="Arial"/>
                <w:b/>
              </w:rPr>
              <w:t>Heard</w:t>
            </w:r>
            <w:r w:rsidR="00870267" w:rsidRPr="00FD50E5">
              <w:rPr>
                <w:rFonts w:ascii="Arial" w:hAnsi="Arial" w:cs="Arial"/>
                <w:b/>
              </w:rPr>
              <w:t xml:space="preserve"> at </w:t>
            </w:r>
            <w:r w:rsidR="00685421">
              <w:rPr>
                <w:rFonts w:ascii="Arial" w:hAnsi="Arial" w:cs="Arial"/>
                <w:b/>
              </w:rPr>
              <w:t>Manchester Civil Justice Centre</w:t>
            </w:r>
            <w:r w:rsidR="00874C7E" w:rsidRPr="00FD50E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388" w:type="dxa"/>
            <w:gridSpan w:val="2"/>
            <w:shd w:val="clear" w:color="auto" w:fill="auto"/>
          </w:tcPr>
          <w:p w:rsidR="00D22636" w:rsidRPr="00FD50E5" w:rsidRDefault="00283659" w:rsidP="00FD50E5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FD50E5">
              <w:rPr>
                <w:rFonts w:ascii="Arial" w:hAnsi="Arial" w:cs="Arial"/>
                <w:b/>
                <w:color w:val="000000"/>
              </w:rPr>
              <w:t>De</w:t>
            </w:r>
            <w:r w:rsidR="000571C9">
              <w:rPr>
                <w:rFonts w:ascii="Arial" w:hAnsi="Arial" w:cs="Arial"/>
                <w:b/>
                <w:color w:val="000000"/>
              </w:rPr>
              <w:t xml:space="preserve">cision and Reasons </w:t>
            </w:r>
            <w:r w:rsidR="000571C9" w:rsidRPr="00FD50E5">
              <w:rPr>
                <w:rFonts w:ascii="Arial" w:hAnsi="Arial" w:cs="Arial"/>
                <w:b/>
                <w:color w:val="000000"/>
              </w:rPr>
              <w:t>Promulgated</w:t>
            </w:r>
          </w:p>
        </w:tc>
      </w:tr>
      <w:tr w:rsidR="00D22636" w:rsidRPr="00FD50E5" w:rsidTr="000571C9">
        <w:tc>
          <w:tcPr>
            <w:tcW w:w="5240" w:type="dxa"/>
            <w:shd w:val="clear" w:color="auto" w:fill="auto"/>
          </w:tcPr>
          <w:p w:rsidR="00D22636" w:rsidRPr="00FD50E5" w:rsidRDefault="00D22636" w:rsidP="00B300CE">
            <w:pPr>
              <w:jc w:val="both"/>
              <w:rPr>
                <w:rFonts w:ascii="Arial" w:hAnsi="Arial" w:cs="Arial"/>
                <w:b/>
              </w:rPr>
            </w:pPr>
            <w:r w:rsidRPr="00FD50E5">
              <w:rPr>
                <w:rFonts w:ascii="Arial" w:hAnsi="Arial" w:cs="Arial"/>
                <w:b/>
              </w:rPr>
              <w:t>On</w:t>
            </w:r>
            <w:r w:rsidR="00A905CD" w:rsidRPr="00FD50E5">
              <w:rPr>
                <w:rFonts w:ascii="Arial" w:hAnsi="Arial" w:cs="Arial"/>
                <w:b/>
              </w:rPr>
              <w:t xml:space="preserve"> </w:t>
            </w:r>
            <w:r w:rsidR="00685421">
              <w:rPr>
                <w:rFonts w:ascii="Arial" w:hAnsi="Arial" w:cs="Arial"/>
                <w:b/>
              </w:rPr>
              <w:t>8</w:t>
            </w:r>
            <w:r w:rsidR="00685421" w:rsidRPr="00685421">
              <w:rPr>
                <w:rFonts w:ascii="Arial" w:hAnsi="Arial" w:cs="Arial"/>
                <w:b/>
                <w:vertAlign w:val="superscript"/>
              </w:rPr>
              <w:t>th</w:t>
            </w:r>
            <w:r w:rsidR="00685421">
              <w:rPr>
                <w:rFonts w:ascii="Arial" w:hAnsi="Arial" w:cs="Arial"/>
                <w:b/>
              </w:rPr>
              <w:t xml:space="preserve"> June</w:t>
            </w:r>
            <w:r w:rsidR="00B668D8">
              <w:rPr>
                <w:rFonts w:ascii="Arial" w:hAnsi="Arial" w:cs="Arial"/>
                <w:b/>
              </w:rPr>
              <w:t xml:space="preserve"> 2018</w:t>
            </w:r>
          </w:p>
        </w:tc>
        <w:tc>
          <w:tcPr>
            <w:tcW w:w="4388" w:type="dxa"/>
            <w:gridSpan w:val="2"/>
            <w:shd w:val="clear" w:color="auto" w:fill="auto"/>
          </w:tcPr>
          <w:p w:rsidR="00D22636" w:rsidRPr="00FD50E5" w:rsidRDefault="000571C9" w:rsidP="00FD50E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 22</w:t>
            </w:r>
            <w:r w:rsidRPr="000571C9"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June 2018 </w:t>
            </w:r>
          </w:p>
        </w:tc>
      </w:tr>
      <w:tr w:rsidR="00D22636" w:rsidRPr="00FD50E5" w:rsidTr="000571C9">
        <w:tc>
          <w:tcPr>
            <w:tcW w:w="5912" w:type="dxa"/>
            <w:gridSpan w:val="2"/>
            <w:shd w:val="clear" w:color="auto" w:fill="auto"/>
          </w:tcPr>
          <w:p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6" w:type="dxa"/>
            <w:shd w:val="clear" w:color="auto" w:fill="auto"/>
          </w:tcPr>
          <w:p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15234" w:rsidRPr="008578D0" w:rsidRDefault="00A15234" w:rsidP="00A15234">
      <w:pPr>
        <w:jc w:val="center"/>
        <w:rPr>
          <w:rFonts w:ascii="Arial" w:hAnsi="Arial" w:cs="Arial"/>
        </w:rPr>
      </w:pPr>
    </w:p>
    <w:p w:rsidR="00A15234" w:rsidRPr="008578D0" w:rsidRDefault="00A15234" w:rsidP="00A15234">
      <w:pPr>
        <w:jc w:val="center"/>
        <w:rPr>
          <w:rFonts w:ascii="Arial" w:hAnsi="Arial" w:cs="Arial"/>
        </w:rPr>
      </w:pPr>
    </w:p>
    <w:p w:rsidR="00A15234" w:rsidRPr="008578D0" w:rsidRDefault="00207617" w:rsidP="00DA4D91">
      <w:pPr>
        <w:jc w:val="center"/>
        <w:outlineLvl w:val="0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Befo</w:t>
      </w:r>
      <w:r w:rsidR="00A15234" w:rsidRPr="008578D0">
        <w:rPr>
          <w:rFonts w:ascii="Arial" w:hAnsi="Arial" w:cs="Arial"/>
          <w:b/>
        </w:rPr>
        <w:t>re</w:t>
      </w:r>
    </w:p>
    <w:p w:rsidR="00721E7A" w:rsidRPr="008578D0" w:rsidRDefault="00721E7A" w:rsidP="00A15234">
      <w:pPr>
        <w:jc w:val="center"/>
        <w:rPr>
          <w:rFonts w:ascii="Arial" w:hAnsi="Arial" w:cs="Arial"/>
          <w:b/>
        </w:rPr>
      </w:pPr>
    </w:p>
    <w:p w:rsidR="00D20757" w:rsidRPr="008578D0" w:rsidRDefault="00D8561E" w:rsidP="00A15234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UPPER TRIBUNAL JUDGE COKER</w:t>
      </w:r>
    </w:p>
    <w:p w:rsidR="00D8561E" w:rsidRPr="008578D0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:rsidR="00A845DC" w:rsidRPr="008578D0" w:rsidRDefault="00A845DC" w:rsidP="00DA4D91">
      <w:pPr>
        <w:jc w:val="center"/>
        <w:outlineLvl w:val="0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Between</w:t>
      </w:r>
    </w:p>
    <w:p w:rsidR="00A845DC" w:rsidRPr="008578D0" w:rsidRDefault="00A845DC" w:rsidP="00A15234">
      <w:pPr>
        <w:jc w:val="center"/>
        <w:rPr>
          <w:rFonts w:ascii="Arial" w:hAnsi="Arial" w:cs="Arial"/>
          <w:b/>
        </w:rPr>
      </w:pPr>
    </w:p>
    <w:p w:rsidR="00172D1A" w:rsidRDefault="00702E3F" w:rsidP="00172D1A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 K O</w:t>
      </w:r>
    </w:p>
    <w:p w:rsidR="000571C9" w:rsidRPr="005563FA" w:rsidRDefault="005563FA" w:rsidP="00172D1A">
      <w:pPr>
        <w:jc w:val="center"/>
        <w:outlineLvl w:val="0"/>
        <w:rPr>
          <w:rFonts w:ascii="Arial" w:hAnsi="Arial" w:cs="Arial"/>
        </w:rPr>
      </w:pPr>
      <w:r w:rsidRPr="005563FA">
        <w:rPr>
          <w:rFonts w:ascii="Arial" w:hAnsi="Arial" w:cs="Arial"/>
        </w:rPr>
        <w:t xml:space="preserve">(ANONYMITY DIRECTION MADE) </w:t>
      </w:r>
    </w:p>
    <w:p w:rsidR="00704B61" w:rsidRPr="008578D0" w:rsidRDefault="00704B61" w:rsidP="00DA4D91">
      <w:pPr>
        <w:jc w:val="right"/>
        <w:outlineLvl w:val="0"/>
        <w:rPr>
          <w:rFonts w:ascii="Arial" w:hAnsi="Arial" w:cs="Arial"/>
          <w:u w:val="single"/>
        </w:rPr>
      </w:pPr>
      <w:r w:rsidRPr="008578D0">
        <w:rPr>
          <w:rFonts w:ascii="Arial" w:hAnsi="Arial" w:cs="Arial"/>
          <w:u w:val="single"/>
        </w:rPr>
        <w:t>Appellant</w:t>
      </w:r>
    </w:p>
    <w:p w:rsidR="005563FA" w:rsidRDefault="005563FA" w:rsidP="00704B61">
      <w:pPr>
        <w:jc w:val="center"/>
        <w:rPr>
          <w:rFonts w:ascii="Arial" w:hAnsi="Arial" w:cs="Arial"/>
          <w:b/>
        </w:rPr>
      </w:pPr>
    </w:p>
    <w:p w:rsidR="00704B61" w:rsidRPr="008578D0" w:rsidRDefault="00172D1A" w:rsidP="00704B61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A</w:t>
      </w:r>
      <w:r w:rsidR="00DD5071" w:rsidRPr="008578D0">
        <w:rPr>
          <w:rFonts w:ascii="Arial" w:hAnsi="Arial" w:cs="Arial"/>
          <w:b/>
        </w:rPr>
        <w:t>nd</w:t>
      </w:r>
    </w:p>
    <w:p w:rsidR="00172D1A" w:rsidRPr="008578D0" w:rsidRDefault="00172D1A" w:rsidP="00704B61">
      <w:pPr>
        <w:jc w:val="center"/>
        <w:rPr>
          <w:rFonts w:ascii="Arial" w:hAnsi="Arial" w:cs="Arial"/>
          <w:b/>
        </w:rPr>
      </w:pPr>
    </w:p>
    <w:p w:rsidR="00172D1A" w:rsidRPr="008578D0" w:rsidRDefault="00852DCE" w:rsidP="00704B61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SECRETARY OF STATE FOR THE HOME DEPARTMENT</w:t>
      </w:r>
    </w:p>
    <w:p w:rsidR="00DD5071" w:rsidRPr="008578D0" w:rsidRDefault="00DD5071" w:rsidP="00DA4D91">
      <w:pPr>
        <w:jc w:val="right"/>
        <w:outlineLvl w:val="0"/>
        <w:rPr>
          <w:rFonts w:ascii="Arial" w:hAnsi="Arial" w:cs="Arial"/>
          <w:u w:val="single"/>
        </w:rPr>
      </w:pPr>
      <w:r w:rsidRPr="008578D0">
        <w:rPr>
          <w:rFonts w:ascii="Arial" w:hAnsi="Arial" w:cs="Arial"/>
          <w:u w:val="single"/>
        </w:rPr>
        <w:t>Respondent</w:t>
      </w:r>
    </w:p>
    <w:p w:rsidR="00DD5071" w:rsidRPr="008578D0" w:rsidRDefault="00DD5071" w:rsidP="00DD5071">
      <w:pPr>
        <w:rPr>
          <w:rFonts w:ascii="Arial" w:hAnsi="Arial" w:cs="Arial"/>
          <w:u w:val="single"/>
        </w:rPr>
      </w:pPr>
    </w:p>
    <w:p w:rsidR="00DD5071" w:rsidRPr="008578D0" w:rsidRDefault="00DE7DB7" w:rsidP="00DA4D91">
      <w:pPr>
        <w:outlineLvl w:val="0"/>
        <w:rPr>
          <w:rFonts w:ascii="Arial" w:hAnsi="Arial" w:cs="Arial"/>
        </w:rPr>
      </w:pPr>
      <w:r w:rsidRPr="008578D0">
        <w:rPr>
          <w:rFonts w:ascii="Arial" w:hAnsi="Arial" w:cs="Arial"/>
          <w:b/>
          <w:u w:val="single"/>
        </w:rPr>
        <w:t>Representation</w:t>
      </w:r>
      <w:r w:rsidRPr="008578D0">
        <w:rPr>
          <w:rFonts w:ascii="Arial" w:hAnsi="Arial" w:cs="Arial"/>
          <w:b/>
        </w:rPr>
        <w:t>:</w:t>
      </w:r>
    </w:p>
    <w:p w:rsidR="00DE7DB7" w:rsidRPr="008578D0" w:rsidRDefault="00DE7DB7" w:rsidP="00DD5071">
      <w:pPr>
        <w:rPr>
          <w:rFonts w:ascii="Arial" w:hAnsi="Arial" w:cs="Arial"/>
        </w:rPr>
      </w:pPr>
    </w:p>
    <w:p w:rsidR="00DE7DB7" w:rsidRPr="008578D0" w:rsidRDefault="00DE7DB7" w:rsidP="00DA4D91">
      <w:pPr>
        <w:tabs>
          <w:tab w:val="left" w:pos="2520"/>
        </w:tabs>
        <w:outlineLvl w:val="0"/>
        <w:rPr>
          <w:rFonts w:ascii="Arial" w:hAnsi="Arial" w:cs="Arial"/>
        </w:rPr>
      </w:pPr>
      <w:r w:rsidRPr="008578D0">
        <w:rPr>
          <w:rFonts w:ascii="Arial" w:hAnsi="Arial" w:cs="Arial"/>
        </w:rPr>
        <w:t>For the Appellant:</w:t>
      </w:r>
      <w:r w:rsidRPr="008578D0">
        <w:rPr>
          <w:rFonts w:ascii="Arial" w:hAnsi="Arial" w:cs="Arial"/>
        </w:rPr>
        <w:tab/>
      </w:r>
      <w:r w:rsidR="00D463AA">
        <w:rPr>
          <w:rFonts w:ascii="Arial" w:hAnsi="Arial" w:cs="Arial"/>
        </w:rPr>
        <w:t>M</w:t>
      </w:r>
      <w:r w:rsidR="00B300CE">
        <w:rPr>
          <w:rFonts w:ascii="Arial" w:hAnsi="Arial" w:cs="Arial"/>
        </w:rPr>
        <w:t xml:space="preserve">r </w:t>
      </w:r>
      <w:r w:rsidR="00685421">
        <w:rPr>
          <w:rFonts w:ascii="Arial" w:hAnsi="Arial" w:cs="Arial"/>
        </w:rPr>
        <w:t xml:space="preserve">M </w:t>
      </w:r>
      <w:proofErr w:type="spellStart"/>
      <w:r w:rsidR="00685421">
        <w:rPr>
          <w:rFonts w:ascii="Arial" w:hAnsi="Arial" w:cs="Arial"/>
        </w:rPr>
        <w:t>Karnik</w:t>
      </w:r>
      <w:proofErr w:type="spellEnd"/>
      <w:r w:rsidR="004F77C5" w:rsidRPr="008578D0">
        <w:rPr>
          <w:rFonts w:ascii="Arial" w:hAnsi="Arial" w:cs="Arial"/>
        </w:rPr>
        <w:t xml:space="preserve">, instructed by </w:t>
      </w:r>
      <w:r w:rsidR="00685421">
        <w:rPr>
          <w:rFonts w:ascii="Arial" w:hAnsi="Arial" w:cs="Arial"/>
        </w:rPr>
        <w:t>Greenfield Law solicitors</w:t>
      </w:r>
    </w:p>
    <w:p w:rsidR="00DE7DB7" w:rsidRPr="008578D0" w:rsidRDefault="00DE7DB7" w:rsidP="00DE7DB7">
      <w:pPr>
        <w:tabs>
          <w:tab w:val="left" w:pos="2520"/>
        </w:tabs>
        <w:rPr>
          <w:rFonts w:ascii="Arial" w:hAnsi="Arial" w:cs="Arial"/>
        </w:rPr>
      </w:pPr>
      <w:r w:rsidRPr="008578D0">
        <w:rPr>
          <w:rFonts w:ascii="Arial" w:hAnsi="Arial" w:cs="Arial"/>
        </w:rPr>
        <w:t>For the Respondent:</w:t>
      </w:r>
      <w:r w:rsidRPr="008578D0">
        <w:rPr>
          <w:rFonts w:ascii="Arial" w:hAnsi="Arial" w:cs="Arial"/>
        </w:rPr>
        <w:tab/>
      </w:r>
      <w:r w:rsidR="004F77C5" w:rsidRPr="008578D0">
        <w:rPr>
          <w:rFonts w:ascii="Arial" w:hAnsi="Arial" w:cs="Arial"/>
        </w:rPr>
        <w:t>M</w:t>
      </w:r>
      <w:r w:rsidR="00685421">
        <w:rPr>
          <w:rFonts w:ascii="Arial" w:hAnsi="Arial" w:cs="Arial"/>
        </w:rPr>
        <w:t xml:space="preserve">s </w:t>
      </w:r>
      <w:r w:rsidR="00EB489C">
        <w:rPr>
          <w:rFonts w:ascii="Arial" w:hAnsi="Arial" w:cs="Arial"/>
        </w:rPr>
        <w:t xml:space="preserve">A </w:t>
      </w:r>
      <w:proofErr w:type="spellStart"/>
      <w:r w:rsidR="00EB489C">
        <w:rPr>
          <w:rFonts w:ascii="Arial" w:hAnsi="Arial" w:cs="Arial"/>
        </w:rPr>
        <w:t>Aboni</w:t>
      </w:r>
      <w:proofErr w:type="spellEnd"/>
      <w:r w:rsidR="00852DCE" w:rsidRPr="008578D0">
        <w:rPr>
          <w:rFonts w:ascii="Arial" w:hAnsi="Arial" w:cs="Arial"/>
        </w:rPr>
        <w:t xml:space="preserve">, Senior Home Office Presenting Officer </w:t>
      </w:r>
    </w:p>
    <w:p w:rsidR="00DE7DB7" w:rsidRDefault="00DE7DB7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:rsidR="00D463AA" w:rsidRPr="008578D0" w:rsidRDefault="00D463A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:rsidR="00DE7DB7" w:rsidRDefault="00402B9E" w:rsidP="00DA4D91">
      <w:pPr>
        <w:tabs>
          <w:tab w:val="left" w:pos="2520"/>
        </w:tabs>
        <w:jc w:val="center"/>
        <w:outlineLvl w:val="0"/>
        <w:rPr>
          <w:rFonts w:ascii="Arial" w:hAnsi="Arial" w:cs="Arial"/>
          <w:b/>
          <w:u w:val="single"/>
        </w:rPr>
      </w:pPr>
      <w:r w:rsidRPr="008578D0">
        <w:rPr>
          <w:rFonts w:ascii="Arial" w:hAnsi="Arial" w:cs="Arial"/>
          <w:b/>
          <w:u w:val="single"/>
        </w:rPr>
        <w:t>DETERMINATION AND REASONS</w:t>
      </w:r>
    </w:p>
    <w:p w:rsidR="00673E8F" w:rsidRPr="008578D0" w:rsidRDefault="00673E8F" w:rsidP="00DA4D91">
      <w:pPr>
        <w:tabs>
          <w:tab w:val="left" w:pos="2520"/>
        </w:tabs>
        <w:jc w:val="center"/>
        <w:outlineLvl w:val="0"/>
        <w:rPr>
          <w:rFonts w:ascii="Arial" w:hAnsi="Arial" w:cs="Arial"/>
        </w:rPr>
      </w:pPr>
    </w:p>
    <w:p w:rsidR="00AB6C32" w:rsidRPr="00673E8F" w:rsidRDefault="00673E8F" w:rsidP="00673E8F">
      <w:pPr>
        <w:ind w:left="360"/>
        <w:jc w:val="both"/>
        <w:rPr>
          <w:rFonts w:ascii="Arial" w:hAnsi="Arial" w:cs="Arial"/>
          <w:b/>
          <w:color w:val="000080"/>
        </w:rPr>
      </w:pPr>
      <w:r w:rsidRPr="00673E8F">
        <w:rPr>
          <w:rFonts w:ascii="Arial" w:hAnsi="Arial" w:cs="Arial"/>
          <w:b/>
          <w:bCs/>
        </w:rPr>
        <w:t xml:space="preserve">Pursuant to Rule 14 of the Tribunal Procedure (Upper Tribunal) Rules 2008 (SI 2008/269) I make an anonymity order. Unless the Upper Tribunal or a Court directs otherwise, no report of these proceedings or any form of publication thereof shall directly or indirectly identify the </w:t>
      </w:r>
      <w:r w:rsidR="00B300CE">
        <w:rPr>
          <w:rFonts w:ascii="Arial" w:hAnsi="Arial" w:cs="Arial"/>
          <w:b/>
          <w:bCs/>
        </w:rPr>
        <w:t>a</w:t>
      </w:r>
      <w:r w:rsidRPr="00673E8F">
        <w:rPr>
          <w:rFonts w:ascii="Arial" w:hAnsi="Arial" w:cs="Arial"/>
          <w:b/>
          <w:bCs/>
        </w:rPr>
        <w:t xml:space="preserve">ppellant in this determination identified as </w:t>
      </w:r>
      <w:r w:rsidR="00CE1093">
        <w:rPr>
          <w:rFonts w:ascii="Arial" w:hAnsi="Arial" w:cs="Arial"/>
          <w:b/>
          <w:bCs/>
        </w:rPr>
        <w:t>OO</w:t>
      </w:r>
      <w:r w:rsidRPr="00673E8F">
        <w:rPr>
          <w:rFonts w:ascii="Arial" w:hAnsi="Arial" w:cs="Arial"/>
          <w:b/>
          <w:bCs/>
        </w:rPr>
        <w:t>. This direction applies to, amongst others, all parties. Any failure to comply with this direction could give rise to contempt of court proceedings</w:t>
      </w:r>
    </w:p>
    <w:p w:rsidR="00673E8F" w:rsidRPr="00673E8F" w:rsidRDefault="00673E8F" w:rsidP="00673E8F">
      <w:pPr>
        <w:ind w:left="360"/>
        <w:jc w:val="both"/>
        <w:rPr>
          <w:rFonts w:ascii="Arial" w:hAnsi="Arial" w:cs="Arial"/>
          <w:b/>
          <w:color w:val="000080"/>
        </w:rPr>
      </w:pPr>
    </w:p>
    <w:p w:rsidR="00402B9E" w:rsidRPr="008578D0" w:rsidRDefault="00402B9E" w:rsidP="00036813">
      <w:pPr>
        <w:tabs>
          <w:tab w:val="left" w:pos="2520"/>
        </w:tabs>
        <w:jc w:val="both"/>
        <w:rPr>
          <w:rFonts w:ascii="Arial" w:hAnsi="Arial" w:cs="Arial"/>
        </w:rPr>
      </w:pPr>
    </w:p>
    <w:p w:rsidR="00AB6C32" w:rsidRPr="008578D0" w:rsidRDefault="00AB6C32" w:rsidP="00AB6C32">
      <w:pPr>
        <w:pStyle w:val="ListParagraph"/>
        <w:contextualSpacing/>
        <w:jc w:val="both"/>
        <w:rPr>
          <w:rFonts w:ascii="Arial" w:hAnsi="Arial" w:cs="Arial"/>
        </w:rPr>
      </w:pPr>
    </w:p>
    <w:p w:rsidR="00E44405" w:rsidRDefault="00CE1093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Permission was granted by </w:t>
      </w:r>
      <w:r w:rsidR="00E44405">
        <w:rPr>
          <w:rFonts w:ascii="Arial" w:hAnsi="Arial" w:cs="Arial"/>
        </w:rPr>
        <w:t xml:space="preserve">First-tier Tribunal Judge Bird to the appellant to appeal the decision of First-tier Tribunal Judge Holt who </w:t>
      </w:r>
      <w:r w:rsidR="00C0232E">
        <w:rPr>
          <w:rFonts w:ascii="Arial" w:hAnsi="Arial" w:cs="Arial"/>
        </w:rPr>
        <w:t>dismissed</w:t>
      </w:r>
      <w:r w:rsidR="00E44405">
        <w:rPr>
          <w:rFonts w:ascii="Arial" w:hAnsi="Arial" w:cs="Arial"/>
        </w:rPr>
        <w:t xml:space="preserve"> his appeal </w:t>
      </w:r>
      <w:r w:rsidR="00E44405">
        <w:rPr>
          <w:rFonts w:ascii="Arial" w:hAnsi="Arial" w:cs="Arial"/>
        </w:rPr>
        <w:lastRenderedPageBreak/>
        <w:t xml:space="preserve">against the refusal of his human </w:t>
      </w:r>
      <w:r w:rsidR="00C0232E">
        <w:rPr>
          <w:rFonts w:ascii="Arial" w:hAnsi="Arial" w:cs="Arial"/>
        </w:rPr>
        <w:t>rights</w:t>
      </w:r>
      <w:r w:rsidR="00E44405">
        <w:rPr>
          <w:rFonts w:ascii="Arial" w:hAnsi="Arial" w:cs="Arial"/>
        </w:rPr>
        <w:t xml:space="preserve"> claim. His claim had been based upon his relationship with 2 children born in the UK who have limited leave to remain </w:t>
      </w:r>
      <w:r w:rsidR="00C0232E">
        <w:rPr>
          <w:rFonts w:ascii="Arial" w:hAnsi="Arial" w:cs="Arial"/>
        </w:rPr>
        <w:t>based on</w:t>
      </w:r>
      <w:r w:rsidR="00E44405">
        <w:rPr>
          <w:rFonts w:ascii="Arial" w:hAnsi="Arial" w:cs="Arial"/>
        </w:rPr>
        <w:t xml:space="preserve"> humanitarian protection and with a British Citizen child. At the </w:t>
      </w:r>
      <w:r w:rsidR="00C0232E">
        <w:rPr>
          <w:rFonts w:ascii="Arial" w:hAnsi="Arial" w:cs="Arial"/>
        </w:rPr>
        <w:t>date</w:t>
      </w:r>
      <w:r w:rsidR="00E44405">
        <w:rPr>
          <w:rFonts w:ascii="Arial" w:hAnsi="Arial" w:cs="Arial"/>
        </w:rPr>
        <w:t xml:space="preserve"> of the hearing before First-tier Tribunal Judge Holt the appellant had indirect contact with the two children with limited leave to remain and direct contact with the British Citizen child. </w:t>
      </w:r>
    </w:p>
    <w:p w:rsidR="00E44405" w:rsidRDefault="00E44405" w:rsidP="00E44405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:rsidR="009A3495" w:rsidRDefault="00E44405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Permission was granted </w:t>
      </w:r>
      <w:proofErr w:type="gramStart"/>
      <w:r w:rsidR="009A3495">
        <w:rPr>
          <w:rFonts w:ascii="Arial" w:hAnsi="Arial" w:cs="Arial"/>
        </w:rPr>
        <w:t>on the grounds that</w:t>
      </w:r>
      <w:proofErr w:type="gramEnd"/>
      <w:r w:rsidR="009A3495">
        <w:rPr>
          <w:rFonts w:ascii="Arial" w:hAnsi="Arial" w:cs="Arial"/>
        </w:rPr>
        <w:t xml:space="preserve"> it was arguably an error of law to treat a decision of DJ Regan as final and to refuse to grant an adjournment to obtain further evidence in failing to follow the </w:t>
      </w:r>
      <w:r w:rsidR="00C0232E">
        <w:rPr>
          <w:rFonts w:ascii="Arial" w:hAnsi="Arial" w:cs="Arial"/>
        </w:rPr>
        <w:t>protocol and</w:t>
      </w:r>
      <w:r w:rsidR="009A3495">
        <w:rPr>
          <w:rFonts w:ascii="Arial" w:hAnsi="Arial" w:cs="Arial"/>
        </w:rPr>
        <w:t xml:space="preserve"> allow for further contact between the appellant and the children.</w:t>
      </w:r>
    </w:p>
    <w:p w:rsidR="009A3495" w:rsidRPr="009A3495" w:rsidRDefault="009A3495" w:rsidP="009A3495">
      <w:pPr>
        <w:pStyle w:val="ListParagraph"/>
        <w:rPr>
          <w:rFonts w:ascii="Arial" w:hAnsi="Arial" w:cs="Arial"/>
        </w:rPr>
      </w:pPr>
    </w:p>
    <w:p w:rsidR="008351DB" w:rsidRDefault="009A3495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Permission had also been sought on the grounds that it was arguable that because he had direct contact with the British Citizen child, he met the requirements </w:t>
      </w:r>
      <w:r w:rsidR="008351DB">
        <w:rPr>
          <w:rFonts w:ascii="Arial" w:hAnsi="Arial" w:cs="Arial"/>
        </w:rPr>
        <w:t xml:space="preserve">of </w:t>
      </w:r>
      <w:proofErr w:type="gramStart"/>
      <w:r w:rsidR="008351DB">
        <w:rPr>
          <w:rFonts w:ascii="Arial" w:hAnsi="Arial" w:cs="Arial"/>
        </w:rPr>
        <w:t>E.LTRPT</w:t>
      </w:r>
      <w:proofErr w:type="gramEnd"/>
      <w:r w:rsidR="008351DB">
        <w:rPr>
          <w:rFonts w:ascii="Arial" w:hAnsi="Arial" w:cs="Arial"/>
        </w:rPr>
        <w:t>.2.4. and that</w:t>
      </w:r>
      <w:r w:rsidR="00CC2C60">
        <w:rPr>
          <w:rFonts w:ascii="Arial" w:hAnsi="Arial" w:cs="Arial"/>
        </w:rPr>
        <w:t xml:space="preserve"> the</w:t>
      </w:r>
      <w:r w:rsidR="008351DB">
        <w:rPr>
          <w:rFonts w:ascii="Arial" w:hAnsi="Arial" w:cs="Arial"/>
        </w:rPr>
        <w:t xml:space="preserve"> finding by </w:t>
      </w:r>
      <w:r w:rsidR="00CC2C60">
        <w:rPr>
          <w:rFonts w:ascii="Arial" w:hAnsi="Arial" w:cs="Arial"/>
        </w:rPr>
        <w:t>the</w:t>
      </w:r>
      <w:r w:rsidR="008351DB">
        <w:rPr>
          <w:rFonts w:ascii="Arial" w:hAnsi="Arial" w:cs="Arial"/>
        </w:rPr>
        <w:t xml:space="preserve"> judge that he did not have sole responsibility was not a determin</w:t>
      </w:r>
      <w:r w:rsidR="00CC2C60">
        <w:rPr>
          <w:rFonts w:ascii="Arial" w:hAnsi="Arial" w:cs="Arial"/>
        </w:rPr>
        <w:t>in</w:t>
      </w:r>
      <w:r w:rsidR="008351DB">
        <w:rPr>
          <w:rFonts w:ascii="Arial" w:hAnsi="Arial" w:cs="Arial"/>
        </w:rPr>
        <w:t>g factor. The appellant further contended that First-tier Tribunal Judge Holt failed to consider the best interest of any of the children.</w:t>
      </w:r>
    </w:p>
    <w:p w:rsidR="008351DB" w:rsidRPr="008351DB" w:rsidRDefault="008351DB" w:rsidP="008351DB">
      <w:pPr>
        <w:pStyle w:val="ListParagraph"/>
        <w:rPr>
          <w:rFonts w:ascii="Arial" w:hAnsi="Arial" w:cs="Arial"/>
        </w:rPr>
      </w:pPr>
    </w:p>
    <w:p w:rsidR="008C597F" w:rsidRDefault="008351DB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was not persuaded that the order of DJ Regan was not a final order and </w:t>
      </w:r>
      <w:r w:rsidR="00CC2C60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the application for an adjournment should have been granted. Ms </w:t>
      </w:r>
      <w:proofErr w:type="spellStart"/>
      <w:r>
        <w:rPr>
          <w:rFonts w:ascii="Arial" w:hAnsi="Arial" w:cs="Arial"/>
        </w:rPr>
        <w:t>Aboni</w:t>
      </w:r>
      <w:proofErr w:type="spellEnd"/>
      <w:r>
        <w:rPr>
          <w:rFonts w:ascii="Arial" w:hAnsi="Arial" w:cs="Arial"/>
        </w:rPr>
        <w:t xml:space="preserve"> conceded tha</w:t>
      </w:r>
      <w:r w:rsidR="008C597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the had been no consideration by the judge of the best interest</w:t>
      </w:r>
      <w:r w:rsidR="008C597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children.</w:t>
      </w:r>
      <w:r w:rsidR="008C597F">
        <w:rPr>
          <w:rFonts w:ascii="Arial" w:hAnsi="Arial" w:cs="Arial"/>
        </w:rPr>
        <w:t xml:space="preserve"> </w:t>
      </w:r>
    </w:p>
    <w:p w:rsidR="008C597F" w:rsidRPr="008C597F" w:rsidRDefault="008C597F" w:rsidP="008C597F">
      <w:pPr>
        <w:pStyle w:val="ListParagraph"/>
        <w:rPr>
          <w:rFonts w:ascii="Arial" w:hAnsi="Arial" w:cs="Arial"/>
        </w:rPr>
      </w:pPr>
    </w:p>
    <w:p w:rsidR="008C597F" w:rsidRDefault="008C597F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Mr </w:t>
      </w:r>
      <w:proofErr w:type="spellStart"/>
      <w:r>
        <w:rPr>
          <w:rFonts w:ascii="Arial" w:hAnsi="Arial" w:cs="Arial"/>
        </w:rPr>
        <w:t>Karnik</w:t>
      </w:r>
      <w:proofErr w:type="spellEnd"/>
      <w:r>
        <w:rPr>
          <w:rFonts w:ascii="Arial" w:hAnsi="Arial" w:cs="Arial"/>
        </w:rPr>
        <w:t xml:space="preserve"> also submitted that </w:t>
      </w:r>
      <w:r w:rsidR="00CC2C60">
        <w:rPr>
          <w:rFonts w:ascii="Arial" w:hAnsi="Arial" w:cs="Arial"/>
        </w:rPr>
        <w:t>there</w:t>
      </w:r>
      <w:r>
        <w:rPr>
          <w:rFonts w:ascii="Arial" w:hAnsi="Arial" w:cs="Arial"/>
        </w:rPr>
        <w:t xml:space="preserve"> was a clear route through the Rules under which the appellant could and should have succeed and the judge failed to address this he also submitted that </w:t>
      </w:r>
      <w:r w:rsidR="00CC2C60">
        <w:rPr>
          <w:rFonts w:ascii="Arial" w:hAnsi="Arial" w:cs="Arial"/>
        </w:rPr>
        <w:t>although the</w:t>
      </w:r>
      <w:r>
        <w:rPr>
          <w:rFonts w:ascii="Arial" w:hAnsi="Arial" w:cs="Arial"/>
        </w:rPr>
        <w:t xml:space="preserve"> appellant had not advanced a formal protection claim, he was still </w:t>
      </w:r>
      <w:r w:rsidR="00CC2C60">
        <w:rPr>
          <w:rFonts w:ascii="Arial" w:hAnsi="Arial" w:cs="Arial"/>
        </w:rPr>
        <w:t>entitled</w:t>
      </w:r>
      <w:r>
        <w:rPr>
          <w:rFonts w:ascii="Arial" w:hAnsi="Arial" w:cs="Arial"/>
        </w:rPr>
        <w:t xml:space="preserve"> to rely on matters that he had referred to about events in Nigeria and yet no consideration had been given to this.</w:t>
      </w:r>
    </w:p>
    <w:p w:rsidR="008C597F" w:rsidRPr="008C597F" w:rsidRDefault="008C597F" w:rsidP="008C597F">
      <w:pPr>
        <w:pStyle w:val="ListParagraph"/>
        <w:rPr>
          <w:rFonts w:ascii="Arial" w:hAnsi="Arial" w:cs="Arial"/>
        </w:rPr>
      </w:pPr>
    </w:p>
    <w:p w:rsidR="009F49EB" w:rsidRDefault="008C597F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failure of the judge to </w:t>
      </w:r>
      <w:r w:rsidR="00CC2C60">
        <w:rPr>
          <w:rFonts w:ascii="Arial" w:hAnsi="Arial" w:cs="Arial"/>
        </w:rPr>
        <w:t>consider</w:t>
      </w:r>
      <w:r>
        <w:rPr>
          <w:rFonts w:ascii="Arial" w:hAnsi="Arial" w:cs="Arial"/>
        </w:rPr>
        <w:t xml:space="preserve"> the best interest of the children is a plain error of law. It is material given the possible successful route through the Rules to a successful claim, irrespective of Article 8 in its widest sense. </w:t>
      </w:r>
    </w:p>
    <w:p w:rsidR="009F49EB" w:rsidRPr="009F49EB" w:rsidRDefault="009F49EB" w:rsidP="009F49EB">
      <w:pPr>
        <w:pStyle w:val="ListParagraph"/>
        <w:rPr>
          <w:rFonts w:ascii="Arial" w:hAnsi="Arial" w:cs="Arial"/>
        </w:rPr>
      </w:pPr>
    </w:p>
    <w:p w:rsidR="009F49EB" w:rsidRDefault="009F49EB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The judge’s finding</w:t>
      </w:r>
      <w:r w:rsidR="00CC2C6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generally are rather confusing and appear to take matters into account that do not appear to have been </w:t>
      </w:r>
      <w:r w:rsidR="00CC2C60">
        <w:rPr>
          <w:rFonts w:ascii="Arial" w:hAnsi="Arial" w:cs="Arial"/>
        </w:rPr>
        <w:t>raised</w:t>
      </w:r>
      <w:r>
        <w:rPr>
          <w:rFonts w:ascii="Arial" w:hAnsi="Arial" w:cs="Arial"/>
        </w:rPr>
        <w:t xml:space="preserve"> as adverse issues.</w:t>
      </w:r>
    </w:p>
    <w:p w:rsidR="009F49EB" w:rsidRPr="009F49EB" w:rsidRDefault="009F49EB" w:rsidP="009F49EB">
      <w:pPr>
        <w:pStyle w:val="ListParagraph"/>
        <w:rPr>
          <w:rFonts w:ascii="Arial" w:hAnsi="Arial" w:cs="Arial"/>
        </w:rPr>
      </w:pPr>
    </w:p>
    <w:p w:rsidR="009F49EB" w:rsidRDefault="009F49EB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satisfied there are material errors of law in the First-tier Tribunal Judge’s decision such </w:t>
      </w:r>
      <w:r w:rsidR="00CC2C60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the decision is set aside to be remade.</w:t>
      </w:r>
    </w:p>
    <w:p w:rsidR="009F49EB" w:rsidRPr="009F49EB" w:rsidRDefault="009F49EB" w:rsidP="009F49EB">
      <w:pPr>
        <w:pStyle w:val="ListParagraph"/>
        <w:rPr>
          <w:rFonts w:ascii="Arial" w:hAnsi="Arial" w:cs="Arial"/>
        </w:rPr>
      </w:pPr>
    </w:p>
    <w:p w:rsidR="009F49EB" w:rsidRDefault="00CC2C60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Findings </w:t>
      </w:r>
      <w:r w:rsidR="009F49EB">
        <w:rPr>
          <w:rFonts w:ascii="Arial" w:hAnsi="Arial" w:cs="Arial"/>
        </w:rPr>
        <w:t>are required o</w:t>
      </w:r>
      <w:r>
        <w:rPr>
          <w:rFonts w:ascii="Arial" w:hAnsi="Arial" w:cs="Arial"/>
        </w:rPr>
        <w:t>n</w:t>
      </w:r>
      <w:r w:rsidR="009F49EB">
        <w:rPr>
          <w:rFonts w:ascii="Arial" w:hAnsi="Arial" w:cs="Arial"/>
        </w:rPr>
        <w:t xml:space="preserve"> the relationship the appellant has with the </w:t>
      </w:r>
      <w:r>
        <w:rPr>
          <w:rFonts w:ascii="Arial" w:hAnsi="Arial" w:cs="Arial"/>
        </w:rPr>
        <w:t>children</w:t>
      </w:r>
      <w:r w:rsidR="009F49EB">
        <w:rPr>
          <w:rFonts w:ascii="Arial" w:hAnsi="Arial" w:cs="Arial"/>
        </w:rPr>
        <w:t xml:space="preserve">, his intentions and the best interest of the children in the context of his contact. The extent of fact-finding </w:t>
      </w:r>
      <w:r>
        <w:rPr>
          <w:rFonts w:ascii="Arial" w:hAnsi="Arial" w:cs="Arial"/>
        </w:rPr>
        <w:t>required</w:t>
      </w:r>
      <w:r w:rsidR="009F49EB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>such that</w:t>
      </w:r>
      <w:r w:rsidR="009F49EB">
        <w:rPr>
          <w:rFonts w:ascii="Arial" w:hAnsi="Arial" w:cs="Arial"/>
        </w:rPr>
        <w:t xml:space="preserve"> this matter should be remitted to the First-tier Tribunal.</w:t>
      </w:r>
    </w:p>
    <w:p w:rsidR="009F49EB" w:rsidRPr="009F49EB" w:rsidRDefault="009F49EB" w:rsidP="009F49EB">
      <w:pPr>
        <w:pStyle w:val="ListParagraph"/>
        <w:rPr>
          <w:rFonts w:ascii="Arial" w:hAnsi="Arial" w:cs="Arial"/>
        </w:rPr>
      </w:pPr>
    </w:p>
    <w:p w:rsidR="00077501" w:rsidRPr="008578D0" w:rsidRDefault="00077501" w:rsidP="009F49EB">
      <w:pPr>
        <w:ind w:left="1560"/>
        <w:jc w:val="both"/>
        <w:rPr>
          <w:rFonts w:ascii="Arial" w:hAnsi="Arial" w:cs="Arial"/>
        </w:rPr>
      </w:pPr>
    </w:p>
    <w:p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  <w:u w:val="single"/>
        </w:rPr>
      </w:pPr>
      <w:bookmarkStart w:id="0" w:name="_GoBack"/>
      <w:bookmarkEnd w:id="0"/>
      <w:r w:rsidRPr="008578D0">
        <w:rPr>
          <w:rFonts w:ascii="Arial" w:hAnsi="Arial" w:cs="Arial"/>
        </w:rPr>
        <w:t xml:space="preserve">          </w:t>
      </w:r>
      <w:r w:rsidRPr="008578D0">
        <w:rPr>
          <w:rFonts w:ascii="Arial" w:hAnsi="Arial" w:cs="Arial"/>
          <w:u w:val="single"/>
        </w:rPr>
        <w:t>Conclusions:</w:t>
      </w:r>
    </w:p>
    <w:p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lastRenderedPageBreak/>
        <w:t>The making of the decision</w:t>
      </w:r>
      <w:r w:rsidR="009F49EB">
        <w:rPr>
          <w:rFonts w:ascii="Arial" w:hAnsi="Arial" w:cs="Arial"/>
        </w:rPr>
        <w:t xml:space="preserve"> of the First-tier Tribunal did</w:t>
      </w:r>
      <w:r w:rsidRPr="008578D0">
        <w:rPr>
          <w:rFonts w:ascii="Arial" w:hAnsi="Arial" w:cs="Arial"/>
        </w:rPr>
        <w:t xml:space="preserve"> involve the making of an error on a point of law.</w:t>
      </w:r>
    </w:p>
    <w:p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8578D0" w:rsidRDefault="00EB45D2" w:rsidP="009F49EB">
      <w:pPr>
        <w:tabs>
          <w:tab w:val="left" w:pos="567"/>
        </w:tabs>
        <w:jc w:val="both"/>
        <w:rPr>
          <w:rFonts w:ascii="Arial" w:hAnsi="Arial" w:cs="Arial"/>
          <w:i/>
        </w:rPr>
      </w:pPr>
      <w:r w:rsidRPr="008578D0">
        <w:rPr>
          <w:rFonts w:ascii="Arial" w:hAnsi="Arial" w:cs="Arial"/>
        </w:rPr>
        <w:tab/>
      </w:r>
      <w:r w:rsidR="009F49EB">
        <w:rPr>
          <w:rFonts w:ascii="Arial" w:hAnsi="Arial" w:cs="Arial"/>
        </w:rPr>
        <w:t>I set aside</w:t>
      </w:r>
      <w:r w:rsidRPr="008578D0">
        <w:rPr>
          <w:rFonts w:ascii="Arial" w:hAnsi="Arial" w:cs="Arial"/>
        </w:rPr>
        <w:t xml:space="preserve"> the decision</w:t>
      </w:r>
      <w:r w:rsidR="009F49EB">
        <w:rPr>
          <w:rFonts w:ascii="Arial" w:hAnsi="Arial" w:cs="Arial"/>
        </w:rPr>
        <w:t xml:space="preserve"> and remit it to the First-tier Tribunal to be re-made.</w:t>
      </w:r>
      <w:r w:rsidRPr="008578D0">
        <w:rPr>
          <w:rFonts w:ascii="Arial" w:hAnsi="Arial" w:cs="Arial"/>
          <w:i/>
        </w:rPr>
        <w:t xml:space="preserve"> </w:t>
      </w:r>
    </w:p>
    <w:p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>Anonymity</w:t>
      </w:r>
    </w:p>
    <w:p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</w:p>
    <w:p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>The First-tier Tribunal made an order pursuant to rule 45(4)(</w:t>
      </w:r>
      <w:proofErr w:type="spellStart"/>
      <w:r w:rsidRPr="008578D0">
        <w:rPr>
          <w:rFonts w:ascii="Arial" w:hAnsi="Arial" w:cs="Arial"/>
        </w:rPr>
        <w:t>i</w:t>
      </w:r>
      <w:proofErr w:type="spellEnd"/>
      <w:r w:rsidRPr="008578D0">
        <w:rPr>
          <w:rFonts w:ascii="Arial" w:hAnsi="Arial" w:cs="Arial"/>
        </w:rPr>
        <w:t>) of the Asylum and Immigration Tribunal (Procedure) Rules 2005.</w:t>
      </w:r>
    </w:p>
    <w:p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</w:p>
    <w:p w:rsidR="00EB45D2" w:rsidRPr="008578D0" w:rsidRDefault="009F49EB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EB45D2" w:rsidRPr="008578D0">
        <w:rPr>
          <w:rFonts w:ascii="Arial" w:hAnsi="Arial" w:cs="Arial"/>
        </w:rPr>
        <w:t xml:space="preserve"> continue that order (pursuant to rule 14 of the Tribunal Procedure (Upper Tribunal) Rules 2008).</w:t>
      </w:r>
    </w:p>
    <w:p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9F5220" w:rsidRPr="008578D0" w:rsidRDefault="009F5220" w:rsidP="00780F86">
      <w:pPr>
        <w:ind w:left="540" w:hanging="540"/>
        <w:jc w:val="both"/>
        <w:rPr>
          <w:rFonts w:ascii="Arial" w:hAnsi="Arial" w:cs="Arial"/>
        </w:rPr>
      </w:pPr>
    </w:p>
    <w:p w:rsidR="001F2716" w:rsidRPr="008578D0" w:rsidRDefault="001F2716" w:rsidP="00780F86">
      <w:pPr>
        <w:ind w:left="540" w:hanging="540"/>
        <w:jc w:val="both"/>
        <w:rPr>
          <w:rFonts w:ascii="Arial" w:hAnsi="Arial" w:cs="Arial"/>
        </w:rPr>
      </w:pPr>
    </w:p>
    <w:p w:rsidR="00A509FA" w:rsidRDefault="00A509FA" w:rsidP="00780F86">
      <w:pPr>
        <w:ind w:left="540" w:hanging="540"/>
        <w:jc w:val="both"/>
        <w:rPr>
          <w:rFonts w:ascii="Arial" w:hAnsi="Arial" w:cs="Arial"/>
        </w:rPr>
      </w:pPr>
    </w:p>
    <w:p w:rsidR="00423156" w:rsidRPr="008578D0" w:rsidRDefault="00423156" w:rsidP="00780F86">
      <w:pPr>
        <w:ind w:left="540" w:hanging="540"/>
        <w:jc w:val="both"/>
        <w:rPr>
          <w:rFonts w:ascii="Arial" w:hAnsi="Arial" w:cs="Arial"/>
        </w:rPr>
      </w:pPr>
    </w:p>
    <w:p w:rsidR="001F2716" w:rsidRPr="008578D0" w:rsidRDefault="00780F86" w:rsidP="00ED036F">
      <w:pPr>
        <w:ind w:left="1079" w:hanging="539"/>
        <w:rPr>
          <w:rFonts w:ascii="Arial" w:hAnsi="Arial" w:cs="Arial"/>
        </w:rPr>
      </w:pP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="001F2716" w:rsidRPr="008578D0">
        <w:rPr>
          <w:rFonts w:ascii="Arial" w:hAnsi="Arial" w:cs="Arial"/>
        </w:rPr>
        <w:t>Date</w:t>
      </w:r>
      <w:r w:rsidR="002E575D" w:rsidRPr="008578D0">
        <w:rPr>
          <w:rFonts w:ascii="Arial" w:hAnsi="Arial" w:cs="Arial"/>
        </w:rPr>
        <w:t xml:space="preserve"> </w:t>
      </w:r>
      <w:r w:rsidR="005672FA">
        <w:rPr>
          <w:rFonts w:ascii="Arial" w:hAnsi="Arial" w:cs="Arial"/>
        </w:rPr>
        <w:t>20</w:t>
      </w:r>
      <w:r w:rsidR="005672FA" w:rsidRPr="005672FA">
        <w:rPr>
          <w:rFonts w:ascii="Arial" w:hAnsi="Arial" w:cs="Arial"/>
          <w:vertAlign w:val="superscript"/>
        </w:rPr>
        <w:t>th</w:t>
      </w:r>
      <w:r w:rsidR="005672FA">
        <w:rPr>
          <w:rFonts w:ascii="Arial" w:hAnsi="Arial" w:cs="Arial"/>
        </w:rPr>
        <w:t xml:space="preserve"> June 2018</w:t>
      </w:r>
    </w:p>
    <w:p w:rsidR="00423156" w:rsidRDefault="00082D15" w:rsidP="00B55768">
      <w:pPr>
        <w:tabs>
          <w:tab w:val="left" w:pos="25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BB4BB09" wp14:editId="3BB4BB0A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156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:rsidR="00423156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:rsidR="00B95326" w:rsidRPr="008578D0" w:rsidRDefault="00EB45D2" w:rsidP="00B55768">
      <w:pPr>
        <w:tabs>
          <w:tab w:val="left" w:pos="2520"/>
        </w:tabs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color w:val="000000"/>
        </w:rPr>
        <w:t xml:space="preserve">Upper Tribunal </w:t>
      </w:r>
      <w:r w:rsidR="009D055C" w:rsidRPr="008578D0">
        <w:rPr>
          <w:rFonts w:ascii="Arial" w:hAnsi="Arial" w:cs="Arial"/>
          <w:color w:val="000000"/>
        </w:rPr>
        <w:t xml:space="preserve">Judge </w:t>
      </w:r>
      <w:r w:rsidR="00630C34" w:rsidRPr="008578D0">
        <w:rPr>
          <w:rFonts w:ascii="Arial" w:hAnsi="Arial" w:cs="Arial"/>
          <w:color w:val="000000"/>
        </w:rPr>
        <w:t>Coker</w:t>
      </w:r>
    </w:p>
    <w:sectPr w:rsidR="00B95326" w:rsidRPr="008578D0" w:rsidSect="005563FA">
      <w:headerReference w:type="default" r:id="rId10"/>
      <w:footerReference w:type="defaul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946" w:rsidRDefault="00B97946">
      <w:r>
        <w:separator/>
      </w:r>
    </w:p>
  </w:endnote>
  <w:endnote w:type="continuationSeparator" w:id="0">
    <w:p w:rsidR="00B97946" w:rsidRDefault="00B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5563FA" w:rsidRDefault="001F6F7E" w:rsidP="00593795">
    <w:pPr>
      <w:pStyle w:val="Footer"/>
      <w:jc w:val="center"/>
      <w:rPr>
        <w:rFonts w:ascii="Arial" w:hAnsi="Arial" w:cs="Arial"/>
      </w:rPr>
    </w:pPr>
    <w:r w:rsidRPr="005563FA">
      <w:rPr>
        <w:rStyle w:val="PageNumber"/>
        <w:rFonts w:ascii="Arial" w:hAnsi="Arial" w:cs="Arial"/>
      </w:rPr>
      <w:fldChar w:fldCharType="begin"/>
    </w:r>
    <w:r w:rsidRPr="005563FA">
      <w:rPr>
        <w:rStyle w:val="PageNumber"/>
        <w:rFonts w:ascii="Arial" w:hAnsi="Arial" w:cs="Arial"/>
      </w:rPr>
      <w:instrText xml:space="preserve"> PAGE </w:instrText>
    </w:r>
    <w:r w:rsidRPr="005563FA">
      <w:rPr>
        <w:rStyle w:val="PageNumber"/>
        <w:rFonts w:ascii="Arial" w:hAnsi="Arial" w:cs="Arial"/>
      </w:rPr>
      <w:fldChar w:fldCharType="separate"/>
    </w:r>
    <w:r w:rsidR="00120C2C">
      <w:rPr>
        <w:rStyle w:val="PageNumber"/>
        <w:rFonts w:ascii="Arial" w:hAnsi="Arial" w:cs="Arial"/>
        <w:noProof/>
      </w:rPr>
      <w:t>3</w:t>
    </w:r>
    <w:r w:rsidRPr="005563FA"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090CF9" w:rsidRDefault="001F6F7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206D4B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946" w:rsidRDefault="00B97946">
      <w:r>
        <w:separator/>
      </w:r>
    </w:p>
  </w:footnote>
  <w:footnote w:type="continuationSeparator" w:id="0">
    <w:p w:rsidR="00B97946" w:rsidRDefault="00B9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Default="001F6F7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Appeal Number:</w:t>
    </w:r>
    <w:r w:rsidR="00D463AA">
      <w:rPr>
        <w:rFonts w:ascii="Arial" w:hAnsi="Arial" w:cs="Arial"/>
        <w:sz w:val="16"/>
        <w:szCs w:val="16"/>
      </w:rPr>
      <w:t xml:space="preserve"> </w:t>
    </w:r>
    <w:r w:rsidR="00C0232E">
      <w:rPr>
        <w:rFonts w:ascii="Arial" w:hAnsi="Arial" w:cs="Arial"/>
        <w:sz w:val="16"/>
        <w:szCs w:val="16"/>
      </w:rPr>
      <w:t>HU/23561/2016</w:t>
    </w:r>
    <w:r>
      <w:rPr>
        <w:rFonts w:ascii="Arial" w:hAnsi="Arial" w:cs="Arial"/>
        <w:sz w:val="16"/>
        <w:szCs w:val="16"/>
      </w:rPr>
      <w:t xml:space="preserve"> </w:t>
    </w:r>
  </w:p>
  <w:p w:rsidR="005563FA" w:rsidRPr="003C5CE5" w:rsidRDefault="005563FA" w:rsidP="00593795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2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3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9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4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1E593A"/>
    <w:multiLevelType w:val="hybridMultilevel"/>
    <w:tmpl w:val="CCDC9F84"/>
    <w:lvl w:ilvl="0" w:tplc="D8CEEF16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6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0"/>
  </w:num>
  <w:num w:numId="5">
    <w:abstractNumId w:val="21"/>
  </w:num>
  <w:num w:numId="6">
    <w:abstractNumId w:val="24"/>
  </w:num>
  <w:num w:numId="7">
    <w:abstractNumId w:val="22"/>
  </w:num>
  <w:num w:numId="8">
    <w:abstractNumId w:val="26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0"/>
  </w:num>
  <w:num w:numId="14">
    <w:abstractNumId w:val="16"/>
  </w:num>
  <w:num w:numId="15">
    <w:abstractNumId w:val="18"/>
  </w:num>
  <w:num w:numId="16">
    <w:abstractNumId w:val="20"/>
  </w:num>
  <w:num w:numId="17">
    <w:abstractNumId w:val="17"/>
  </w:num>
  <w:num w:numId="18">
    <w:abstractNumId w:val="7"/>
  </w:num>
  <w:num w:numId="19">
    <w:abstractNumId w:val="12"/>
  </w:num>
  <w:num w:numId="20">
    <w:abstractNumId w:val="3"/>
  </w:num>
  <w:num w:numId="21">
    <w:abstractNumId w:val="23"/>
  </w:num>
  <w:num w:numId="22">
    <w:abstractNumId w:val="4"/>
  </w:num>
  <w:num w:numId="23">
    <w:abstractNumId w:val="11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5FC4"/>
    <w:rsid w:val="00023FF2"/>
    <w:rsid w:val="00026617"/>
    <w:rsid w:val="00033D3D"/>
    <w:rsid w:val="00036813"/>
    <w:rsid w:val="00051C2D"/>
    <w:rsid w:val="000571C9"/>
    <w:rsid w:val="00062F02"/>
    <w:rsid w:val="000645AE"/>
    <w:rsid w:val="00071A7E"/>
    <w:rsid w:val="00073585"/>
    <w:rsid w:val="000746C0"/>
    <w:rsid w:val="00074D1D"/>
    <w:rsid w:val="00077501"/>
    <w:rsid w:val="00082D15"/>
    <w:rsid w:val="00087276"/>
    <w:rsid w:val="00090CF9"/>
    <w:rsid w:val="00092580"/>
    <w:rsid w:val="00093D4D"/>
    <w:rsid w:val="000A0A34"/>
    <w:rsid w:val="000B2298"/>
    <w:rsid w:val="000C0541"/>
    <w:rsid w:val="000C44DA"/>
    <w:rsid w:val="000C69CA"/>
    <w:rsid w:val="000D572B"/>
    <w:rsid w:val="000D5D94"/>
    <w:rsid w:val="000E3782"/>
    <w:rsid w:val="000F1A0E"/>
    <w:rsid w:val="000F1BC5"/>
    <w:rsid w:val="000F3C7A"/>
    <w:rsid w:val="000F50A8"/>
    <w:rsid w:val="001015A2"/>
    <w:rsid w:val="001022EC"/>
    <w:rsid w:val="001165A7"/>
    <w:rsid w:val="00120C2C"/>
    <w:rsid w:val="00126036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B186A"/>
    <w:rsid w:val="001B2F75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C9C"/>
    <w:rsid w:val="0023134B"/>
    <w:rsid w:val="00232618"/>
    <w:rsid w:val="00232E7A"/>
    <w:rsid w:val="00233CF5"/>
    <w:rsid w:val="00242BC1"/>
    <w:rsid w:val="00247922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D48"/>
    <w:rsid w:val="002A224B"/>
    <w:rsid w:val="002A67C1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5398"/>
    <w:rsid w:val="002F6B98"/>
    <w:rsid w:val="003161B0"/>
    <w:rsid w:val="00322A5E"/>
    <w:rsid w:val="00336CBF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0E80"/>
    <w:rsid w:val="003C5CE5"/>
    <w:rsid w:val="003C5D94"/>
    <w:rsid w:val="003E1F16"/>
    <w:rsid w:val="003E260A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4127D"/>
    <w:rsid w:val="004448DB"/>
    <w:rsid w:val="00446C9A"/>
    <w:rsid w:val="00452EA8"/>
    <w:rsid w:val="00452F2B"/>
    <w:rsid w:val="004751B6"/>
    <w:rsid w:val="00477193"/>
    <w:rsid w:val="0048742E"/>
    <w:rsid w:val="004A0BEA"/>
    <w:rsid w:val="004A1848"/>
    <w:rsid w:val="004A6F4A"/>
    <w:rsid w:val="004B1D2E"/>
    <w:rsid w:val="004C773C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63FA"/>
    <w:rsid w:val="005570FD"/>
    <w:rsid w:val="005575EA"/>
    <w:rsid w:val="00562348"/>
    <w:rsid w:val="005656DF"/>
    <w:rsid w:val="005672FA"/>
    <w:rsid w:val="00570EF1"/>
    <w:rsid w:val="0057323B"/>
    <w:rsid w:val="005750C2"/>
    <w:rsid w:val="0057790C"/>
    <w:rsid w:val="00593795"/>
    <w:rsid w:val="00593821"/>
    <w:rsid w:val="0059482A"/>
    <w:rsid w:val="005965E5"/>
    <w:rsid w:val="005966DA"/>
    <w:rsid w:val="005A0343"/>
    <w:rsid w:val="005A549B"/>
    <w:rsid w:val="005A75FF"/>
    <w:rsid w:val="005B0A90"/>
    <w:rsid w:val="005D10AB"/>
    <w:rsid w:val="005E52F3"/>
    <w:rsid w:val="005F0ED1"/>
    <w:rsid w:val="005F484F"/>
    <w:rsid w:val="0060112E"/>
    <w:rsid w:val="00601D8F"/>
    <w:rsid w:val="0060237D"/>
    <w:rsid w:val="006061F8"/>
    <w:rsid w:val="00611276"/>
    <w:rsid w:val="00624F1A"/>
    <w:rsid w:val="0062579D"/>
    <w:rsid w:val="00630C34"/>
    <w:rsid w:val="00633D25"/>
    <w:rsid w:val="00645E92"/>
    <w:rsid w:val="00653E97"/>
    <w:rsid w:val="006664A5"/>
    <w:rsid w:val="00673E8F"/>
    <w:rsid w:val="00680319"/>
    <w:rsid w:val="00683EEF"/>
    <w:rsid w:val="00684A74"/>
    <w:rsid w:val="00685421"/>
    <w:rsid w:val="00690B8A"/>
    <w:rsid w:val="006A345A"/>
    <w:rsid w:val="006A405B"/>
    <w:rsid w:val="006B0197"/>
    <w:rsid w:val="006B1AB5"/>
    <w:rsid w:val="006B57D6"/>
    <w:rsid w:val="006D333C"/>
    <w:rsid w:val="006E08A1"/>
    <w:rsid w:val="006E46D9"/>
    <w:rsid w:val="006F2CF1"/>
    <w:rsid w:val="006F43A2"/>
    <w:rsid w:val="006F668F"/>
    <w:rsid w:val="00702E3F"/>
    <w:rsid w:val="007038ED"/>
    <w:rsid w:val="00703BC3"/>
    <w:rsid w:val="00704B61"/>
    <w:rsid w:val="00714348"/>
    <w:rsid w:val="00717C98"/>
    <w:rsid w:val="0072121B"/>
    <w:rsid w:val="00721E7A"/>
    <w:rsid w:val="00723292"/>
    <w:rsid w:val="007243EE"/>
    <w:rsid w:val="007334B3"/>
    <w:rsid w:val="00734672"/>
    <w:rsid w:val="0074320E"/>
    <w:rsid w:val="007552A9"/>
    <w:rsid w:val="007601F3"/>
    <w:rsid w:val="00761858"/>
    <w:rsid w:val="007656C6"/>
    <w:rsid w:val="00767D59"/>
    <w:rsid w:val="0077393E"/>
    <w:rsid w:val="00776E97"/>
    <w:rsid w:val="00780F86"/>
    <w:rsid w:val="00782743"/>
    <w:rsid w:val="00784D03"/>
    <w:rsid w:val="007912AD"/>
    <w:rsid w:val="007937AD"/>
    <w:rsid w:val="00796712"/>
    <w:rsid w:val="007A7B35"/>
    <w:rsid w:val="007B0824"/>
    <w:rsid w:val="007B5D3C"/>
    <w:rsid w:val="007B7552"/>
    <w:rsid w:val="007D6EAB"/>
    <w:rsid w:val="007E37AC"/>
    <w:rsid w:val="007F665C"/>
    <w:rsid w:val="00800360"/>
    <w:rsid w:val="00813C29"/>
    <w:rsid w:val="00815082"/>
    <w:rsid w:val="00821B72"/>
    <w:rsid w:val="008226DD"/>
    <w:rsid w:val="00823EF2"/>
    <w:rsid w:val="00825109"/>
    <w:rsid w:val="008303B8"/>
    <w:rsid w:val="00833DCE"/>
    <w:rsid w:val="008351DB"/>
    <w:rsid w:val="00844156"/>
    <w:rsid w:val="00846BE3"/>
    <w:rsid w:val="00846D61"/>
    <w:rsid w:val="0085282C"/>
    <w:rsid w:val="00852DCE"/>
    <w:rsid w:val="00852F5A"/>
    <w:rsid w:val="008578D0"/>
    <w:rsid w:val="00861DFF"/>
    <w:rsid w:val="00870267"/>
    <w:rsid w:val="00871D34"/>
    <w:rsid w:val="00874C7E"/>
    <w:rsid w:val="008825F7"/>
    <w:rsid w:val="00894951"/>
    <w:rsid w:val="00895F9E"/>
    <w:rsid w:val="008A37E3"/>
    <w:rsid w:val="008B270C"/>
    <w:rsid w:val="008B5078"/>
    <w:rsid w:val="008C3D3D"/>
    <w:rsid w:val="008C597F"/>
    <w:rsid w:val="008C71A2"/>
    <w:rsid w:val="008D382E"/>
    <w:rsid w:val="008D4131"/>
    <w:rsid w:val="008F1932"/>
    <w:rsid w:val="008F1E92"/>
    <w:rsid w:val="00903C06"/>
    <w:rsid w:val="009162E8"/>
    <w:rsid w:val="009164EF"/>
    <w:rsid w:val="00921062"/>
    <w:rsid w:val="00924E18"/>
    <w:rsid w:val="00925AB2"/>
    <w:rsid w:val="009722BC"/>
    <w:rsid w:val="0097235D"/>
    <w:rsid w:val="009727A3"/>
    <w:rsid w:val="0097577A"/>
    <w:rsid w:val="00977E5A"/>
    <w:rsid w:val="009873DD"/>
    <w:rsid w:val="00987774"/>
    <w:rsid w:val="00990CF3"/>
    <w:rsid w:val="00992C74"/>
    <w:rsid w:val="009A0F09"/>
    <w:rsid w:val="009A11E8"/>
    <w:rsid w:val="009A2B75"/>
    <w:rsid w:val="009A3495"/>
    <w:rsid w:val="009C2408"/>
    <w:rsid w:val="009C40B8"/>
    <w:rsid w:val="009C6CC6"/>
    <w:rsid w:val="009D055C"/>
    <w:rsid w:val="009F49EB"/>
    <w:rsid w:val="009F5220"/>
    <w:rsid w:val="009F526C"/>
    <w:rsid w:val="009F637C"/>
    <w:rsid w:val="00A15234"/>
    <w:rsid w:val="00A201AB"/>
    <w:rsid w:val="00A27297"/>
    <w:rsid w:val="00A31C8B"/>
    <w:rsid w:val="00A343D8"/>
    <w:rsid w:val="00A35CFC"/>
    <w:rsid w:val="00A509FA"/>
    <w:rsid w:val="00A5238A"/>
    <w:rsid w:val="00A5334F"/>
    <w:rsid w:val="00A719B9"/>
    <w:rsid w:val="00A845DC"/>
    <w:rsid w:val="00A905CD"/>
    <w:rsid w:val="00A91607"/>
    <w:rsid w:val="00A91E1E"/>
    <w:rsid w:val="00AA7A2D"/>
    <w:rsid w:val="00AB0287"/>
    <w:rsid w:val="00AB15C9"/>
    <w:rsid w:val="00AB6C32"/>
    <w:rsid w:val="00AC664C"/>
    <w:rsid w:val="00AC6A9F"/>
    <w:rsid w:val="00AD27F4"/>
    <w:rsid w:val="00AE1907"/>
    <w:rsid w:val="00AF39EB"/>
    <w:rsid w:val="00B0097A"/>
    <w:rsid w:val="00B03496"/>
    <w:rsid w:val="00B03A37"/>
    <w:rsid w:val="00B10A9C"/>
    <w:rsid w:val="00B11FCD"/>
    <w:rsid w:val="00B26AA2"/>
    <w:rsid w:val="00B27DFE"/>
    <w:rsid w:val="00B300CE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68D8"/>
    <w:rsid w:val="00B7040A"/>
    <w:rsid w:val="00B71BF5"/>
    <w:rsid w:val="00B83391"/>
    <w:rsid w:val="00B866FB"/>
    <w:rsid w:val="00B9038B"/>
    <w:rsid w:val="00B94048"/>
    <w:rsid w:val="00B95326"/>
    <w:rsid w:val="00B97946"/>
    <w:rsid w:val="00BA4B59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0232E"/>
    <w:rsid w:val="00C12F97"/>
    <w:rsid w:val="00C22D9F"/>
    <w:rsid w:val="00C26032"/>
    <w:rsid w:val="00C345E1"/>
    <w:rsid w:val="00C43BFD"/>
    <w:rsid w:val="00C46F62"/>
    <w:rsid w:val="00C640A8"/>
    <w:rsid w:val="00C64A47"/>
    <w:rsid w:val="00C7704B"/>
    <w:rsid w:val="00C81167"/>
    <w:rsid w:val="00C865C1"/>
    <w:rsid w:val="00C951B1"/>
    <w:rsid w:val="00C95BBD"/>
    <w:rsid w:val="00CA107F"/>
    <w:rsid w:val="00CA10A1"/>
    <w:rsid w:val="00CA5CE4"/>
    <w:rsid w:val="00CB6E35"/>
    <w:rsid w:val="00CC2C60"/>
    <w:rsid w:val="00CC3A26"/>
    <w:rsid w:val="00CC6AB3"/>
    <w:rsid w:val="00CE1093"/>
    <w:rsid w:val="00CE1A46"/>
    <w:rsid w:val="00CE465E"/>
    <w:rsid w:val="00CF14D4"/>
    <w:rsid w:val="00D105F2"/>
    <w:rsid w:val="00D20757"/>
    <w:rsid w:val="00D20AA6"/>
    <w:rsid w:val="00D21B5D"/>
    <w:rsid w:val="00D22636"/>
    <w:rsid w:val="00D273A7"/>
    <w:rsid w:val="00D31443"/>
    <w:rsid w:val="00D3621D"/>
    <w:rsid w:val="00D40FD9"/>
    <w:rsid w:val="00D463AA"/>
    <w:rsid w:val="00D46C41"/>
    <w:rsid w:val="00D472E1"/>
    <w:rsid w:val="00D53769"/>
    <w:rsid w:val="00D70B67"/>
    <w:rsid w:val="00D8561E"/>
    <w:rsid w:val="00D85C13"/>
    <w:rsid w:val="00D86F3A"/>
    <w:rsid w:val="00D9111A"/>
    <w:rsid w:val="00D91BE3"/>
    <w:rsid w:val="00D9326A"/>
    <w:rsid w:val="00D94AFC"/>
    <w:rsid w:val="00DA4D91"/>
    <w:rsid w:val="00DB70AE"/>
    <w:rsid w:val="00DC6C25"/>
    <w:rsid w:val="00DD19E4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13FE0"/>
    <w:rsid w:val="00E30683"/>
    <w:rsid w:val="00E44405"/>
    <w:rsid w:val="00E453D8"/>
    <w:rsid w:val="00E50BCE"/>
    <w:rsid w:val="00E574BF"/>
    <w:rsid w:val="00E61292"/>
    <w:rsid w:val="00E77C4D"/>
    <w:rsid w:val="00E80AD9"/>
    <w:rsid w:val="00E81D01"/>
    <w:rsid w:val="00E83C14"/>
    <w:rsid w:val="00E92383"/>
    <w:rsid w:val="00EB2144"/>
    <w:rsid w:val="00EB45D2"/>
    <w:rsid w:val="00EB489C"/>
    <w:rsid w:val="00ED036F"/>
    <w:rsid w:val="00EE1FA1"/>
    <w:rsid w:val="00EE45D8"/>
    <w:rsid w:val="00EF0787"/>
    <w:rsid w:val="00EF49C7"/>
    <w:rsid w:val="00EF5E91"/>
    <w:rsid w:val="00F052AB"/>
    <w:rsid w:val="00F10DE1"/>
    <w:rsid w:val="00F12BB0"/>
    <w:rsid w:val="00F22AA0"/>
    <w:rsid w:val="00F22EDA"/>
    <w:rsid w:val="00F313E3"/>
    <w:rsid w:val="00F52CE2"/>
    <w:rsid w:val="00F563B2"/>
    <w:rsid w:val="00F71D8B"/>
    <w:rsid w:val="00F734A7"/>
    <w:rsid w:val="00F829C0"/>
    <w:rsid w:val="00F86938"/>
    <w:rsid w:val="00F902FD"/>
    <w:rsid w:val="00F97703"/>
    <w:rsid w:val="00FA0071"/>
    <w:rsid w:val="00FA77E1"/>
    <w:rsid w:val="00FA7A30"/>
    <w:rsid w:val="00FC20F8"/>
    <w:rsid w:val="00FD50E5"/>
    <w:rsid w:val="00FE06E1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A1D31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25353-DCE4-4206-A138-A2E9DB37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2018-07-13T16:46:00Z</dcterms:created>
  <dcterms:modified xsi:type="dcterms:W3CDTF">2018-07-13T16:46:00Z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