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8F961" w14:textId="77777777" w:rsidR="00A92B06" w:rsidRPr="009E09B1" w:rsidRDefault="00A92B06" w:rsidP="009E09B1">
      <w:pPr>
        <w:rPr>
          <w:rFonts w:ascii="Book Antiqua" w:hAnsi="Book Antiqua" w:cs="Arial"/>
          <w:color w:val="000000"/>
          <w:sz w:val="24"/>
          <w:szCs w:val="24"/>
        </w:rPr>
      </w:pPr>
    </w:p>
    <w:p w14:paraId="48B3B7DC" w14:textId="77777777" w:rsidR="00A92B06" w:rsidRPr="009E09B1" w:rsidRDefault="00A92B06" w:rsidP="009E09B1">
      <w:pPr>
        <w:jc w:val="center"/>
        <w:rPr>
          <w:rFonts w:ascii="Book Antiqua" w:hAnsi="Book Antiqua" w:cs="Arial"/>
          <w:color w:val="000000"/>
          <w:sz w:val="24"/>
          <w:szCs w:val="24"/>
        </w:rPr>
      </w:pPr>
      <w:r w:rsidRPr="009E09B1">
        <w:rPr>
          <w:noProof/>
          <w:sz w:val="24"/>
          <w:szCs w:val="24"/>
        </w:rPr>
        <w:drawing>
          <wp:inline distT="0" distB="0" distL="0" distR="0" wp14:anchorId="6B627E6D" wp14:editId="36135C12">
            <wp:extent cx="1404000" cy="1065600"/>
            <wp:effectExtent l="0" t="0" r="5715"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31A1408C" w14:textId="77777777" w:rsidR="00A92B06" w:rsidRPr="009E09B1" w:rsidRDefault="00A92B06" w:rsidP="009E09B1">
      <w:pPr>
        <w:tabs>
          <w:tab w:val="right" w:pos="9720"/>
        </w:tabs>
        <w:ind w:right="-82"/>
        <w:outlineLvl w:val="0"/>
        <w:rPr>
          <w:rFonts w:ascii="Book Antiqua" w:hAnsi="Book Antiqua" w:cs="Arial"/>
          <w:b/>
          <w:color w:val="000000"/>
          <w:sz w:val="24"/>
          <w:szCs w:val="24"/>
        </w:rPr>
      </w:pPr>
      <w:r w:rsidRPr="009E09B1">
        <w:rPr>
          <w:rFonts w:ascii="Book Antiqua" w:hAnsi="Book Antiqua" w:cs="Arial"/>
          <w:b/>
          <w:color w:val="000000"/>
          <w:sz w:val="24"/>
          <w:szCs w:val="24"/>
        </w:rPr>
        <w:t xml:space="preserve">Upper Tribunal </w:t>
      </w:r>
    </w:p>
    <w:p w14:paraId="12361B98" w14:textId="6D27B38C" w:rsidR="00A92B06" w:rsidRPr="00647419" w:rsidRDefault="00A92B06" w:rsidP="009E09B1">
      <w:pPr>
        <w:tabs>
          <w:tab w:val="left" w:pos="3906"/>
        </w:tabs>
        <w:rPr>
          <w:b/>
          <w:sz w:val="24"/>
          <w:szCs w:val="24"/>
        </w:rPr>
      </w:pPr>
      <w:r w:rsidRPr="009E09B1">
        <w:rPr>
          <w:rFonts w:ascii="Book Antiqua" w:hAnsi="Book Antiqua" w:cs="Arial"/>
          <w:b/>
          <w:color w:val="000000"/>
          <w:sz w:val="24"/>
          <w:szCs w:val="24"/>
        </w:rPr>
        <w:t xml:space="preserve">(Immigration and Asylum </w:t>
      </w:r>
      <w:r w:rsidR="00647419">
        <w:rPr>
          <w:rFonts w:ascii="Book Antiqua" w:hAnsi="Book Antiqua" w:cs="Arial"/>
          <w:b/>
          <w:color w:val="000000"/>
          <w:sz w:val="24"/>
          <w:szCs w:val="24"/>
        </w:rPr>
        <w:t>Chamber)</w:t>
      </w:r>
      <w:r w:rsidR="00647419">
        <w:rPr>
          <w:rFonts w:ascii="Book Antiqua" w:hAnsi="Book Antiqua" w:cs="Arial"/>
          <w:b/>
          <w:color w:val="000000"/>
          <w:sz w:val="24"/>
          <w:szCs w:val="24"/>
        </w:rPr>
        <w:tab/>
        <w:t xml:space="preserve">            </w:t>
      </w:r>
      <w:r w:rsidRPr="009E09B1">
        <w:rPr>
          <w:rFonts w:ascii="Book Antiqua" w:hAnsi="Book Antiqua" w:cs="Arial"/>
          <w:b/>
          <w:color w:val="000000"/>
          <w:sz w:val="24"/>
          <w:szCs w:val="24"/>
        </w:rPr>
        <w:t xml:space="preserve">      </w:t>
      </w:r>
      <w:r w:rsidRPr="00647419">
        <w:rPr>
          <w:b/>
          <w:sz w:val="24"/>
          <w:szCs w:val="24"/>
        </w:rPr>
        <w:t>Appeal Number HU/23985/2016</w:t>
      </w:r>
    </w:p>
    <w:p w14:paraId="40CD5CCD" w14:textId="77777777" w:rsidR="00A92B06" w:rsidRPr="00647419" w:rsidRDefault="00A92B06" w:rsidP="009E09B1">
      <w:pPr>
        <w:rPr>
          <w:b/>
          <w:sz w:val="24"/>
          <w:szCs w:val="24"/>
        </w:rPr>
      </w:pPr>
    </w:p>
    <w:p w14:paraId="216E025C" w14:textId="77777777" w:rsidR="00A92B06" w:rsidRPr="00647419" w:rsidRDefault="00A92B06" w:rsidP="009E09B1">
      <w:pPr>
        <w:jc w:val="center"/>
        <w:rPr>
          <w:b/>
          <w:sz w:val="24"/>
          <w:szCs w:val="24"/>
          <w:u w:val="single"/>
        </w:rPr>
      </w:pPr>
      <w:r w:rsidRPr="00647419">
        <w:rPr>
          <w:b/>
          <w:sz w:val="24"/>
          <w:szCs w:val="24"/>
          <w:u w:val="single"/>
        </w:rPr>
        <w:t>THE IMMIGRATION ACTS</w:t>
      </w:r>
    </w:p>
    <w:p w14:paraId="145D4DC1" w14:textId="77777777" w:rsidR="00A92B06" w:rsidRPr="00647419" w:rsidRDefault="00A92B06" w:rsidP="009E09B1">
      <w:pPr>
        <w:jc w:val="center"/>
        <w:rPr>
          <w:b/>
          <w:sz w:val="24"/>
          <w:szCs w:val="24"/>
          <w:u w:val="single"/>
        </w:rPr>
      </w:pPr>
    </w:p>
    <w:p w14:paraId="5A7C9FC8" w14:textId="63680E0C" w:rsidR="00A92B06" w:rsidRPr="00647419" w:rsidRDefault="00A92B06" w:rsidP="009E09B1">
      <w:pPr>
        <w:rPr>
          <w:b/>
          <w:sz w:val="24"/>
          <w:szCs w:val="24"/>
        </w:rPr>
      </w:pPr>
      <w:r w:rsidRPr="00647419">
        <w:rPr>
          <w:b/>
          <w:sz w:val="24"/>
          <w:szCs w:val="24"/>
        </w:rPr>
        <w:t xml:space="preserve">Heard at Field House              </w:t>
      </w:r>
      <w:r w:rsidR="00647419">
        <w:rPr>
          <w:b/>
          <w:sz w:val="24"/>
          <w:szCs w:val="24"/>
        </w:rPr>
        <w:t xml:space="preserve">                 </w:t>
      </w:r>
      <w:r w:rsidRPr="00647419">
        <w:rPr>
          <w:b/>
          <w:sz w:val="24"/>
          <w:szCs w:val="24"/>
        </w:rPr>
        <w:t xml:space="preserve">                       Decision and Reasons Promulgated</w:t>
      </w:r>
    </w:p>
    <w:p w14:paraId="7A0A9E1C" w14:textId="407CF215" w:rsidR="00A92B06" w:rsidRPr="00647419" w:rsidRDefault="00A92B06" w:rsidP="009E09B1">
      <w:pPr>
        <w:rPr>
          <w:b/>
          <w:sz w:val="24"/>
          <w:szCs w:val="24"/>
        </w:rPr>
      </w:pPr>
      <w:r w:rsidRPr="00647419">
        <w:rPr>
          <w:b/>
          <w:sz w:val="24"/>
          <w:szCs w:val="24"/>
        </w:rPr>
        <w:t>On 23</w:t>
      </w:r>
      <w:r w:rsidRPr="00647419">
        <w:rPr>
          <w:b/>
          <w:sz w:val="24"/>
          <w:szCs w:val="24"/>
          <w:vertAlign w:val="superscript"/>
        </w:rPr>
        <w:t>rd</w:t>
      </w:r>
      <w:r w:rsidRPr="00647419">
        <w:rPr>
          <w:b/>
          <w:sz w:val="24"/>
          <w:szCs w:val="24"/>
        </w:rPr>
        <w:t xml:space="preserve"> July 2018</w:t>
      </w:r>
      <w:r w:rsidR="00647419">
        <w:rPr>
          <w:b/>
          <w:sz w:val="24"/>
          <w:szCs w:val="24"/>
        </w:rPr>
        <w:tab/>
      </w:r>
      <w:r w:rsidR="00647419">
        <w:rPr>
          <w:b/>
          <w:sz w:val="24"/>
          <w:szCs w:val="24"/>
        </w:rPr>
        <w:tab/>
      </w:r>
      <w:r w:rsidR="00647419">
        <w:rPr>
          <w:b/>
          <w:sz w:val="24"/>
          <w:szCs w:val="24"/>
        </w:rPr>
        <w:tab/>
        <w:t xml:space="preserve">                            </w:t>
      </w:r>
      <w:r w:rsidR="008C626B" w:rsidRPr="00647419">
        <w:rPr>
          <w:b/>
          <w:sz w:val="24"/>
          <w:szCs w:val="24"/>
        </w:rPr>
        <w:t xml:space="preserve">  On 30</w:t>
      </w:r>
      <w:r w:rsidR="008C626B" w:rsidRPr="00647419">
        <w:rPr>
          <w:b/>
          <w:sz w:val="24"/>
          <w:szCs w:val="24"/>
          <w:vertAlign w:val="superscript"/>
        </w:rPr>
        <w:t>th</w:t>
      </w:r>
      <w:r w:rsidR="008C626B" w:rsidRPr="00647419">
        <w:rPr>
          <w:b/>
          <w:sz w:val="24"/>
          <w:szCs w:val="24"/>
        </w:rPr>
        <w:t xml:space="preserve"> July 2018 </w:t>
      </w:r>
    </w:p>
    <w:p w14:paraId="04608BF1" w14:textId="454CFDCB" w:rsidR="00A92B06" w:rsidRPr="00647419" w:rsidRDefault="00A92B06" w:rsidP="009E09B1">
      <w:pPr>
        <w:rPr>
          <w:b/>
          <w:sz w:val="24"/>
          <w:szCs w:val="24"/>
        </w:rPr>
      </w:pPr>
      <w:r w:rsidRPr="00647419">
        <w:rPr>
          <w:b/>
          <w:sz w:val="24"/>
          <w:szCs w:val="24"/>
        </w:rPr>
        <w:t xml:space="preserve">                                                                                               </w:t>
      </w:r>
      <w:r w:rsidR="008C626B" w:rsidRPr="00647419">
        <w:rPr>
          <w:b/>
          <w:sz w:val="24"/>
          <w:szCs w:val="24"/>
        </w:rPr>
        <w:t xml:space="preserve">                          </w:t>
      </w:r>
    </w:p>
    <w:p w14:paraId="3EAEF0B7" w14:textId="77777777" w:rsidR="00647419" w:rsidRDefault="00647419" w:rsidP="009E09B1">
      <w:pPr>
        <w:jc w:val="center"/>
        <w:rPr>
          <w:b/>
          <w:sz w:val="24"/>
          <w:szCs w:val="24"/>
        </w:rPr>
      </w:pPr>
    </w:p>
    <w:p w14:paraId="06E54218" w14:textId="145FEA5F" w:rsidR="00A92B06" w:rsidRPr="00647419" w:rsidRDefault="00A92B06" w:rsidP="009E09B1">
      <w:pPr>
        <w:jc w:val="center"/>
        <w:rPr>
          <w:b/>
          <w:sz w:val="24"/>
          <w:szCs w:val="24"/>
        </w:rPr>
      </w:pPr>
      <w:r w:rsidRPr="00647419">
        <w:rPr>
          <w:b/>
          <w:sz w:val="24"/>
          <w:szCs w:val="24"/>
        </w:rPr>
        <w:t>Before</w:t>
      </w:r>
    </w:p>
    <w:p w14:paraId="24254645" w14:textId="77777777" w:rsidR="00A92B06" w:rsidRPr="00647419" w:rsidRDefault="00A92B06" w:rsidP="009E09B1">
      <w:pPr>
        <w:jc w:val="center"/>
        <w:rPr>
          <w:b/>
          <w:sz w:val="24"/>
          <w:szCs w:val="24"/>
        </w:rPr>
      </w:pPr>
    </w:p>
    <w:p w14:paraId="45059DB5" w14:textId="77777777" w:rsidR="00A92B06" w:rsidRPr="00647419" w:rsidRDefault="00A92B06" w:rsidP="009E09B1">
      <w:pPr>
        <w:jc w:val="center"/>
        <w:rPr>
          <w:b/>
          <w:sz w:val="24"/>
          <w:szCs w:val="24"/>
        </w:rPr>
      </w:pPr>
      <w:r w:rsidRPr="00647419">
        <w:rPr>
          <w:b/>
          <w:sz w:val="24"/>
          <w:szCs w:val="24"/>
        </w:rPr>
        <w:t>DEPUTY UPPER TRIBUNAL JUDGE PARKES</w:t>
      </w:r>
    </w:p>
    <w:p w14:paraId="037FFE07" w14:textId="77777777" w:rsidR="00A92B06" w:rsidRPr="00647419" w:rsidRDefault="00A92B06" w:rsidP="009E09B1">
      <w:pPr>
        <w:jc w:val="center"/>
        <w:rPr>
          <w:b/>
          <w:sz w:val="24"/>
          <w:szCs w:val="24"/>
        </w:rPr>
      </w:pPr>
    </w:p>
    <w:p w14:paraId="6040FAC7" w14:textId="77777777" w:rsidR="00A92B06" w:rsidRPr="00647419" w:rsidRDefault="00A92B06" w:rsidP="009E09B1">
      <w:pPr>
        <w:jc w:val="center"/>
        <w:rPr>
          <w:b/>
          <w:sz w:val="24"/>
          <w:szCs w:val="24"/>
        </w:rPr>
      </w:pPr>
      <w:r w:rsidRPr="00647419">
        <w:rPr>
          <w:b/>
          <w:sz w:val="24"/>
          <w:szCs w:val="24"/>
        </w:rPr>
        <w:t>Between</w:t>
      </w:r>
    </w:p>
    <w:p w14:paraId="37E192E3" w14:textId="77777777" w:rsidR="00A92B06" w:rsidRPr="00647419" w:rsidRDefault="00A92B06" w:rsidP="009E09B1">
      <w:pPr>
        <w:jc w:val="center"/>
        <w:rPr>
          <w:b/>
          <w:sz w:val="24"/>
          <w:szCs w:val="24"/>
        </w:rPr>
      </w:pPr>
    </w:p>
    <w:p w14:paraId="63CCEC33" w14:textId="77777777" w:rsidR="00A92B06" w:rsidRPr="00647419" w:rsidRDefault="00A92B06" w:rsidP="009E09B1">
      <w:pPr>
        <w:jc w:val="center"/>
        <w:rPr>
          <w:b/>
          <w:sz w:val="24"/>
          <w:szCs w:val="24"/>
        </w:rPr>
      </w:pPr>
      <w:r w:rsidRPr="00647419">
        <w:rPr>
          <w:b/>
          <w:sz w:val="24"/>
          <w:szCs w:val="24"/>
        </w:rPr>
        <w:t>GOPAL RAI</w:t>
      </w:r>
    </w:p>
    <w:p w14:paraId="478E4348" w14:textId="77777777" w:rsidR="00A92B06" w:rsidRPr="009E09B1" w:rsidRDefault="00A92B06" w:rsidP="009E09B1">
      <w:pPr>
        <w:jc w:val="center"/>
        <w:rPr>
          <w:sz w:val="24"/>
          <w:szCs w:val="24"/>
        </w:rPr>
      </w:pPr>
      <w:r w:rsidRPr="009E09B1">
        <w:rPr>
          <w:sz w:val="24"/>
          <w:szCs w:val="24"/>
        </w:rPr>
        <w:t>(ANONYMITY DIRECTION NOT MADE)</w:t>
      </w:r>
    </w:p>
    <w:p w14:paraId="37B80A6E" w14:textId="77777777" w:rsidR="00A92B06" w:rsidRPr="009E09B1" w:rsidRDefault="00A92B06" w:rsidP="009E09B1">
      <w:pPr>
        <w:jc w:val="right"/>
        <w:rPr>
          <w:sz w:val="24"/>
          <w:szCs w:val="24"/>
          <w:u w:val="single"/>
        </w:rPr>
      </w:pPr>
      <w:r w:rsidRPr="009E09B1">
        <w:rPr>
          <w:sz w:val="24"/>
          <w:szCs w:val="24"/>
          <w:u w:val="single"/>
        </w:rPr>
        <w:t>Appellant</w:t>
      </w:r>
    </w:p>
    <w:p w14:paraId="2A74FFAB" w14:textId="77777777" w:rsidR="00A92B06" w:rsidRPr="00647419" w:rsidRDefault="00A92B06" w:rsidP="009E09B1">
      <w:pPr>
        <w:jc w:val="center"/>
        <w:rPr>
          <w:b/>
          <w:sz w:val="24"/>
          <w:szCs w:val="24"/>
        </w:rPr>
      </w:pPr>
      <w:r w:rsidRPr="00647419">
        <w:rPr>
          <w:b/>
          <w:sz w:val="24"/>
          <w:szCs w:val="24"/>
        </w:rPr>
        <w:t>And</w:t>
      </w:r>
    </w:p>
    <w:p w14:paraId="65811790" w14:textId="77777777" w:rsidR="00A92B06" w:rsidRPr="00647419" w:rsidRDefault="00A92B06" w:rsidP="009E09B1">
      <w:pPr>
        <w:jc w:val="center"/>
        <w:rPr>
          <w:b/>
          <w:sz w:val="24"/>
          <w:szCs w:val="24"/>
        </w:rPr>
      </w:pPr>
      <w:r w:rsidRPr="00647419">
        <w:rPr>
          <w:b/>
          <w:sz w:val="24"/>
          <w:szCs w:val="24"/>
        </w:rPr>
        <w:t xml:space="preserve"> </w:t>
      </w:r>
    </w:p>
    <w:p w14:paraId="2471E45A" w14:textId="77777777" w:rsidR="00A92B06" w:rsidRPr="00647419" w:rsidRDefault="00A92B06" w:rsidP="009E09B1">
      <w:pPr>
        <w:jc w:val="center"/>
        <w:rPr>
          <w:b/>
          <w:sz w:val="24"/>
          <w:szCs w:val="24"/>
        </w:rPr>
      </w:pPr>
      <w:r w:rsidRPr="00647419">
        <w:rPr>
          <w:b/>
          <w:sz w:val="24"/>
          <w:szCs w:val="24"/>
        </w:rPr>
        <w:t>SECRETARY OF STATE FOR THE HOME DEPARTMENT</w:t>
      </w:r>
    </w:p>
    <w:p w14:paraId="40521FE5" w14:textId="77777777" w:rsidR="00A92B06" w:rsidRPr="009E09B1" w:rsidRDefault="00A92B06" w:rsidP="009E09B1">
      <w:pPr>
        <w:jc w:val="right"/>
        <w:rPr>
          <w:sz w:val="24"/>
          <w:szCs w:val="24"/>
          <w:u w:val="single"/>
        </w:rPr>
      </w:pPr>
      <w:r w:rsidRPr="009E09B1">
        <w:rPr>
          <w:sz w:val="24"/>
          <w:szCs w:val="24"/>
          <w:u w:val="single"/>
        </w:rPr>
        <w:t>Respondent</w:t>
      </w:r>
    </w:p>
    <w:p w14:paraId="299E6DCF" w14:textId="43F216D4" w:rsidR="00A92B06" w:rsidRDefault="00A92B06" w:rsidP="009E09B1">
      <w:pPr>
        <w:jc w:val="right"/>
        <w:rPr>
          <w:sz w:val="24"/>
          <w:szCs w:val="24"/>
          <w:u w:val="single"/>
        </w:rPr>
      </w:pPr>
    </w:p>
    <w:p w14:paraId="39629836" w14:textId="652E9BE3" w:rsidR="00141F19" w:rsidRPr="00141F19" w:rsidRDefault="00141F19" w:rsidP="00141F19">
      <w:pPr>
        <w:rPr>
          <w:b/>
          <w:sz w:val="24"/>
          <w:szCs w:val="24"/>
          <w:u w:val="single"/>
        </w:rPr>
      </w:pPr>
      <w:r w:rsidRPr="00141F19">
        <w:rPr>
          <w:b/>
          <w:sz w:val="24"/>
          <w:szCs w:val="24"/>
          <w:u w:val="single"/>
        </w:rPr>
        <w:t>Representation:</w:t>
      </w:r>
    </w:p>
    <w:p w14:paraId="481F510B" w14:textId="77777777" w:rsidR="00141F19" w:rsidRPr="009E09B1" w:rsidRDefault="00141F19" w:rsidP="00141F19">
      <w:pPr>
        <w:rPr>
          <w:sz w:val="24"/>
          <w:szCs w:val="24"/>
          <w:u w:val="single"/>
        </w:rPr>
      </w:pPr>
    </w:p>
    <w:p w14:paraId="3DE75AF7" w14:textId="73DEAD7C" w:rsidR="00A92B06" w:rsidRPr="009E09B1" w:rsidRDefault="00A92B06" w:rsidP="009E09B1">
      <w:pPr>
        <w:rPr>
          <w:sz w:val="24"/>
          <w:szCs w:val="24"/>
        </w:rPr>
      </w:pPr>
      <w:r w:rsidRPr="009E09B1">
        <w:rPr>
          <w:sz w:val="24"/>
          <w:szCs w:val="24"/>
        </w:rPr>
        <w:t xml:space="preserve">For the Appellant: </w:t>
      </w:r>
      <w:r w:rsidR="00141F19">
        <w:rPr>
          <w:sz w:val="24"/>
          <w:szCs w:val="24"/>
        </w:rPr>
        <w:t xml:space="preserve">       </w:t>
      </w:r>
      <w:r>
        <w:rPr>
          <w:sz w:val="24"/>
          <w:szCs w:val="24"/>
        </w:rPr>
        <w:t>Mr M Puar</w:t>
      </w:r>
      <w:r w:rsidRPr="009E09B1">
        <w:rPr>
          <w:sz w:val="24"/>
          <w:szCs w:val="24"/>
        </w:rPr>
        <w:t xml:space="preserve"> (</w:t>
      </w:r>
      <w:r>
        <w:rPr>
          <w:sz w:val="24"/>
          <w:szCs w:val="24"/>
        </w:rPr>
        <w:t xml:space="preserve">Counsel, instructed by </w:t>
      </w:r>
      <w:r w:rsidR="00B8181D">
        <w:rPr>
          <w:sz w:val="24"/>
          <w:szCs w:val="24"/>
        </w:rPr>
        <w:t>N C Brothers &amp; Co, Solicitors</w:t>
      </w:r>
      <w:r w:rsidRPr="009E09B1">
        <w:rPr>
          <w:sz w:val="24"/>
          <w:szCs w:val="24"/>
        </w:rPr>
        <w:t>)</w:t>
      </w:r>
    </w:p>
    <w:p w14:paraId="6F999B7B" w14:textId="33DF5E52" w:rsidR="00A92B06" w:rsidRPr="009E09B1" w:rsidRDefault="00A92B06" w:rsidP="009E09B1">
      <w:pPr>
        <w:rPr>
          <w:sz w:val="24"/>
          <w:szCs w:val="24"/>
        </w:rPr>
      </w:pPr>
      <w:r w:rsidRPr="009E09B1">
        <w:rPr>
          <w:sz w:val="24"/>
          <w:szCs w:val="24"/>
        </w:rPr>
        <w:t xml:space="preserve">For the Respondent: </w:t>
      </w:r>
      <w:r w:rsidR="00141F19">
        <w:rPr>
          <w:sz w:val="24"/>
          <w:szCs w:val="24"/>
        </w:rPr>
        <w:t xml:space="preserve">    </w:t>
      </w:r>
      <w:r w:rsidRPr="009E09B1">
        <w:rPr>
          <w:sz w:val="24"/>
          <w:szCs w:val="24"/>
        </w:rPr>
        <w:t>M</w:t>
      </w:r>
      <w:r>
        <w:rPr>
          <w:sz w:val="24"/>
          <w:szCs w:val="24"/>
        </w:rPr>
        <w:t>s K Pal</w:t>
      </w:r>
      <w:r w:rsidRPr="009E09B1">
        <w:rPr>
          <w:sz w:val="24"/>
          <w:szCs w:val="24"/>
        </w:rPr>
        <w:t xml:space="preserve"> (Home Office Presenting Officer)</w:t>
      </w:r>
    </w:p>
    <w:p w14:paraId="72EEB125" w14:textId="77777777" w:rsidR="00A92B06" w:rsidRPr="009E09B1" w:rsidRDefault="00A92B06" w:rsidP="009E09B1">
      <w:pPr>
        <w:rPr>
          <w:sz w:val="24"/>
          <w:szCs w:val="24"/>
        </w:rPr>
      </w:pPr>
    </w:p>
    <w:p w14:paraId="4A0ED532" w14:textId="77777777" w:rsidR="00A92B06" w:rsidRPr="00141F19" w:rsidRDefault="00A92B06" w:rsidP="009E09B1">
      <w:pPr>
        <w:jc w:val="center"/>
        <w:rPr>
          <w:b/>
          <w:sz w:val="24"/>
          <w:szCs w:val="24"/>
        </w:rPr>
      </w:pPr>
      <w:r w:rsidRPr="00141F19">
        <w:rPr>
          <w:b/>
          <w:sz w:val="24"/>
          <w:szCs w:val="24"/>
          <w:u w:val="single"/>
        </w:rPr>
        <w:t>DETERMINATION AND REASONS</w:t>
      </w:r>
    </w:p>
    <w:p w14:paraId="3615C9A3" w14:textId="77777777" w:rsidR="00A92B06" w:rsidRPr="009E09B1" w:rsidRDefault="00A92B06" w:rsidP="009E09B1">
      <w:pPr>
        <w:rPr>
          <w:sz w:val="24"/>
          <w:szCs w:val="24"/>
        </w:rPr>
      </w:pPr>
    </w:p>
    <w:p w14:paraId="7CE55052" w14:textId="5E12708F" w:rsidR="00A92B06" w:rsidRPr="009E09B1" w:rsidRDefault="00A92B06" w:rsidP="00A92B06">
      <w:pPr>
        <w:numPr>
          <w:ilvl w:val="0"/>
          <w:numId w:val="1"/>
        </w:numPr>
        <w:rPr>
          <w:sz w:val="24"/>
          <w:szCs w:val="24"/>
        </w:rPr>
      </w:pPr>
      <w:r w:rsidRPr="009E09B1">
        <w:rPr>
          <w:sz w:val="24"/>
          <w:szCs w:val="24"/>
        </w:rPr>
        <w:t>The</w:t>
      </w:r>
      <w:r w:rsidR="00B8181D">
        <w:rPr>
          <w:sz w:val="24"/>
          <w:szCs w:val="24"/>
        </w:rPr>
        <w:t xml:space="preserve"> Appellant's appeal against the refusal of his application for entry clearance was heard by First-tier Tribunal Judge </w:t>
      </w:r>
      <w:proofErr w:type="spellStart"/>
      <w:r w:rsidR="00B8181D">
        <w:rPr>
          <w:sz w:val="24"/>
          <w:szCs w:val="24"/>
        </w:rPr>
        <w:t>Hawden</w:t>
      </w:r>
      <w:proofErr w:type="spellEnd"/>
      <w:r w:rsidR="00B8181D">
        <w:rPr>
          <w:sz w:val="24"/>
          <w:szCs w:val="24"/>
        </w:rPr>
        <w:t>-Beale at Birmingham on the 8</w:t>
      </w:r>
      <w:r w:rsidR="00B8181D" w:rsidRPr="00B8181D">
        <w:rPr>
          <w:sz w:val="24"/>
          <w:szCs w:val="24"/>
          <w:vertAlign w:val="superscript"/>
        </w:rPr>
        <w:t>th</w:t>
      </w:r>
      <w:r w:rsidR="00B8181D">
        <w:rPr>
          <w:sz w:val="24"/>
          <w:szCs w:val="24"/>
        </w:rPr>
        <w:t xml:space="preserve"> of November 2017. The appeal was allowed in the decision promulgated on the 22</w:t>
      </w:r>
      <w:r w:rsidR="00B8181D" w:rsidRPr="00B8181D">
        <w:rPr>
          <w:sz w:val="24"/>
          <w:szCs w:val="24"/>
          <w:vertAlign w:val="superscript"/>
        </w:rPr>
        <w:t>nd</w:t>
      </w:r>
      <w:r w:rsidR="00B8181D">
        <w:rPr>
          <w:sz w:val="24"/>
          <w:szCs w:val="24"/>
        </w:rPr>
        <w:t xml:space="preserve"> of November 2017. The Judge found that there was family life between the Appellant and the Sponsor and that article 8 was engaged, </w:t>
      </w:r>
      <w:r w:rsidR="00C530FC">
        <w:rPr>
          <w:sz w:val="24"/>
          <w:szCs w:val="24"/>
        </w:rPr>
        <w:t>the Judge went on to find that the exclusion of the Appellant was disprop</w:t>
      </w:r>
      <w:r w:rsidR="006A2169">
        <w:rPr>
          <w:sz w:val="24"/>
          <w:szCs w:val="24"/>
        </w:rPr>
        <w:t>o</w:t>
      </w:r>
      <w:r w:rsidR="00C530FC">
        <w:rPr>
          <w:sz w:val="24"/>
          <w:szCs w:val="24"/>
        </w:rPr>
        <w:t xml:space="preserve">rtionate </w:t>
      </w:r>
      <w:r w:rsidR="006A2169">
        <w:rPr>
          <w:sz w:val="24"/>
          <w:szCs w:val="24"/>
        </w:rPr>
        <w:t>and allowed the appeal.</w:t>
      </w:r>
    </w:p>
    <w:p w14:paraId="04475F64" w14:textId="77777777" w:rsidR="00A92B06" w:rsidRPr="009E09B1" w:rsidRDefault="00A92B06" w:rsidP="009E09B1">
      <w:pPr>
        <w:rPr>
          <w:sz w:val="24"/>
          <w:szCs w:val="24"/>
        </w:rPr>
      </w:pPr>
    </w:p>
    <w:p w14:paraId="41232DB6" w14:textId="350D6EF8" w:rsidR="00A92B06" w:rsidRPr="009E09B1" w:rsidRDefault="00A92B06" w:rsidP="00A92B06">
      <w:pPr>
        <w:numPr>
          <w:ilvl w:val="0"/>
          <w:numId w:val="1"/>
        </w:numPr>
        <w:rPr>
          <w:sz w:val="24"/>
          <w:szCs w:val="24"/>
        </w:rPr>
      </w:pPr>
      <w:r w:rsidRPr="009E09B1">
        <w:rPr>
          <w:sz w:val="24"/>
          <w:szCs w:val="24"/>
        </w:rPr>
        <w:t>The</w:t>
      </w:r>
      <w:r w:rsidR="006A2169">
        <w:rPr>
          <w:sz w:val="24"/>
          <w:szCs w:val="24"/>
        </w:rPr>
        <w:t xml:space="preserve"> Secretary of State sought permission to appeal on the basis that the Judge was wrong to find that article 8(1) was engaged given the Appellant was a healthy adult who had lived apart from his family and that financial dependency was not enough. </w:t>
      </w:r>
      <w:proofErr w:type="gramStart"/>
      <w:r w:rsidR="006A2169">
        <w:rPr>
          <w:sz w:val="24"/>
          <w:szCs w:val="24"/>
        </w:rPr>
        <w:t>Alternatively</w:t>
      </w:r>
      <w:proofErr w:type="gramEnd"/>
      <w:r w:rsidR="006A2169">
        <w:rPr>
          <w:sz w:val="24"/>
          <w:szCs w:val="24"/>
        </w:rPr>
        <w:t xml:space="preserve"> it was also argued that the Judge erred in the proportionality assessment </w:t>
      </w:r>
      <w:r w:rsidR="002C2B17">
        <w:rPr>
          <w:sz w:val="24"/>
          <w:szCs w:val="24"/>
        </w:rPr>
        <w:t xml:space="preserve">having focussed in the historic injustice rather than the reality of the Appellant's circumstances and the likelihood of his being dependent on the state in the UK. </w:t>
      </w:r>
      <w:r w:rsidR="0055610A">
        <w:rPr>
          <w:sz w:val="24"/>
          <w:szCs w:val="24"/>
        </w:rPr>
        <w:t xml:space="preserve">Permission was granted by Designated First-tier Tribunal Judge Peart on both grounds. </w:t>
      </w:r>
    </w:p>
    <w:p w14:paraId="7D9D634C" w14:textId="77777777" w:rsidR="00A92B06" w:rsidRPr="009E09B1" w:rsidRDefault="00A92B06" w:rsidP="009E09B1">
      <w:pPr>
        <w:rPr>
          <w:sz w:val="24"/>
          <w:szCs w:val="24"/>
        </w:rPr>
      </w:pPr>
    </w:p>
    <w:p w14:paraId="19F7660E" w14:textId="6DFE8422" w:rsidR="00A92B06" w:rsidRDefault="0055610A" w:rsidP="00A92B06">
      <w:pPr>
        <w:numPr>
          <w:ilvl w:val="0"/>
          <w:numId w:val="1"/>
        </w:numPr>
        <w:rPr>
          <w:sz w:val="24"/>
          <w:szCs w:val="24"/>
        </w:rPr>
      </w:pPr>
      <w:r>
        <w:rPr>
          <w:sz w:val="24"/>
          <w:szCs w:val="24"/>
        </w:rPr>
        <w:lastRenderedPageBreak/>
        <w:t xml:space="preserve">At the hearing before the Upper Tribunal both parties maintained their respective positions. The submissions are set out in the Record of Proceedings and are referred to where relevant below.  </w:t>
      </w:r>
    </w:p>
    <w:p w14:paraId="5D83784E" w14:textId="77777777" w:rsidR="0055610A" w:rsidRDefault="0055610A" w:rsidP="0055610A">
      <w:pPr>
        <w:pStyle w:val="ListParagraph"/>
        <w:rPr>
          <w:sz w:val="24"/>
          <w:szCs w:val="24"/>
        </w:rPr>
      </w:pPr>
    </w:p>
    <w:p w14:paraId="581FF83F" w14:textId="2F97091B" w:rsidR="0055610A" w:rsidRPr="009E09B1" w:rsidRDefault="0055610A" w:rsidP="00A92B06">
      <w:pPr>
        <w:numPr>
          <w:ilvl w:val="0"/>
          <w:numId w:val="1"/>
        </w:numPr>
        <w:rPr>
          <w:sz w:val="24"/>
          <w:szCs w:val="24"/>
        </w:rPr>
      </w:pPr>
      <w:r>
        <w:rPr>
          <w:sz w:val="24"/>
          <w:szCs w:val="24"/>
        </w:rPr>
        <w:t xml:space="preserve">In finding that family life existed between the Appellant and the Sponsor the Judge addressed the issue in paragraphs 15 and 16. Relying on the case law set out in the decision, the cases of </w:t>
      </w:r>
      <w:proofErr w:type="spellStart"/>
      <w:r>
        <w:rPr>
          <w:sz w:val="24"/>
          <w:szCs w:val="24"/>
          <w:u w:val="single"/>
        </w:rPr>
        <w:t>Ghishing</w:t>
      </w:r>
      <w:proofErr w:type="spellEnd"/>
      <w:r>
        <w:rPr>
          <w:sz w:val="24"/>
          <w:szCs w:val="24"/>
          <w:u w:val="single"/>
        </w:rPr>
        <w:t xml:space="preserve"> [2012]</w:t>
      </w:r>
      <w:r>
        <w:rPr>
          <w:sz w:val="24"/>
          <w:szCs w:val="24"/>
        </w:rPr>
        <w:t xml:space="preserve">, </w:t>
      </w:r>
      <w:proofErr w:type="spellStart"/>
      <w:r>
        <w:rPr>
          <w:sz w:val="24"/>
          <w:szCs w:val="24"/>
          <w:u w:val="single"/>
        </w:rPr>
        <w:t>Ghishing</w:t>
      </w:r>
      <w:proofErr w:type="spellEnd"/>
      <w:r>
        <w:rPr>
          <w:sz w:val="24"/>
          <w:szCs w:val="24"/>
          <w:u w:val="single"/>
        </w:rPr>
        <w:t xml:space="preserve"> [2013]</w:t>
      </w:r>
      <w:r>
        <w:rPr>
          <w:sz w:val="24"/>
          <w:szCs w:val="24"/>
        </w:rPr>
        <w:t xml:space="preserve"> and </w:t>
      </w:r>
      <w:r>
        <w:rPr>
          <w:sz w:val="24"/>
          <w:szCs w:val="24"/>
          <w:u w:val="single"/>
        </w:rPr>
        <w:t>Rai</w:t>
      </w:r>
      <w:r>
        <w:rPr>
          <w:sz w:val="24"/>
          <w:szCs w:val="24"/>
        </w:rPr>
        <w:t xml:space="preserve"> and others the Judge focussed on whether the Appellant had established an independent family life. Still living alone and financially supported by the Sponsor with no employment the Judge found that that was sufficient to engage article 8. </w:t>
      </w:r>
      <w:r w:rsidR="00CE774E">
        <w:rPr>
          <w:sz w:val="24"/>
          <w:szCs w:val="24"/>
        </w:rPr>
        <w:t>As the Judge had recorded in Mr Puar’s submissions</w:t>
      </w:r>
      <w:r w:rsidR="00A02247">
        <w:rPr>
          <w:sz w:val="24"/>
          <w:szCs w:val="24"/>
        </w:rPr>
        <w:t xml:space="preserve"> the fact that the Appellant might be able to obtain work was not, from </w:t>
      </w:r>
      <w:r w:rsidR="00A02247">
        <w:rPr>
          <w:sz w:val="24"/>
          <w:szCs w:val="24"/>
          <w:u w:val="single"/>
        </w:rPr>
        <w:t>Rai</w:t>
      </w:r>
      <w:r w:rsidR="00A02247">
        <w:rPr>
          <w:sz w:val="24"/>
          <w:szCs w:val="24"/>
        </w:rPr>
        <w:t xml:space="preserve">, a relevant consideration. </w:t>
      </w:r>
      <w:r w:rsidR="0002364C">
        <w:rPr>
          <w:sz w:val="24"/>
          <w:szCs w:val="24"/>
        </w:rPr>
        <w:t>On the evidence that was presented and which the Judge accepted it was a finding open to her that article 8(1) was engaged and the decision is not vitiated by an error.</w:t>
      </w:r>
    </w:p>
    <w:p w14:paraId="4312DBE9" w14:textId="77777777" w:rsidR="00A92B06" w:rsidRPr="009E09B1" w:rsidRDefault="00A92B06" w:rsidP="009E09B1">
      <w:pPr>
        <w:rPr>
          <w:sz w:val="24"/>
          <w:szCs w:val="24"/>
        </w:rPr>
      </w:pPr>
    </w:p>
    <w:p w14:paraId="458B55A8" w14:textId="1B9EF59F" w:rsidR="00A92B06" w:rsidRDefault="0002364C" w:rsidP="00A92B06">
      <w:pPr>
        <w:numPr>
          <w:ilvl w:val="0"/>
          <w:numId w:val="1"/>
        </w:numPr>
        <w:rPr>
          <w:sz w:val="24"/>
          <w:szCs w:val="24"/>
        </w:rPr>
      </w:pPr>
      <w:r>
        <w:rPr>
          <w:sz w:val="24"/>
          <w:szCs w:val="24"/>
        </w:rPr>
        <w:t xml:space="preserve">Turning to proportionality the considerations that apply in </w:t>
      </w:r>
      <w:proofErr w:type="spellStart"/>
      <w:r>
        <w:rPr>
          <w:sz w:val="24"/>
          <w:szCs w:val="24"/>
        </w:rPr>
        <w:t>Ghurka</w:t>
      </w:r>
      <w:proofErr w:type="spellEnd"/>
      <w:r>
        <w:rPr>
          <w:sz w:val="24"/>
          <w:szCs w:val="24"/>
        </w:rPr>
        <w:t xml:space="preserve"> cases </w:t>
      </w:r>
      <w:r w:rsidR="00890077">
        <w:rPr>
          <w:sz w:val="24"/>
          <w:szCs w:val="24"/>
        </w:rPr>
        <w:t xml:space="preserve">there are different considerations which reflect the courts’ approach to the historic injustice. These too were set out in the decision at paragraph </w:t>
      </w:r>
      <w:r w:rsidR="00736651">
        <w:rPr>
          <w:sz w:val="24"/>
          <w:szCs w:val="24"/>
        </w:rPr>
        <w:t>22 of the decision. Applying the principles set out the Judge went on to find that the decision to exclude the Appellant was disproportionate. Having found that but for the circumstances that applied the Appellant would have settled with his parents had that been available the Judge’s findings were open to her and cannot be said to amount to an error of law.</w:t>
      </w:r>
    </w:p>
    <w:p w14:paraId="3D5E6C6E" w14:textId="77777777" w:rsidR="00736651" w:rsidRDefault="00736651" w:rsidP="00736651">
      <w:pPr>
        <w:pStyle w:val="ListParagraph"/>
        <w:rPr>
          <w:sz w:val="24"/>
          <w:szCs w:val="24"/>
        </w:rPr>
      </w:pPr>
    </w:p>
    <w:p w14:paraId="3C41A4DC" w14:textId="72B513C2" w:rsidR="00736651" w:rsidRPr="009E09B1" w:rsidRDefault="00736651" w:rsidP="00A92B06">
      <w:pPr>
        <w:numPr>
          <w:ilvl w:val="0"/>
          <w:numId w:val="1"/>
        </w:numPr>
        <w:rPr>
          <w:sz w:val="24"/>
          <w:szCs w:val="24"/>
        </w:rPr>
      </w:pPr>
      <w:r>
        <w:rPr>
          <w:sz w:val="24"/>
          <w:szCs w:val="24"/>
        </w:rPr>
        <w:t xml:space="preserve">For the reasons given I find that the decision of Judge </w:t>
      </w:r>
      <w:proofErr w:type="spellStart"/>
      <w:r>
        <w:rPr>
          <w:sz w:val="24"/>
          <w:szCs w:val="24"/>
        </w:rPr>
        <w:t>Hawden</w:t>
      </w:r>
      <w:proofErr w:type="spellEnd"/>
      <w:r>
        <w:rPr>
          <w:sz w:val="24"/>
          <w:szCs w:val="24"/>
        </w:rPr>
        <w:t xml:space="preserve">-Beal does not contain an error of law and accordingly stands as the disposal of this appeal.  </w:t>
      </w:r>
    </w:p>
    <w:p w14:paraId="0D61E9F9" w14:textId="77777777" w:rsidR="00A92B06" w:rsidRPr="009E09B1" w:rsidRDefault="00A92B06" w:rsidP="009E09B1">
      <w:pPr>
        <w:rPr>
          <w:sz w:val="24"/>
          <w:szCs w:val="24"/>
        </w:rPr>
      </w:pPr>
      <w:r w:rsidRPr="009E09B1">
        <w:rPr>
          <w:sz w:val="24"/>
          <w:szCs w:val="24"/>
        </w:rPr>
        <w:t xml:space="preserve"> </w:t>
      </w:r>
    </w:p>
    <w:p w14:paraId="0059A411" w14:textId="77777777" w:rsidR="00A92B06" w:rsidRPr="009E09B1" w:rsidRDefault="00A92B06" w:rsidP="009E09B1">
      <w:pPr>
        <w:rPr>
          <w:sz w:val="24"/>
          <w:szCs w:val="24"/>
        </w:rPr>
      </w:pPr>
      <w:r w:rsidRPr="009E09B1">
        <w:rPr>
          <w:sz w:val="24"/>
          <w:szCs w:val="24"/>
        </w:rPr>
        <w:t>CONCLUSIONS</w:t>
      </w:r>
    </w:p>
    <w:p w14:paraId="09F7D2E8" w14:textId="77777777" w:rsidR="00A92B06" w:rsidRPr="009E09B1" w:rsidRDefault="00A92B06" w:rsidP="009E09B1">
      <w:pPr>
        <w:rPr>
          <w:sz w:val="24"/>
          <w:szCs w:val="24"/>
        </w:rPr>
      </w:pPr>
    </w:p>
    <w:p w14:paraId="0362C0A3" w14:textId="77777777" w:rsidR="00A92B06" w:rsidRPr="009E09B1" w:rsidRDefault="00A92B06" w:rsidP="009E09B1">
      <w:pPr>
        <w:rPr>
          <w:sz w:val="24"/>
          <w:szCs w:val="24"/>
        </w:rPr>
      </w:pPr>
      <w:r w:rsidRPr="009E09B1">
        <w:rPr>
          <w:sz w:val="24"/>
          <w:szCs w:val="24"/>
        </w:rPr>
        <w:t>The making of the decision of the First-tier Tribunal did not involve the making of an error on a point of law.</w:t>
      </w:r>
    </w:p>
    <w:p w14:paraId="7E84F176" w14:textId="77777777" w:rsidR="00A92B06" w:rsidRPr="009E09B1" w:rsidRDefault="00A92B06" w:rsidP="009E09B1">
      <w:pPr>
        <w:rPr>
          <w:sz w:val="24"/>
          <w:szCs w:val="24"/>
        </w:rPr>
      </w:pPr>
    </w:p>
    <w:p w14:paraId="4D303F05" w14:textId="77777777" w:rsidR="00A92B06" w:rsidRPr="009E09B1" w:rsidRDefault="00A92B06" w:rsidP="009E09B1">
      <w:pPr>
        <w:rPr>
          <w:sz w:val="24"/>
          <w:szCs w:val="24"/>
        </w:rPr>
      </w:pPr>
      <w:r w:rsidRPr="009E09B1">
        <w:rPr>
          <w:sz w:val="24"/>
          <w:szCs w:val="24"/>
        </w:rPr>
        <w:t>I do not set aside the decision.</w:t>
      </w:r>
    </w:p>
    <w:p w14:paraId="4EEE7F34" w14:textId="77777777" w:rsidR="00A92B06" w:rsidRPr="009E09B1" w:rsidRDefault="00A92B06" w:rsidP="009E09B1">
      <w:pPr>
        <w:rPr>
          <w:sz w:val="24"/>
          <w:szCs w:val="24"/>
        </w:rPr>
      </w:pPr>
    </w:p>
    <w:p w14:paraId="2E92C64F" w14:textId="77777777" w:rsidR="00A92B06" w:rsidRPr="009E09B1" w:rsidRDefault="00A92B06" w:rsidP="009E09B1">
      <w:pPr>
        <w:rPr>
          <w:sz w:val="24"/>
          <w:szCs w:val="24"/>
        </w:rPr>
      </w:pPr>
      <w:r w:rsidRPr="009E09B1">
        <w:rPr>
          <w:sz w:val="24"/>
          <w:szCs w:val="24"/>
        </w:rPr>
        <w:t>Anonymity</w:t>
      </w:r>
    </w:p>
    <w:p w14:paraId="4FCE8510" w14:textId="77777777" w:rsidR="00A92B06" w:rsidRPr="009E09B1" w:rsidRDefault="00A92B06" w:rsidP="009E09B1">
      <w:pPr>
        <w:rPr>
          <w:sz w:val="24"/>
          <w:szCs w:val="24"/>
        </w:rPr>
      </w:pPr>
    </w:p>
    <w:p w14:paraId="40D391C7" w14:textId="57B14318" w:rsidR="00A92B06" w:rsidRPr="009E09B1" w:rsidRDefault="00A92B06" w:rsidP="009E09B1">
      <w:pPr>
        <w:rPr>
          <w:sz w:val="24"/>
          <w:szCs w:val="24"/>
        </w:rPr>
      </w:pPr>
      <w:r w:rsidRPr="009E09B1">
        <w:rPr>
          <w:sz w:val="24"/>
          <w:szCs w:val="24"/>
        </w:rPr>
        <w:t xml:space="preserve">The First-tier Tribunal </w:t>
      </w:r>
      <w:r w:rsidR="00736651">
        <w:rPr>
          <w:sz w:val="24"/>
          <w:szCs w:val="24"/>
        </w:rPr>
        <w:t xml:space="preserve">did not make </w:t>
      </w:r>
      <w:r w:rsidRPr="009E09B1">
        <w:rPr>
          <w:sz w:val="24"/>
          <w:szCs w:val="24"/>
        </w:rPr>
        <w:t>an order pursuant to rule 45(4)(</w:t>
      </w:r>
      <w:proofErr w:type="spellStart"/>
      <w:r w:rsidRPr="009E09B1">
        <w:rPr>
          <w:sz w:val="24"/>
          <w:szCs w:val="24"/>
        </w:rPr>
        <w:t>i</w:t>
      </w:r>
      <w:proofErr w:type="spellEnd"/>
      <w:r w:rsidRPr="009E09B1">
        <w:rPr>
          <w:sz w:val="24"/>
          <w:szCs w:val="24"/>
        </w:rPr>
        <w:t>) of the Asylum and Immigration Tribunal (Procedure) Rules 2</w:t>
      </w:r>
      <w:r w:rsidR="00736651">
        <w:rPr>
          <w:sz w:val="24"/>
          <w:szCs w:val="24"/>
        </w:rPr>
        <w:t>005 and I make no order.</w:t>
      </w:r>
    </w:p>
    <w:p w14:paraId="226F39E8" w14:textId="77777777" w:rsidR="00A92B06" w:rsidRPr="009E09B1" w:rsidRDefault="00A92B06" w:rsidP="009E09B1">
      <w:pPr>
        <w:rPr>
          <w:sz w:val="24"/>
          <w:szCs w:val="24"/>
        </w:rPr>
      </w:pPr>
    </w:p>
    <w:p w14:paraId="200D3693" w14:textId="77777777" w:rsidR="00A92B06" w:rsidRPr="009E09B1" w:rsidRDefault="00A92B06" w:rsidP="009E09B1">
      <w:pPr>
        <w:rPr>
          <w:sz w:val="24"/>
          <w:szCs w:val="24"/>
        </w:rPr>
      </w:pPr>
      <w:r w:rsidRPr="009E09B1">
        <w:rPr>
          <w:sz w:val="24"/>
          <w:szCs w:val="24"/>
        </w:rPr>
        <w:t>Fee Award</w:t>
      </w:r>
    </w:p>
    <w:p w14:paraId="35F36F35" w14:textId="77777777" w:rsidR="00A92B06" w:rsidRPr="009E09B1" w:rsidRDefault="00A92B06" w:rsidP="009E09B1">
      <w:pPr>
        <w:rPr>
          <w:sz w:val="24"/>
          <w:szCs w:val="24"/>
        </w:rPr>
      </w:pPr>
    </w:p>
    <w:p w14:paraId="56FE1ADF" w14:textId="1C512BAC" w:rsidR="00A92B06" w:rsidRPr="009E09B1" w:rsidRDefault="00A92B06" w:rsidP="009E09B1">
      <w:pPr>
        <w:rPr>
          <w:sz w:val="24"/>
          <w:szCs w:val="24"/>
        </w:rPr>
      </w:pPr>
      <w:r w:rsidRPr="009E09B1">
        <w:rPr>
          <w:sz w:val="24"/>
          <w:szCs w:val="24"/>
        </w:rPr>
        <w:t>In dismissing th</w:t>
      </w:r>
      <w:r w:rsidR="00736651">
        <w:rPr>
          <w:sz w:val="24"/>
          <w:szCs w:val="24"/>
        </w:rPr>
        <w:t xml:space="preserve">e Secretary of State’s </w:t>
      </w:r>
      <w:proofErr w:type="gramStart"/>
      <w:r w:rsidRPr="009E09B1">
        <w:rPr>
          <w:sz w:val="24"/>
          <w:szCs w:val="24"/>
        </w:rPr>
        <w:t>appeal</w:t>
      </w:r>
      <w:proofErr w:type="gramEnd"/>
      <w:r w:rsidRPr="009E09B1">
        <w:rPr>
          <w:sz w:val="24"/>
          <w:szCs w:val="24"/>
        </w:rPr>
        <w:t xml:space="preserve"> I make no fee award.</w:t>
      </w:r>
    </w:p>
    <w:p w14:paraId="6D59B5F3" w14:textId="77777777" w:rsidR="00A92B06" w:rsidRPr="009E09B1" w:rsidRDefault="00A92B06" w:rsidP="009E09B1">
      <w:pPr>
        <w:rPr>
          <w:sz w:val="24"/>
          <w:szCs w:val="24"/>
        </w:rPr>
      </w:pPr>
    </w:p>
    <w:p w14:paraId="25A61C6C" w14:textId="77777777" w:rsidR="00A92B06" w:rsidRPr="009E09B1" w:rsidRDefault="00A92B06" w:rsidP="009E09B1">
      <w:pPr>
        <w:rPr>
          <w:sz w:val="24"/>
          <w:szCs w:val="24"/>
        </w:rPr>
      </w:pPr>
      <w:r w:rsidRPr="009E09B1">
        <w:rPr>
          <w:sz w:val="24"/>
          <w:szCs w:val="24"/>
        </w:rPr>
        <w:t>Signed:</w:t>
      </w:r>
    </w:p>
    <w:p w14:paraId="709D197F" w14:textId="64B72154" w:rsidR="00A92B06" w:rsidRPr="009E09B1" w:rsidRDefault="008A49A7" w:rsidP="009E09B1">
      <w:pPr>
        <w:rPr>
          <w:sz w:val="24"/>
          <w:szCs w:val="24"/>
        </w:rPr>
      </w:pPr>
      <w:r>
        <w:rPr>
          <w:noProof/>
          <w:sz w:val="24"/>
          <w:szCs w:val="24"/>
        </w:rPr>
        <mc:AlternateContent>
          <mc:Choice Requires="wpi">
            <w:drawing>
              <wp:anchor distT="0" distB="0" distL="114300" distR="114300" simplePos="0" relativeHeight="251665408" behindDoc="0" locked="0" layoutInCell="1" allowOverlap="1" wp14:anchorId="2F6A1E1A" wp14:editId="2FC004F1">
                <wp:simplePos x="0" y="0"/>
                <wp:positionH relativeFrom="column">
                  <wp:posOffset>680085</wp:posOffset>
                </wp:positionH>
                <wp:positionV relativeFrom="paragraph">
                  <wp:posOffset>-113030</wp:posOffset>
                </wp:positionV>
                <wp:extent cx="1360262" cy="474345"/>
                <wp:effectExtent l="38100" t="57150" r="30480" b="40005"/>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360262" cy="474345"/>
                      </w14:xfrm>
                    </w14:contentPart>
                  </a:graphicData>
                </a:graphic>
              </wp:anchor>
            </w:drawing>
          </mc:Choice>
          <mc:Fallback>
            <w:pict>
              <v:shapetype w14:anchorId="3E83D8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2.85pt;margin-top:-9.6pt;width:108.5pt;height:3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">
                <v:imagedata r:id="rId9" o:title=""/>
              </v:shape>
            </w:pict>
          </mc:Fallback>
        </mc:AlternateContent>
      </w:r>
    </w:p>
    <w:p w14:paraId="5D7F5C74" w14:textId="77777777" w:rsidR="007F1FE6" w:rsidRDefault="007F1FE6" w:rsidP="009E09B1">
      <w:pPr>
        <w:rPr>
          <w:sz w:val="24"/>
          <w:szCs w:val="24"/>
        </w:rPr>
      </w:pPr>
    </w:p>
    <w:p w14:paraId="427790E7" w14:textId="77777777" w:rsidR="007F1FE6" w:rsidRDefault="007F1FE6" w:rsidP="009E09B1">
      <w:pPr>
        <w:rPr>
          <w:sz w:val="24"/>
          <w:szCs w:val="24"/>
        </w:rPr>
      </w:pPr>
    </w:p>
    <w:p w14:paraId="55E81B2A" w14:textId="5E962E35" w:rsidR="00A92B06" w:rsidRPr="009E09B1" w:rsidRDefault="00A92B06" w:rsidP="009E09B1">
      <w:pPr>
        <w:rPr>
          <w:sz w:val="24"/>
          <w:szCs w:val="24"/>
        </w:rPr>
      </w:pPr>
      <w:r w:rsidRPr="009E09B1">
        <w:rPr>
          <w:sz w:val="24"/>
          <w:szCs w:val="24"/>
        </w:rPr>
        <w:t>Deputy Judge of the Upper Tribunal (IAC)</w:t>
      </w:r>
    </w:p>
    <w:p w14:paraId="4467082D" w14:textId="77777777" w:rsidR="00A92B06" w:rsidRPr="009E09B1" w:rsidRDefault="00A92B06" w:rsidP="009E09B1">
      <w:pPr>
        <w:rPr>
          <w:sz w:val="24"/>
          <w:szCs w:val="24"/>
        </w:rPr>
      </w:pPr>
    </w:p>
    <w:p w14:paraId="3FB19218" w14:textId="257E29B3" w:rsidR="00A92B06" w:rsidRDefault="00A92B06" w:rsidP="009E09B1">
      <w:pPr>
        <w:rPr>
          <w:sz w:val="24"/>
          <w:szCs w:val="24"/>
        </w:rPr>
      </w:pPr>
      <w:r w:rsidRPr="009E09B1">
        <w:rPr>
          <w:sz w:val="24"/>
          <w:szCs w:val="24"/>
        </w:rPr>
        <w:t xml:space="preserve">Dated: </w:t>
      </w:r>
      <w:r w:rsidR="00736651">
        <w:rPr>
          <w:sz w:val="24"/>
          <w:szCs w:val="24"/>
        </w:rPr>
        <w:t>23</w:t>
      </w:r>
      <w:r w:rsidR="00736651" w:rsidRPr="00736651">
        <w:rPr>
          <w:sz w:val="24"/>
          <w:szCs w:val="24"/>
          <w:vertAlign w:val="superscript"/>
        </w:rPr>
        <w:t>rd</w:t>
      </w:r>
      <w:r w:rsidR="00736651">
        <w:rPr>
          <w:sz w:val="24"/>
          <w:szCs w:val="24"/>
        </w:rPr>
        <w:t xml:space="preserve"> July </w:t>
      </w:r>
      <w:r w:rsidRPr="009E09B1">
        <w:rPr>
          <w:sz w:val="24"/>
          <w:szCs w:val="24"/>
        </w:rPr>
        <w:t>2018</w:t>
      </w:r>
    </w:p>
    <w:p w14:paraId="7B66FD83" w14:textId="39188540" w:rsidR="00736651" w:rsidRDefault="00736651" w:rsidP="009E09B1">
      <w:pPr>
        <w:rPr>
          <w:sz w:val="24"/>
          <w:szCs w:val="24"/>
        </w:rPr>
      </w:pPr>
      <w:bookmarkStart w:id="0" w:name="_GoBack"/>
      <w:bookmarkEnd w:id="0"/>
    </w:p>
    <w:p w14:paraId="7CBCA90F" w14:textId="6CAEA938" w:rsidR="00736651" w:rsidRDefault="00736651" w:rsidP="009E09B1">
      <w:pPr>
        <w:rPr>
          <w:sz w:val="24"/>
          <w:szCs w:val="24"/>
        </w:rPr>
      </w:pPr>
    </w:p>
    <w:p w14:paraId="039EC474" w14:textId="7CE35A66" w:rsidR="00736651" w:rsidRDefault="00736651" w:rsidP="009E09B1">
      <w:pPr>
        <w:rPr>
          <w:sz w:val="24"/>
          <w:szCs w:val="24"/>
        </w:rPr>
      </w:pPr>
    </w:p>
    <w:p w14:paraId="6D4E4FB9" w14:textId="0FD4A4ED" w:rsidR="00736651" w:rsidRDefault="00736651" w:rsidP="009E09B1">
      <w:pPr>
        <w:rPr>
          <w:sz w:val="24"/>
          <w:szCs w:val="24"/>
        </w:rPr>
      </w:pPr>
    </w:p>
    <w:sectPr w:rsidR="00736651" w:rsidSect="00647419">
      <w:headerReference w:type="default" r:id="rId10"/>
      <w:footerReference w:type="default" r:id="rId11"/>
      <w:footerReference w:type="first" r:id="rId12"/>
      <w:pgSz w:w="11906" w:h="16838"/>
      <w:pgMar w:top="56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A3E4C" w14:textId="77777777" w:rsidR="00F925B2" w:rsidRDefault="00F925B2" w:rsidP="00A92B06">
      <w:r>
        <w:separator/>
      </w:r>
    </w:p>
  </w:endnote>
  <w:endnote w:type="continuationSeparator" w:id="0">
    <w:p w14:paraId="42D73595" w14:textId="77777777" w:rsidR="00F925B2" w:rsidRDefault="00F925B2" w:rsidP="00A9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06053"/>
      <w:docPartObj>
        <w:docPartGallery w:val="Page Numbers (Bottom of Page)"/>
        <w:docPartUnique/>
      </w:docPartObj>
    </w:sdtPr>
    <w:sdtEndPr>
      <w:rPr>
        <w:noProof/>
        <w:sz w:val="24"/>
        <w:szCs w:val="24"/>
      </w:rPr>
    </w:sdtEndPr>
    <w:sdtContent>
      <w:p w14:paraId="664DD54F" w14:textId="77777777" w:rsidR="00141F19" w:rsidRDefault="00141F19">
        <w:pPr>
          <w:pStyle w:val="Footer"/>
          <w:jc w:val="center"/>
        </w:pPr>
      </w:p>
      <w:p w14:paraId="569DBCBE" w14:textId="77FA6B47" w:rsidR="00664989" w:rsidRPr="00141F19" w:rsidRDefault="00664989">
        <w:pPr>
          <w:pStyle w:val="Footer"/>
          <w:jc w:val="center"/>
          <w:rPr>
            <w:sz w:val="24"/>
            <w:szCs w:val="24"/>
          </w:rPr>
        </w:pPr>
        <w:r w:rsidRPr="00141F19">
          <w:rPr>
            <w:sz w:val="24"/>
            <w:szCs w:val="24"/>
          </w:rPr>
          <w:fldChar w:fldCharType="begin"/>
        </w:r>
        <w:r w:rsidRPr="00141F19">
          <w:rPr>
            <w:sz w:val="24"/>
            <w:szCs w:val="24"/>
          </w:rPr>
          <w:instrText xml:space="preserve"> PAGE   \* MERGEFORMAT </w:instrText>
        </w:r>
        <w:r w:rsidRPr="00141F19">
          <w:rPr>
            <w:sz w:val="24"/>
            <w:szCs w:val="24"/>
          </w:rPr>
          <w:fldChar w:fldCharType="separate"/>
        </w:r>
        <w:r w:rsidR="00E9770A">
          <w:rPr>
            <w:noProof/>
            <w:sz w:val="24"/>
            <w:szCs w:val="24"/>
          </w:rPr>
          <w:t>2</w:t>
        </w:r>
        <w:r w:rsidRPr="00141F19">
          <w:rPr>
            <w:noProof/>
            <w:sz w:val="24"/>
            <w:szCs w:val="24"/>
          </w:rPr>
          <w:fldChar w:fldCharType="end"/>
        </w:r>
      </w:p>
    </w:sdtContent>
  </w:sdt>
  <w:p w14:paraId="19FBB6CC" w14:textId="77777777" w:rsidR="00A92B06" w:rsidRDefault="00A92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B1396" w14:textId="77777777" w:rsidR="00141F19" w:rsidRDefault="00141F19" w:rsidP="00141F19">
    <w:pPr>
      <w:jc w:val="center"/>
      <w:rPr>
        <w:rFonts w:ascii="Book Antiqua" w:hAnsi="Book Antiqua" w:cs="Arial"/>
        <w:b/>
        <w:spacing w:val="-6"/>
      </w:rPr>
    </w:pPr>
  </w:p>
  <w:p w14:paraId="1D0E3C2E" w14:textId="2F1F346D" w:rsidR="00141F19" w:rsidRPr="00141F19" w:rsidRDefault="00141F19" w:rsidP="00141F19">
    <w:pPr>
      <w:jc w:val="center"/>
      <w:rPr>
        <w:rFonts w:ascii="Times New Roman" w:hAnsi="Times New Roman" w:cs="Times New Roman"/>
        <w:b/>
        <w:sz w:val="24"/>
        <w:szCs w:val="24"/>
      </w:rPr>
    </w:pPr>
    <w:r w:rsidRPr="00141F19">
      <w:rPr>
        <w:rFonts w:ascii="Times New Roman" w:hAnsi="Times New Roman" w:cs="Times New Roman"/>
        <w:b/>
        <w:spacing w:val="-6"/>
        <w:sz w:val="24"/>
        <w:szCs w:val="24"/>
      </w:rPr>
      <w:t>©</w:t>
    </w:r>
    <w:r w:rsidRPr="00141F19">
      <w:rPr>
        <w:rFonts w:ascii="Times New Roman" w:hAnsi="Times New Roman" w:cs="Times New Roman"/>
        <w:b/>
        <w:sz w:val="24"/>
        <w:szCs w:val="24"/>
      </w:rPr>
      <w:t xml:space="preserve"> CROWN COPYRIGHT 2018</w:t>
    </w:r>
  </w:p>
  <w:p w14:paraId="72C0023E" w14:textId="643FC966" w:rsidR="00664989" w:rsidRPr="00141F19" w:rsidRDefault="00664989" w:rsidP="00141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2EFBF" w14:textId="77777777" w:rsidR="00F925B2" w:rsidRDefault="00F925B2" w:rsidP="00A92B06">
      <w:r>
        <w:separator/>
      </w:r>
    </w:p>
  </w:footnote>
  <w:footnote w:type="continuationSeparator" w:id="0">
    <w:p w14:paraId="017A282C" w14:textId="77777777" w:rsidR="00F925B2" w:rsidRDefault="00F925B2" w:rsidP="00A9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D13EF" w14:textId="65B0827C" w:rsidR="00A92B06" w:rsidRPr="00A92B06" w:rsidRDefault="00141F19" w:rsidP="00664989">
    <w:pPr>
      <w:pStyle w:val="Header"/>
      <w:jc w:val="right"/>
      <w:rPr>
        <w:sz w:val="16"/>
        <w:szCs w:val="16"/>
      </w:rPr>
    </w:pPr>
    <w:r>
      <w:rPr>
        <w:sz w:val="16"/>
        <w:szCs w:val="16"/>
      </w:rPr>
      <w:t xml:space="preserve">Appeal Number: </w:t>
    </w:r>
    <w:r w:rsidR="00A92B06" w:rsidRPr="00A92B06">
      <w:rPr>
        <w:sz w:val="16"/>
        <w:szCs w:val="16"/>
      </w:rPr>
      <w:t>HU/23985/2016</w:t>
    </w:r>
  </w:p>
  <w:p w14:paraId="0302787E" w14:textId="77777777" w:rsidR="00A92B06" w:rsidRDefault="00A92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06"/>
    <w:rsid w:val="0002364C"/>
    <w:rsid w:val="00141F19"/>
    <w:rsid w:val="00197A03"/>
    <w:rsid w:val="002C2B17"/>
    <w:rsid w:val="003625DB"/>
    <w:rsid w:val="003838C1"/>
    <w:rsid w:val="0044378B"/>
    <w:rsid w:val="0055610A"/>
    <w:rsid w:val="00647419"/>
    <w:rsid w:val="00664989"/>
    <w:rsid w:val="006A2169"/>
    <w:rsid w:val="006D2C5F"/>
    <w:rsid w:val="00736651"/>
    <w:rsid w:val="007F1FE6"/>
    <w:rsid w:val="007F71FD"/>
    <w:rsid w:val="00890077"/>
    <w:rsid w:val="008A49A7"/>
    <w:rsid w:val="008C626B"/>
    <w:rsid w:val="00A02247"/>
    <w:rsid w:val="00A7029B"/>
    <w:rsid w:val="00A92B06"/>
    <w:rsid w:val="00B8181D"/>
    <w:rsid w:val="00C530FC"/>
    <w:rsid w:val="00CE774E"/>
    <w:rsid w:val="00DB5AB9"/>
    <w:rsid w:val="00DD4BB3"/>
    <w:rsid w:val="00DE623A"/>
    <w:rsid w:val="00E9770A"/>
    <w:rsid w:val="00F925B2"/>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8E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06"/>
    <w:pPr>
      <w:tabs>
        <w:tab w:val="center" w:pos="4513"/>
        <w:tab w:val="right" w:pos="9026"/>
      </w:tabs>
    </w:pPr>
  </w:style>
  <w:style w:type="character" w:customStyle="1" w:styleId="HeaderChar">
    <w:name w:val="Header Char"/>
    <w:basedOn w:val="DefaultParagraphFont"/>
    <w:link w:val="Header"/>
    <w:uiPriority w:val="99"/>
    <w:rsid w:val="00A92B06"/>
  </w:style>
  <w:style w:type="paragraph" w:styleId="Footer">
    <w:name w:val="footer"/>
    <w:basedOn w:val="Normal"/>
    <w:link w:val="FooterChar"/>
    <w:uiPriority w:val="99"/>
    <w:unhideWhenUsed/>
    <w:rsid w:val="00A92B06"/>
    <w:pPr>
      <w:tabs>
        <w:tab w:val="center" w:pos="4513"/>
        <w:tab w:val="right" w:pos="9026"/>
      </w:tabs>
    </w:pPr>
  </w:style>
  <w:style w:type="character" w:customStyle="1" w:styleId="FooterChar">
    <w:name w:val="Footer Char"/>
    <w:basedOn w:val="DefaultParagraphFont"/>
    <w:link w:val="Footer"/>
    <w:uiPriority w:val="99"/>
    <w:rsid w:val="00A92B06"/>
  </w:style>
  <w:style w:type="paragraph" w:styleId="ListParagraph">
    <w:name w:val="List Paragraph"/>
    <w:basedOn w:val="Normal"/>
    <w:uiPriority w:val="34"/>
    <w:qFormat/>
    <w:rsid w:val="0055610A"/>
    <w:pPr>
      <w:ind w:left="720"/>
      <w:contextualSpacing/>
    </w:pPr>
  </w:style>
  <w:style w:type="paragraph" w:customStyle="1" w:styleId="legp2paratext">
    <w:name w:val="legp2paratext"/>
    <w:basedOn w:val="Normal"/>
    <w:rsid w:val="00736651"/>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7:11:59.668"/>
    </inkml:context>
    <inkml:brush xml:id="br0">
      <inkml:brushProperty name="width" value="0.05" units="cm"/>
      <inkml:brushProperty name="height" value="0.05" units="cm"/>
    </inkml:brush>
  </inkml:definitions>
  <inkml:trace contextRef="#ctx0" brushRef="#br0">64 354 20307,'0'-16'5573,"0"16"-960,0 0-4645,0 32-64,0-16-161,0 32 1,0 0 64,-16 17-32,16 15 96,-16 16-64,0 1-1,16-1 129,-16 1 64,16-17 32,0 0-32,0-31-64,0-1-96,0-16 64,0-32-352,0 0-3268,16-16-1185,-16 0-480,0-16-192,0 0-64</inkml:trace>
  <inkml:trace contextRef="#ctx0" brushRef="#br0" timeOffset="528.3149">209 321 20243,'0'0'5477,"0"0"-448,16 33-4933,-16-1-288,16 0 32,0 16-64,16-16 224,1 17 0,15-17 96,0 0-96,0-16 64,17-16-32,-1-16 32,0-16-32,-16-17 0,17-15-32,-17 0 32,0 0 32,-16-1 64,17 1 128,-33 0-288,16 31-160,-16 17 0,-16 16-64,0 16-33,0 33-31,-16 31-96,0 0-129,0 33 193,-16 0 96,15-1-97,-15 1-31,16-17 128,0 0 0,16-31 127,0-1 225,0-32-288,0-16-2754,0-16-1539,0 16-576,0-32-159,16 16-1,-16-32 1409</inkml:trace>
  <inkml:trace contextRef="#ctx0" brushRef="#br0" timeOffset="1284.0801">1061 226 22485,'-16'-32'5766,"16"0"-1250,16 0-4516,0 15 0,32-15-192,1 0 0,-1 16-1,16-16-223,17 32 0,-17 0-65,16 0-31,-15 16-33,-17 32 1,0-16 127,-16 33 1,-16-1 192,-16 16-1,-16 1 33,-16 15 64,-16 1 0,0-1 64,-17 1-128,1-33-64,0 0 224,15-16 256,1-15-32,16-33-32,16-17-32,16-15 0,0-32 193,16 0-1,16-1-192,-16-15-224,32 16-32,-15-1 64,-1 17 0,0 32 0,-16 0-96,16 32-33,-32 32 33,0 17-64,-16 15 0,0 16-97,0 17 1,-16 0 0,16-17 0,-16-16 63,15-15 1,17-17 160,0-16 256,0-16-576,0-32-3716,17 0-769,-17-16-96,0 0-95,0-17 95</inkml:trace>
  <inkml:trace contextRef="#ctx0" brushRef="#br0" timeOffset="3307.1737">2011 949 14414,'16'0'5221,"0"-16"-33,-16 0-3714,16-16-1154,-16 0-32,0-16-159,0 16 95,0-17-96,0 1 64,0 16-96,0 0-64,-16 0-128,0 16 64,0 16-160,-17 0 0,17 32 0,-16 0-129,0 16 65,16 16-64,-16 1 31,16 15-31,0 0 96,0 1 0,16-1 32,16-15 127,0-17 65,16-16 129,0-16 31,0-16 64,0-16-32,17-16 0,-17-16 33,0-1-97,0 1 32,0 0-64,-16 0 32,0 15-224,0 17 0,-16 16-96,0 0-33,0 16 1,0 17-96,-16 15 32,16-16-65,0 16 225,0 0 32,0-15 32,0-1 160,16-16 32,1-16 0,-1 0 65,16-16-1,-16 0 32,16-16-64,-16 15-32,0-15 0,16 0-96,-32 16-32,16 0-192,0 0-32,1 16-64,-17 0 63,16 16-63,0-16-128,0 16 128,0 0 63,0 0 161,0-16 160,16 16 97,-16-16-1,0-16 32,16 0 128,-16 0 1,17-16 31,-17-16-96,16-1 1,0 1-33,0-16 0,-16 0 0,16-17 0,1 1-63,-17 0-33,16 15-32,0-15 0,-16 16-32,0 15 32,0 1 32,0 16-63,0 32 31,-16 0-32,0 16-32,0 16-64,-16 16-192,0 17-33,16 15-191,-16 17-64,0 15-129,-16-16 0,16 17 33,0-17-1,0-15 161,0-1 32,16-32 191,0-15 33,0-33 128,0 0 96,0-33 64,0 1 161,16-16-33,-16-16 32,0-1-32,16 1 1,0-16-65,0-1 192,0 17-128,0 0-31,0 0-1,0-1 0,0 17-32,0 16 32,0 0-31,0 16-161,-16 0 0,17 16 0,-1-17-32,0 17 64,-16 17-128,16-17 96,-16 16-32,16 0 64,-16 0 0,16 0 0,-16 0-128,16 0-32,-16 16 64,0 0-96,-16 0 32,16 1-65,-16 15 1,0 0-128,-16 16 64,16 1 96,-17-1-161,17-16-63,-16 16-32,32-15-33,0-17 65,0-16 32,16 0 127,16-32-63,1 0 160,-1 0 64,0-16 64,0-1 32,0 17 0,0 0 96,-16 16-64,0 0 1,-16 16-97,17 17-97,-17 15 33,0-16-64,0 16-64,16 0-96,0-15 32,0-1-33,0-16 97,16-16 32,-16-16 160,32 0 32,-16 0 96,1-17 128,-1-15-31,-16 16 63,16-16-32,-16 16 64,16-1-159,-16 1 31,0 16-64,0 16-32,1 0-32,-1 0 0,16 32-32,-16-16-64,0 17 64,-16 15-32,16-16-32,-16 16-32,0-16 32,0 1-96,-16-1 96,16-16-32,-16-16-64,-16 0 0,16-16-3588,0-16-1185,-17-1 1,17-15-193,-32 0-128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2018-08-13T13:35:00Z</dcterms:created>
  <dcterms:modified xsi:type="dcterms:W3CDTF">2018-08-13T13:35:00Z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