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D3B4" w14:textId="77777777" w:rsidR="00643BFC" w:rsidRPr="000704BB" w:rsidRDefault="00926730" w:rsidP="00643BFC">
      <w:pPr>
        <w:jc w:val="center"/>
        <w:rPr>
          <w:rFonts w:ascii="Book Antiqua" w:hAnsi="Book Antiqua" w:cs="Arial"/>
          <w:caps/>
          <w:color w:val="000000"/>
          <w:sz w:val="16"/>
          <w:szCs w:val="16"/>
        </w:rPr>
      </w:pPr>
      <w:bookmarkStart w:id="0" w:name="_GoBack"/>
      <w:bookmarkEnd w:id="0"/>
      <w:r>
        <w:rPr>
          <w:noProof/>
        </w:rPr>
        <w:drawing>
          <wp:inline distT="0" distB="0" distL="0" distR="0" wp14:anchorId="7A9919B6" wp14:editId="68DA3A01">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13D5D687"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0D93C626" w14:textId="6C086B8C" w:rsidR="007B0824" w:rsidRPr="00000B83"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000B83">
        <w:rPr>
          <w:rFonts w:ascii="Book Antiqua" w:hAnsi="Book Antiqua" w:cs="Arial"/>
          <w:b/>
          <w:color w:val="000000"/>
        </w:rPr>
        <w:t xml:space="preserve">   </w:t>
      </w:r>
      <w:proofErr w:type="gramEnd"/>
      <w:r w:rsidR="00000B83">
        <w:rPr>
          <w:rFonts w:ascii="Book Antiqua" w:hAnsi="Book Antiqua" w:cs="Arial"/>
          <w:b/>
          <w:color w:val="000000"/>
        </w:rPr>
        <w:t xml:space="preserve">                   </w:t>
      </w:r>
      <w:r w:rsidR="00B3524D" w:rsidRPr="00000B83">
        <w:rPr>
          <w:rFonts w:ascii="Book Antiqua" w:hAnsi="Book Antiqua" w:cs="Arial"/>
          <w:b/>
          <w:color w:val="000000"/>
        </w:rPr>
        <w:t>Appeal Number</w:t>
      </w:r>
      <w:r w:rsidR="002549A4" w:rsidRPr="00000B83">
        <w:rPr>
          <w:rFonts w:ascii="Book Antiqua" w:hAnsi="Book Antiqua" w:cs="Arial"/>
          <w:b/>
          <w:color w:val="000000"/>
        </w:rPr>
        <w:t>s</w:t>
      </w:r>
      <w:r w:rsidR="00D53769" w:rsidRPr="00000B83">
        <w:rPr>
          <w:rFonts w:ascii="Book Antiqua" w:hAnsi="Book Antiqua" w:cs="Arial"/>
          <w:b/>
          <w:color w:val="000000"/>
        </w:rPr>
        <w:t>:</w:t>
      </w:r>
      <w:r w:rsidR="00B3524D" w:rsidRPr="00000B83">
        <w:rPr>
          <w:rFonts w:ascii="Book Antiqua" w:hAnsi="Book Antiqua" w:cs="Arial"/>
          <w:b/>
          <w:color w:val="000000"/>
        </w:rPr>
        <w:t xml:space="preserve"> </w:t>
      </w:r>
      <w:r w:rsidR="002549A4" w:rsidRPr="00000B83">
        <w:rPr>
          <w:rFonts w:ascii="Book Antiqua" w:hAnsi="Book Antiqua" w:cs="Arial"/>
          <w:b/>
          <w:caps/>
          <w:color w:val="000000"/>
        </w:rPr>
        <w:t>hu/24079/2016</w:t>
      </w:r>
    </w:p>
    <w:p w14:paraId="79254FC1" w14:textId="3BAEE36E" w:rsidR="002549A4" w:rsidRPr="00000B83" w:rsidRDefault="00000B83" w:rsidP="00000B83">
      <w:pPr>
        <w:tabs>
          <w:tab w:val="right" w:pos="9720"/>
        </w:tabs>
        <w:ind w:right="-82"/>
        <w:jc w:val="center"/>
        <w:rPr>
          <w:rFonts w:ascii="Book Antiqua" w:hAnsi="Book Antiqua" w:cs="Arial"/>
          <w:b/>
          <w:caps/>
          <w:color w:val="000000"/>
        </w:rPr>
      </w:pPr>
      <w:r>
        <w:rPr>
          <w:rFonts w:ascii="Book Antiqua" w:hAnsi="Book Antiqua" w:cs="Arial"/>
          <w:b/>
          <w:caps/>
          <w:color w:val="000000"/>
        </w:rPr>
        <w:t xml:space="preserve">                                                                                                              </w:t>
      </w:r>
      <w:r w:rsidR="002549A4" w:rsidRPr="00000B83">
        <w:rPr>
          <w:rFonts w:ascii="Book Antiqua" w:hAnsi="Book Antiqua" w:cs="Arial"/>
          <w:b/>
          <w:caps/>
          <w:color w:val="000000"/>
        </w:rPr>
        <w:t>hU/24082/2016</w:t>
      </w:r>
    </w:p>
    <w:p w14:paraId="2771A8E9" w14:textId="54BC2001" w:rsidR="002549A4" w:rsidRPr="00000B83" w:rsidRDefault="00000B83"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2549A4" w:rsidRPr="00000B83">
        <w:rPr>
          <w:rFonts w:ascii="Book Antiqua" w:hAnsi="Book Antiqua" w:cs="Arial"/>
          <w:b/>
          <w:caps/>
          <w:color w:val="000000"/>
        </w:rPr>
        <w:t>hu/24087/2016</w:t>
      </w:r>
    </w:p>
    <w:p w14:paraId="4E69A79E" w14:textId="77777777" w:rsidR="00C345E1" w:rsidRPr="000704BB" w:rsidRDefault="00C345E1" w:rsidP="00C345E1">
      <w:pPr>
        <w:jc w:val="center"/>
        <w:rPr>
          <w:rFonts w:ascii="Book Antiqua" w:hAnsi="Book Antiqua" w:cs="Arial"/>
          <w:color w:val="000000"/>
        </w:rPr>
      </w:pPr>
    </w:p>
    <w:p w14:paraId="100E2408"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0988F644" w14:textId="77777777" w:rsidR="00C345E1" w:rsidRPr="000704BB" w:rsidRDefault="00C345E1" w:rsidP="00A14DC9">
      <w:pP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06299F" w14:paraId="4AD7745D" w14:textId="77777777" w:rsidTr="00000B83">
        <w:tc>
          <w:tcPr>
            <w:tcW w:w="5103" w:type="dxa"/>
            <w:shd w:val="clear" w:color="auto" w:fill="auto"/>
          </w:tcPr>
          <w:p w14:paraId="665C3A62" w14:textId="77777777" w:rsidR="00D22636" w:rsidRPr="0006299F" w:rsidRDefault="00D22636" w:rsidP="0006299F">
            <w:pPr>
              <w:jc w:val="both"/>
              <w:rPr>
                <w:rFonts w:ascii="Book Antiqua" w:hAnsi="Book Antiqua" w:cs="Arial"/>
                <w:b/>
              </w:rPr>
            </w:pPr>
            <w:r w:rsidRPr="0006299F">
              <w:rPr>
                <w:rFonts w:ascii="Book Antiqua" w:hAnsi="Book Antiqua" w:cs="Arial"/>
                <w:b/>
              </w:rPr>
              <w:t xml:space="preserve">Heard at </w:t>
            </w:r>
            <w:r w:rsidR="002549A4">
              <w:rPr>
                <w:rFonts w:ascii="Book Antiqua" w:hAnsi="Book Antiqua" w:cs="Arial"/>
                <w:b/>
              </w:rPr>
              <w:t>Field House</w:t>
            </w:r>
          </w:p>
        </w:tc>
        <w:tc>
          <w:tcPr>
            <w:tcW w:w="4905" w:type="dxa"/>
            <w:gridSpan w:val="2"/>
            <w:shd w:val="clear" w:color="auto" w:fill="auto"/>
          </w:tcPr>
          <w:p w14:paraId="7B38BDD4" w14:textId="5C707FD2" w:rsidR="00D22636" w:rsidRPr="0006299F" w:rsidRDefault="00000B83" w:rsidP="0006299F">
            <w:pPr>
              <w:jc w:val="both"/>
              <w:rPr>
                <w:rFonts w:ascii="Book Antiqua" w:hAnsi="Book Antiqua" w:cs="Arial"/>
                <w:b/>
                <w:color w:val="000000"/>
              </w:rPr>
            </w:pPr>
            <w:r>
              <w:rPr>
                <w:rFonts w:ascii="Book Antiqua" w:hAnsi="Book Antiqua" w:cs="Arial"/>
                <w:b/>
                <w:color w:val="000000"/>
              </w:rPr>
              <w:t xml:space="preserve"> </w:t>
            </w:r>
            <w:r w:rsidR="00BB0193" w:rsidRPr="0006299F">
              <w:rPr>
                <w:rFonts w:ascii="Book Antiqua" w:hAnsi="Book Antiqua" w:cs="Arial"/>
                <w:b/>
                <w:color w:val="000000"/>
              </w:rPr>
              <w:t>Decision &amp; Reasons</w:t>
            </w:r>
            <w:r w:rsidR="00283659" w:rsidRPr="0006299F">
              <w:rPr>
                <w:rFonts w:ascii="Book Antiqua" w:hAnsi="Book Antiqua" w:cs="Arial"/>
                <w:b/>
                <w:color w:val="000000"/>
              </w:rPr>
              <w:t xml:space="preserve"> Promulgated</w:t>
            </w:r>
          </w:p>
        </w:tc>
      </w:tr>
      <w:tr w:rsidR="00D22636" w:rsidRPr="0006299F" w14:paraId="0F5E3D37" w14:textId="77777777" w:rsidTr="00000B83">
        <w:tc>
          <w:tcPr>
            <w:tcW w:w="5103" w:type="dxa"/>
            <w:shd w:val="clear" w:color="auto" w:fill="auto"/>
          </w:tcPr>
          <w:p w14:paraId="4697E17C" w14:textId="77777777" w:rsidR="00D22636" w:rsidRPr="0006299F" w:rsidRDefault="00D22636" w:rsidP="0006299F">
            <w:pPr>
              <w:jc w:val="both"/>
              <w:rPr>
                <w:rFonts w:ascii="Book Antiqua" w:hAnsi="Book Antiqua" w:cs="Arial"/>
                <w:b/>
              </w:rPr>
            </w:pPr>
            <w:r w:rsidRPr="0006299F">
              <w:rPr>
                <w:rFonts w:ascii="Book Antiqua" w:hAnsi="Book Antiqua" w:cs="Arial"/>
                <w:b/>
              </w:rPr>
              <w:t xml:space="preserve">On </w:t>
            </w:r>
            <w:r w:rsidR="00926730">
              <w:rPr>
                <w:rFonts w:ascii="Book Antiqua" w:hAnsi="Book Antiqua" w:cs="Arial"/>
                <w:b/>
              </w:rPr>
              <w:t>4 January 2019</w:t>
            </w:r>
          </w:p>
        </w:tc>
        <w:tc>
          <w:tcPr>
            <w:tcW w:w="4905" w:type="dxa"/>
            <w:gridSpan w:val="2"/>
            <w:shd w:val="clear" w:color="auto" w:fill="auto"/>
          </w:tcPr>
          <w:p w14:paraId="4BB239BF" w14:textId="76B75DA4" w:rsidR="00D22636" w:rsidRPr="0006299F" w:rsidRDefault="00000B83" w:rsidP="0006299F">
            <w:pPr>
              <w:jc w:val="both"/>
              <w:rPr>
                <w:rFonts w:ascii="Book Antiqua" w:hAnsi="Book Antiqua" w:cs="Arial"/>
                <w:b/>
              </w:rPr>
            </w:pPr>
            <w:r>
              <w:rPr>
                <w:rFonts w:ascii="Book Antiqua" w:hAnsi="Book Antiqua" w:cs="Arial"/>
                <w:b/>
              </w:rPr>
              <w:t xml:space="preserve"> </w:t>
            </w:r>
            <w:r w:rsidR="009712D4">
              <w:rPr>
                <w:rFonts w:ascii="Book Antiqua" w:hAnsi="Book Antiqua" w:cs="Arial"/>
                <w:b/>
              </w:rPr>
              <w:t xml:space="preserve">On 1 </w:t>
            </w:r>
            <w:r w:rsidR="00A41F55">
              <w:rPr>
                <w:rFonts w:ascii="Book Antiqua" w:hAnsi="Book Antiqua" w:cs="Arial"/>
                <w:b/>
              </w:rPr>
              <w:t>Febr</w:t>
            </w:r>
            <w:r w:rsidR="009712D4">
              <w:rPr>
                <w:rFonts w:ascii="Book Antiqua" w:hAnsi="Book Antiqua" w:cs="Arial"/>
                <w:b/>
              </w:rPr>
              <w:t>uary 2019</w:t>
            </w:r>
          </w:p>
        </w:tc>
      </w:tr>
      <w:tr w:rsidR="00D22636" w:rsidRPr="0006299F" w14:paraId="1C8E1B4A" w14:textId="77777777" w:rsidTr="0006299F">
        <w:tc>
          <w:tcPr>
            <w:tcW w:w="6048" w:type="dxa"/>
            <w:gridSpan w:val="2"/>
            <w:shd w:val="clear" w:color="auto" w:fill="auto"/>
          </w:tcPr>
          <w:p w14:paraId="2D5F1EE1" w14:textId="77777777" w:rsidR="00D22636" w:rsidRPr="0006299F" w:rsidRDefault="00D22636" w:rsidP="0006299F">
            <w:pPr>
              <w:jc w:val="both"/>
              <w:rPr>
                <w:rFonts w:ascii="Book Antiqua" w:hAnsi="Book Antiqua" w:cs="Arial"/>
                <w:b/>
              </w:rPr>
            </w:pPr>
          </w:p>
        </w:tc>
        <w:tc>
          <w:tcPr>
            <w:tcW w:w="3960" w:type="dxa"/>
            <w:shd w:val="clear" w:color="auto" w:fill="auto"/>
          </w:tcPr>
          <w:p w14:paraId="3530648C" w14:textId="13DBDC1B" w:rsidR="00D22636" w:rsidRPr="0006299F" w:rsidRDefault="00D22636" w:rsidP="0006299F">
            <w:pPr>
              <w:jc w:val="both"/>
              <w:rPr>
                <w:rFonts w:ascii="Book Antiqua" w:hAnsi="Book Antiqua" w:cs="Arial"/>
                <w:b/>
              </w:rPr>
            </w:pPr>
          </w:p>
        </w:tc>
      </w:tr>
    </w:tbl>
    <w:p w14:paraId="12B9A3DA" w14:textId="77777777" w:rsidR="00A15234" w:rsidRPr="000704BB" w:rsidRDefault="00A15234" w:rsidP="00BA34E6">
      <w:pPr>
        <w:rPr>
          <w:rFonts w:ascii="Book Antiqua" w:hAnsi="Book Antiqua" w:cs="Arial"/>
        </w:rPr>
      </w:pPr>
    </w:p>
    <w:p w14:paraId="76CF9DFC"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5ECCACE" w14:textId="77777777" w:rsidR="00A15234" w:rsidRPr="000704BB" w:rsidRDefault="00A15234" w:rsidP="00A15234">
      <w:pPr>
        <w:jc w:val="center"/>
        <w:rPr>
          <w:rFonts w:ascii="Book Antiqua" w:hAnsi="Book Antiqua" w:cs="Arial"/>
          <w:b/>
        </w:rPr>
      </w:pPr>
    </w:p>
    <w:p w14:paraId="382CF6DC" w14:textId="77777777" w:rsidR="001B186A" w:rsidRPr="000704BB" w:rsidRDefault="00D11081" w:rsidP="00E13429">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PEART</w:t>
      </w:r>
    </w:p>
    <w:p w14:paraId="30072E57" w14:textId="77777777" w:rsidR="00D20757" w:rsidRPr="000704BB" w:rsidRDefault="00D20757" w:rsidP="00A15234">
      <w:pPr>
        <w:jc w:val="center"/>
        <w:rPr>
          <w:rFonts w:ascii="Book Antiqua" w:hAnsi="Book Antiqua" w:cs="Arial"/>
          <w:b/>
        </w:rPr>
      </w:pPr>
    </w:p>
    <w:p w14:paraId="1E897FF9"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1BFF280F" w14:textId="77777777" w:rsidR="00A845DC" w:rsidRPr="000704BB" w:rsidRDefault="00A845DC" w:rsidP="00A15234">
      <w:pPr>
        <w:jc w:val="center"/>
        <w:rPr>
          <w:rFonts w:ascii="Book Antiqua" w:hAnsi="Book Antiqua" w:cs="Arial"/>
          <w:b/>
        </w:rPr>
      </w:pPr>
    </w:p>
    <w:p w14:paraId="26B08E8F" w14:textId="21620BD5" w:rsidR="00A845DC" w:rsidRDefault="00E34A07" w:rsidP="00A15234">
      <w:pPr>
        <w:jc w:val="center"/>
        <w:rPr>
          <w:rFonts w:ascii="Book Antiqua" w:hAnsi="Book Antiqua" w:cs="Arial"/>
          <w:b/>
          <w:caps/>
        </w:rPr>
      </w:pPr>
      <w:r>
        <w:rPr>
          <w:rFonts w:ascii="Book Antiqua" w:hAnsi="Book Antiqua" w:cs="Arial"/>
          <w:b/>
          <w:caps/>
        </w:rPr>
        <w:t>A O</w:t>
      </w:r>
    </w:p>
    <w:p w14:paraId="5E59C5E2" w14:textId="04E1F939" w:rsidR="00926730" w:rsidRDefault="00926730" w:rsidP="00A15234">
      <w:pPr>
        <w:jc w:val="center"/>
        <w:rPr>
          <w:rFonts w:ascii="Book Antiqua" w:hAnsi="Book Antiqua" w:cs="Arial"/>
          <w:b/>
          <w:caps/>
        </w:rPr>
      </w:pPr>
      <w:r>
        <w:rPr>
          <w:rFonts w:ascii="Book Antiqua" w:hAnsi="Book Antiqua" w:cs="Arial"/>
          <w:b/>
          <w:caps/>
        </w:rPr>
        <w:t xml:space="preserve">Miss </w:t>
      </w:r>
      <w:r w:rsidR="00D8753B">
        <w:rPr>
          <w:rFonts w:ascii="Book Antiqua" w:hAnsi="Book Antiqua" w:cs="Arial"/>
          <w:b/>
          <w:caps/>
        </w:rPr>
        <w:t>L</w:t>
      </w:r>
      <w:r>
        <w:rPr>
          <w:rFonts w:ascii="Book Antiqua" w:hAnsi="Book Antiqua" w:cs="Arial"/>
          <w:b/>
          <w:caps/>
        </w:rPr>
        <w:t xml:space="preserve"> </w:t>
      </w:r>
      <w:r w:rsidR="00D8753B">
        <w:rPr>
          <w:rFonts w:ascii="Book Antiqua" w:hAnsi="Book Antiqua" w:cs="Arial"/>
          <w:b/>
          <w:caps/>
        </w:rPr>
        <w:t>O</w:t>
      </w:r>
    </w:p>
    <w:p w14:paraId="35096950" w14:textId="7ED4B066" w:rsidR="00926730" w:rsidRDefault="00926730" w:rsidP="00A15234">
      <w:pPr>
        <w:jc w:val="center"/>
        <w:rPr>
          <w:rFonts w:ascii="Book Antiqua" w:hAnsi="Book Antiqua" w:cs="Arial"/>
          <w:b/>
          <w:caps/>
        </w:rPr>
      </w:pPr>
      <w:r>
        <w:rPr>
          <w:rFonts w:ascii="Book Antiqua" w:hAnsi="Book Antiqua" w:cs="Arial"/>
          <w:b/>
          <w:caps/>
        </w:rPr>
        <w:t xml:space="preserve">Miss </w:t>
      </w:r>
      <w:r w:rsidR="00D8753B">
        <w:rPr>
          <w:rFonts w:ascii="Book Antiqua" w:hAnsi="Book Antiqua" w:cs="Arial"/>
          <w:b/>
          <w:caps/>
        </w:rPr>
        <w:t>T D</w:t>
      </w:r>
      <w:r>
        <w:rPr>
          <w:rFonts w:ascii="Book Antiqua" w:hAnsi="Book Antiqua" w:cs="Arial"/>
          <w:b/>
          <w:caps/>
        </w:rPr>
        <w:t xml:space="preserve"> </w:t>
      </w:r>
      <w:r w:rsidR="00D8753B">
        <w:rPr>
          <w:rFonts w:ascii="Book Antiqua" w:hAnsi="Book Antiqua" w:cs="Arial"/>
          <w:b/>
          <w:caps/>
        </w:rPr>
        <w:t>O</w:t>
      </w:r>
    </w:p>
    <w:p w14:paraId="4519DF5B" w14:textId="77777777" w:rsidR="00704B61" w:rsidRPr="00000B83" w:rsidRDefault="003D611A" w:rsidP="00A14DC9">
      <w:pPr>
        <w:jc w:val="center"/>
        <w:rPr>
          <w:rFonts w:ascii="Book Antiqua" w:hAnsi="Book Antiqua" w:cs="Arial"/>
          <w:caps/>
        </w:rPr>
      </w:pPr>
      <w:r w:rsidRPr="00000B83">
        <w:rPr>
          <w:rFonts w:ascii="Book Antiqua" w:hAnsi="Book Antiqua" w:cs="Arial"/>
          <w:caps/>
        </w:rPr>
        <w:t xml:space="preserve">(anonymity direction </w:t>
      </w:r>
      <w:r w:rsidR="00926730" w:rsidRPr="00000B83">
        <w:rPr>
          <w:rFonts w:ascii="Book Antiqua" w:hAnsi="Book Antiqua" w:cs="Arial"/>
          <w:caps/>
        </w:rPr>
        <w:t>MADE</w:t>
      </w:r>
      <w:r w:rsidRPr="00000B83">
        <w:rPr>
          <w:rFonts w:ascii="Book Antiqua" w:hAnsi="Book Antiqua" w:cs="Arial"/>
          <w:caps/>
        </w:rPr>
        <w:t>)</w:t>
      </w:r>
    </w:p>
    <w:p w14:paraId="0C9A6FDE"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2549A4">
        <w:rPr>
          <w:rFonts w:ascii="Book Antiqua" w:hAnsi="Book Antiqua" w:cs="Arial"/>
          <w:u w:val="single"/>
        </w:rPr>
        <w:t>s</w:t>
      </w:r>
    </w:p>
    <w:p w14:paraId="6E683ABF" w14:textId="77777777" w:rsidR="00000B83" w:rsidRDefault="00000B83" w:rsidP="00704B61">
      <w:pPr>
        <w:jc w:val="center"/>
        <w:rPr>
          <w:rFonts w:ascii="Book Antiqua" w:hAnsi="Book Antiqua" w:cs="Arial"/>
          <w:b/>
        </w:rPr>
      </w:pPr>
    </w:p>
    <w:p w14:paraId="1BC247E8" w14:textId="6697F393" w:rsidR="00704B61" w:rsidRPr="000704BB" w:rsidRDefault="00DD5071" w:rsidP="00704B61">
      <w:pPr>
        <w:jc w:val="center"/>
        <w:rPr>
          <w:rFonts w:ascii="Book Antiqua" w:hAnsi="Book Antiqua" w:cs="Arial"/>
          <w:b/>
        </w:rPr>
      </w:pPr>
      <w:r w:rsidRPr="000704BB">
        <w:rPr>
          <w:rFonts w:ascii="Book Antiqua" w:hAnsi="Book Antiqua" w:cs="Arial"/>
          <w:b/>
        </w:rPr>
        <w:t>and</w:t>
      </w:r>
    </w:p>
    <w:p w14:paraId="074D41DD" w14:textId="29212163" w:rsidR="00DD5071" w:rsidRDefault="00DD5071" w:rsidP="00704B61">
      <w:pPr>
        <w:jc w:val="center"/>
        <w:rPr>
          <w:rFonts w:ascii="Book Antiqua" w:hAnsi="Book Antiqua" w:cs="Arial"/>
          <w:b/>
        </w:rPr>
      </w:pPr>
    </w:p>
    <w:p w14:paraId="770AA828" w14:textId="12E8BA3F" w:rsidR="00000B83" w:rsidRPr="000704BB" w:rsidRDefault="00000B83" w:rsidP="00704B61">
      <w:pPr>
        <w:jc w:val="center"/>
        <w:rPr>
          <w:rFonts w:ascii="Book Antiqua" w:hAnsi="Book Antiqua" w:cs="Arial"/>
          <w:b/>
        </w:rPr>
      </w:pPr>
      <w:r>
        <w:rPr>
          <w:rFonts w:ascii="Book Antiqua" w:hAnsi="Book Antiqua" w:cs="Arial"/>
          <w:b/>
        </w:rPr>
        <w:t>THE SECRETARY OF STATE FOR THE HOME DEPARTMENT</w:t>
      </w:r>
    </w:p>
    <w:p w14:paraId="09383A83" w14:textId="77777777" w:rsidR="00DD5071" w:rsidRDefault="00DD5071" w:rsidP="00BA34E6">
      <w:pPr>
        <w:jc w:val="right"/>
        <w:rPr>
          <w:rFonts w:ascii="Book Antiqua" w:hAnsi="Book Antiqua" w:cs="Arial"/>
          <w:u w:val="single"/>
        </w:rPr>
      </w:pPr>
      <w:r w:rsidRPr="000704BB">
        <w:rPr>
          <w:rFonts w:ascii="Book Antiqua" w:hAnsi="Book Antiqua" w:cs="Arial"/>
          <w:u w:val="single"/>
        </w:rPr>
        <w:t>Respondent</w:t>
      </w:r>
    </w:p>
    <w:p w14:paraId="4D2956F5" w14:textId="77777777" w:rsidR="00A14DC9" w:rsidRPr="000704BB" w:rsidRDefault="00A14DC9" w:rsidP="00BA34E6">
      <w:pPr>
        <w:jc w:val="right"/>
        <w:rPr>
          <w:rFonts w:ascii="Book Antiqua" w:hAnsi="Book Antiqua" w:cs="Arial"/>
          <w:u w:val="single"/>
        </w:rPr>
      </w:pPr>
    </w:p>
    <w:p w14:paraId="45F9C4A7"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19FA17BB" w14:textId="77777777" w:rsidR="00DE7DB7" w:rsidRPr="000704BB" w:rsidRDefault="00DE7DB7" w:rsidP="00DD5071">
      <w:pPr>
        <w:rPr>
          <w:rFonts w:ascii="Book Antiqua" w:hAnsi="Book Antiqua" w:cs="Arial"/>
        </w:rPr>
      </w:pPr>
    </w:p>
    <w:p w14:paraId="2A6D2B57"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2549A4">
        <w:rPr>
          <w:rFonts w:ascii="Book Antiqua" w:hAnsi="Book Antiqua" w:cs="Arial"/>
        </w:rPr>
        <w:t>s</w:t>
      </w:r>
      <w:r w:rsidRPr="000704BB">
        <w:rPr>
          <w:rFonts w:ascii="Book Antiqua" w:hAnsi="Book Antiqua" w:cs="Arial"/>
        </w:rPr>
        <w:t>:</w:t>
      </w:r>
      <w:r w:rsidRPr="000704BB">
        <w:rPr>
          <w:rFonts w:ascii="Book Antiqua" w:hAnsi="Book Antiqua" w:cs="Arial"/>
        </w:rPr>
        <w:tab/>
      </w:r>
      <w:r w:rsidR="00BA34E6">
        <w:rPr>
          <w:rFonts w:ascii="Book Antiqua" w:hAnsi="Book Antiqua" w:cs="Arial"/>
        </w:rPr>
        <w:t>Ms Hirst of Counsel</w:t>
      </w:r>
    </w:p>
    <w:p w14:paraId="39246A3E"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BA34E6">
        <w:rPr>
          <w:rFonts w:ascii="Book Antiqua" w:hAnsi="Book Antiqua" w:cs="Arial"/>
        </w:rPr>
        <w:t>Mr Jarvis</w:t>
      </w:r>
      <w:r w:rsidR="00926730">
        <w:rPr>
          <w:rFonts w:ascii="Book Antiqua" w:hAnsi="Book Antiqua" w:cs="Arial"/>
        </w:rPr>
        <w:t>, Senior Home Office Presenting Officer</w:t>
      </w:r>
    </w:p>
    <w:p w14:paraId="450CAADC" w14:textId="77777777" w:rsidR="00DE7DB7" w:rsidRPr="000704BB" w:rsidRDefault="00DE7DB7" w:rsidP="00BA34E6">
      <w:pPr>
        <w:tabs>
          <w:tab w:val="left" w:pos="2520"/>
        </w:tabs>
        <w:rPr>
          <w:rFonts w:ascii="Book Antiqua" w:hAnsi="Book Antiqua" w:cs="Arial"/>
        </w:rPr>
      </w:pPr>
    </w:p>
    <w:p w14:paraId="120387B3" w14:textId="77777777" w:rsidR="00BB0193" w:rsidRPr="00A14DC9" w:rsidRDefault="00BB0193" w:rsidP="00A14DC9">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2C79A656" w14:textId="77777777" w:rsidR="00BF23BB" w:rsidRDefault="00926730" w:rsidP="00D11081">
      <w:pPr>
        <w:numPr>
          <w:ilvl w:val="0"/>
          <w:numId w:val="1"/>
        </w:numPr>
        <w:spacing w:before="240"/>
        <w:jc w:val="both"/>
        <w:rPr>
          <w:rFonts w:ascii="Book Antiqua" w:hAnsi="Book Antiqua" w:cs="Arial"/>
        </w:rPr>
      </w:pPr>
      <w:r>
        <w:rPr>
          <w:rFonts w:ascii="Book Antiqua" w:hAnsi="Book Antiqua" w:cs="Arial"/>
        </w:rPr>
        <w:t xml:space="preserve">The appellants are all citizens of Nigeria.  They appealed against the respondent’s decision dated 3 October 2016 to refuse their applications for leave to remain in the United Kingdom.  </w:t>
      </w:r>
    </w:p>
    <w:p w14:paraId="0EE36A1E" w14:textId="77777777" w:rsidR="002D2F41" w:rsidRDefault="00926730" w:rsidP="00D11081">
      <w:pPr>
        <w:numPr>
          <w:ilvl w:val="0"/>
          <w:numId w:val="1"/>
        </w:numPr>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Onouf</w:t>
      </w:r>
      <w:r w:rsidR="005328C4">
        <w:rPr>
          <w:rFonts w:ascii="Book Antiqua" w:hAnsi="Book Antiqua" w:cs="Arial"/>
        </w:rPr>
        <w:t>r</w:t>
      </w:r>
      <w:r>
        <w:rPr>
          <w:rFonts w:ascii="Book Antiqua" w:hAnsi="Book Antiqua" w:cs="Arial"/>
        </w:rPr>
        <w:t>iou</w:t>
      </w:r>
      <w:proofErr w:type="spellEnd"/>
      <w:r>
        <w:rPr>
          <w:rFonts w:ascii="Book Antiqua" w:hAnsi="Book Antiqua" w:cs="Arial"/>
        </w:rPr>
        <w:t xml:space="preserve"> (the judge) allowed the appeals under Articles 3, 8 and 4.  Further, the judge said that the appeal was allowed under the Immigration Rules </w:t>
      </w:r>
      <w:proofErr w:type="gramStart"/>
      <w:r>
        <w:rPr>
          <w:rFonts w:ascii="Book Antiqua" w:hAnsi="Book Antiqua" w:cs="Arial"/>
        </w:rPr>
        <w:t>with regard to</w:t>
      </w:r>
      <w:proofErr w:type="gramEnd"/>
      <w:r>
        <w:rPr>
          <w:rFonts w:ascii="Book Antiqua" w:hAnsi="Book Antiqua" w:cs="Arial"/>
        </w:rPr>
        <w:t xml:space="preserve"> the third appellant.  </w:t>
      </w:r>
    </w:p>
    <w:p w14:paraId="51EEEF95" w14:textId="43116F30" w:rsidR="00926730" w:rsidRDefault="00926730" w:rsidP="00D11081">
      <w:pPr>
        <w:numPr>
          <w:ilvl w:val="0"/>
          <w:numId w:val="1"/>
        </w:numPr>
        <w:spacing w:before="240"/>
        <w:jc w:val="both"/>
        <w:rPr>
          <w:rFonts w:ascii="Book Antiqua" w:hAnsi="Book Antiqua" w:cs="Arial"/>
        </w:rPr>
      </w:pPr>
      <w:r>
        <w:rPr>
          <w:rFonts w:ascii="Book Antiqua" w:hAnsi="Book Antiqua" w:cs="Arial"/>
        </w:rPr>
        <w:lastRenderedPageBreak/>
        <w:t>The grounds claim that the judge did not address the issue of whether the appellants’ removal would be contrary to the UK’s obligations under the Refugee Convention which was raised both in the appellants’ grounds of appeal and written and oral submissions made at the hearing.  The appellants had sought to remedy that omission through an application under Rule 31 of the 2014 Procedure Rules, however, the Tribunal’s response dated 22 May 2018 refused the application on the basis that it was not an appropriate case for an application of Rule 31.  Thereafter, the appellants appealed out of time on asylum grounds only against the First-tier Judge’s decision promulgated on 5 March 2019 that it was a material error of law to fail to consider or determine the appellants’ asylum grounds of appeal since that was a matter before the judge under S.85(2) and (4) of the 2002 Act.</w:t>
      </w:r>
    </w:p>
    <w:p w14:paraId="566A05C3" w14:textId="77777777" w:rsidR="00926730" w:rsidRDefault="00926730" w:rsidP="00D11081">
      <w:pPr>
        <w:numPr>
          <w:ilvl w:val="0"/>
          <w:numId w:val="1"/>
        </w:numPr>
        <w:spacing w:before="240"/>
        <w:jc w:val="both"/>
        <w:rPr>
          <w:rFonts w:ascii="Book Antiqua" w:hAnsi="Book Antiqua" w:cs="Arial"/>
        </w:rPr>
      </w:pPr>
      <w:r>
        <w:rPr>
          <w:rFonts w:ascii="Book Antiqua" w:hAnsi="Book Antiqua" w:cs="Arial"/>
        </w:rPr>
        <w:t>Judge Pickup refused permission to appeal in a decision dated 22 August 2018.  He said inter alia:</w:t>
      </w:r>
    </w:p>
    <w:p w14:paraId="3C6BF37D" w14:textId="77777777" w:rsidR="009002E5" w:rsidRDefault="00FC7205" w:rsidP="009002E5">
      <w:pPr>
        <w:spacing w:before="240"/>
        <w:ind w:left="1701" w:hanging="567"/>
        <w:jc w:val="both"/>
        <w:rPr>
          <w:rFonts w:ascii="Book Antiqua" w:hAnsi="Book Antiqua" w:cs="Arial"/>
        </w:rPr>
      </w:pPr>
      <w:r w:rsidRPr="002E2518">
        <w:rPr>
          <w:rFonts w:ascii="Book Antiqua" w:hAnsi="Book Antiqua" w:cs="Arial"/>
          <w:i/>
        </w:rPr>
        <w:t>“2.</w:t>
      </w:r>
      <w:r w:rsidRPr="002E2518">
        <w:rPr>
          <w:rFonts w:ascii="Book Antiqua" w:hAnsi="Book Antiqua" w:cs="Arial"/>
          <w:i/>
        </w:rPr>
        <w:tab/>
        <w:t>The application is very substantially out of time.  It should have been received no later than 19.3.18 but was not received until 4.6.18.  I have considered the explanation for the delay being that the appellants’ representatives sought to remedy an alleged omission in the decision by asking the Tribunal to apply Rule 31 of the Tribunal Procedure Rules, which was refused</w:t>
      </w:r>
      <w:r w:rsidR="002E2518" w:rsidRPr="002E2518">
        <w:rPr>
          <w:rFonts w:ascii="Book Antiqua" w:hAnsi="Book Antiqua" w:cs="Arial"/>
          <w:i/>
        </w:rPr>
        <w:t>.  That does not explain the very significant subsequent delay.  In the circumstances I do not extend time.</w:t>
      </w:r>
      <w:r w:rsidR="002317FE">
        <w:rPr>
          <w:rFonts w:ascii="Book Antiqua" w:hAnsi="Book Antiqua" w:cs="Arial"/>
          <w:i/>
        </w:rPr>
        <w:t>”</w:t>
      </w:r>
      <w:r w:rsidR="002E2518" w:rsidRPr="002E2518">
        <w:rPr>
          <w:rFonts w:ascii="Book Antiqua" w:hAnsi="Book Antiqua" w:cs="Arial"/>
          <w:i/>
        </w:rPr>
        <w:t xml:space="preserve">  </w:t>
      </w:r>
    </w:p>
    <w:p w14:paraId="1468E099" w14:textId="77777777" w:rsidR="002E2518" w:rsidRPr="002D3790" w:rsidRDefault="00DA1C74" w:rsidP="00BC412A">
      <w:pPr>
        <w:spacing w:before="240"/>
        <w:ind w:left="1701" w:hanging="567"/>
        <w:jc w:val="both"/>
        <w:rPr>
          <w:rFonts w:ascii="Book Antiqua" w:hAnsi="Book Antiqua" w:cs="Arial"/>
        </w:rPr>
      </w:pPr>
      <w:r w:rsidRPr="002D3790">
        <w:rPr>
          <w:rFonts w:ascii="Book Antiqua" w:hAnsi="Book Antiqua" w:cs="Arial"/>
          <w:i/>
        </w:rPr>
        <w:t>3.</w:t>
      </w:r>
      <w:r w:rsidRPr="002D3790">
        <w:rPr>
          <w:rFonts w:ascii="Book Antiqua" w:hAnsi="Book Antiqua" w:cs="Arial"/>
          <w:i/>
        </w:rPr>
        <w:tab/>
      </w:r>
      <w:r w:rsidR="002E2518" w:rsidRPr="002D3790">
        <w:rPr>
          <w:rFonts w:ascii="Book Antiqua" w:hAnsi="Book Antiqua" w:cs="Arial"/>
          <w:i/>
        </w:rPr>
        <w:t>In any event there is</w:t>
      </w:r>
      <w:r w:rsidR="0046461F" w:rsidRPr="002D3790">
        <w:rPr>
          <w:rFonts w:ascii="Book Antiqua" w:hAnsi="Book Antiqua" w:cs="Arial"/>
          <w:i/>
        </w:rPr>
        <w:t xml:space="preserve"> no</w:t>
      </w:r>
      <w:r w:rsidR="002E2518" w:rsidRPr="002D3790">
        <w:rPr>
          <w:rFonts w:ascii="Book Antiqua" w:hAnsi="Book Antiqua" w:cs="Arial"/>
          <w:i/>
        </w:rPr>
        <w:t xml:space="preserve"> m</w:t>
      </w:r>
      <w:r w:rsidR="00E13F98" w:rsidRPr="002D3790">
        <w:rPr>
          <w:rFonts w:ascii="Book Antiqua" w:hAnsi="Book Antiqua" w:cs="Arial"/>
          <w:i/>
        </w:rPr>
        <w:t>erit in the application.  The a</w:t>
      </w:r>
      <w:r w:rsidR="002E2518" w:rsidRPr="002D3790">
        <w:rPr>
          <w:rFonts w:ascii="Book Antiqua" w:hAnsi="Book Antiqua" w:cs="Arial"/>
          <w:i/>
        </w:rPr>
        <w:t xml:space="preserve">ppellants’ claim that the judge erred by failing to address whether the appellants’ removal would be contrary to the Refugee Convention, which was raised in the grounds and in submissions.  However, the Appellants had made no formal asylum claim, which </w:t>
      </w:r>
      <w:proofErr w:type="gramStart"/>
      <w:r w:rsidR="002E2518" w:rsidRPr="002D3790">
        <w:rPr>
          <w:rFonts w:ascii="Book Antiqua" w:hAnsi="Book Antiqua" w:cs="Arial"/>
          <w:i/>
        </w:rPr>
        <w:t>has to</w:t>
      </w:r>
      <w:proofErr w:type="gramEnd"/>
      <w:r w:rsidR="002E2518" w:rsidRPr="002D3790">
        <w:rPr>
          <w:rFonts w:ascii="Book Antiqua" w:hAnsi="Book Antiqua" w:cs="Arial"/>
          <w:i/>
        </w:rPr>
        <w:t xml:space="preserve"> be made in person and not in the course of an appeal on human rights grounds.  Although </w:t>
      </w:r>
      <w:r w:rsidR="00FA791C" w:rsidRPr="002D3790">
        <w:rPr>
          <w:rFonts w:ascii="Book Antiqua" w:hAnsi="Book Antiqua" w:cs="Arial"/>
          <w:i/>
        </w:rPr>
        <w:t>there was a S.</w:t>
      </w:r>
      <w:r w:rsidR="002E2518" w:rsidRPr="002D3790">
        <w:rPr>
          <w:rFonts w:ascii="Book Antiqua" w:hAnsi="Book Antiqua" w:cs="Arial"/>
          <w:i/>
        </w:rPr>
        <w:t>120 notice there has been no decision by the Secret</w:t>
      </w:r>
      <w:r w:rsidR="00995311" w:rsidRPr="002D3790">
        <w:rPr>
          <w:rFonts w:ascii="Book Antiqua" w:hAnsi="Book Antiqua" w:cs="Arial"/>
          <w:i/>
        </w:rPr>
        <w:t>ary of State on the Convention g</w:t>
      </w:r>
      <w:r w:rsidR="002E2518" w:rsidRPr="002D3790">
        <w:rPr>
          <w:rFonts w:ascii="Book Antiqua" w:hAnsi="Book Antiqua" w:cs="Arial"/>
          <w:i/>
        </w:rPr>
        <w:t xml:space="preserve">rounds.” </w:t>
      </w:r>
      <w:r w:rsidR="002E2518" w:rsidRPr="002D3790">
        <w:rPr>
          <w:rFonts w:ascii="Book Antiqua" w:hAnsi="Book Antiqua" w:cs="Arial"/>
        </w:rPr>
        <w:t xml:space="preserve"> </w:t>
      </w:r>
    </w:p>
    <w:p w14:paraId="167D0D6C" w14:textId="77777777" w:rsidR="002E2518" w:rsidRPr="002E2518" w:rsidRDefault="002E2518" w:rsidP="002E2518">
      <w:pPr>
        <w:numPr>
          <w:ilvl w:val="0"/>
          <w:numId w:val="1"/>
        </w:numPr>
        <w:spacing w:before="240"/>
        <w:jc w:val="both"/>
        <w:rPr>
          <w:rFonts w:ascii="Book Antiqua" w:hAnsi="Book Antiqua" w:cs="Arial"/>
        </w:rPr>
      </w:pPr>
      <w:r w:rsidRPr="002E2518">
        <w:rPr>
          <w:rFonts w:ascii="Book Antiqua" w:hAnsi="Book Antiqua" w:cs="Arial"/>
        </w:rPr>
        <w:t xml:space="preserve">The grounds were renewed.  In a decision dated 21 November 2018, Dr H </w:t>
      </w:r>
      <w:proofErr w:type="spellStart"/>
      <w:r w:rsidRPr="002E2518">
        <w:rPr>
          <w:rFonts w:ascii="Book Antiqua" w:hAnsi="Book Antiqua" w:cs="Arial"/>
        </w:rPr>
        <w:t>H</w:t>
      </w:r>
      <w:proofErr w:type="spellEnd"/>
      <w:r w:rsidRPr="002E2518">
        <w:rPr>
          <w:rFonts w:ascii="Book Antiqua" w:hAnsi="Book Antiqua" w:cs="Arial"/>
        </w:rPr>
        <w:t xml:space="preserve"> Storey, Judge of the Upper Tribunal granted permission to appeal.  He said:</w:t>
      </w:r>
    </w:p>
    <w:p w14:paraId="5678B8C8" w14:textId="77777777" w:rsidR="002E2518" w:rsidRDefault="002E2518" w:rsidP="00EF5F0C">
      <w:pPr>
        <w:pStyle w:val="ListParagraph"/>
        <w:ind w:left="567"/>
        <w:jc w:val="both"/>
        <w:rPr>
          <w:rFonts w:ascii="Book Antiqua" w:hAnsi="Book Antiqua" w:cs="Arial"/>
        </w:rPr>
      </w:pPr>
    </w:p>
    <w:p w14:paraId="7055B49C" w14:textId="77777777" w:rsidR="002E2518" w:rsidRDefault="002E2518" w:rsidP="00EF5F0C">
      <w:pPr>
        <w:pStyle w:val="ListParagraph"/>
        <w:ind w:left="1134"/>
        <w:jc w:val="both"/>
        <w:rPr>
          <w:rFonts w:ascii="Book Antiqua" w:hAnsi="Book Antiqua" w:cs="Arial"/>
          <w:i/>
        </w:rPr>
      </w:pPr>
      <w:r>
        <w:rPr>
          <w:rFonts w:ascii="Book Antiqua" w:hAnsi="Book Antiqua" w:cs="Arial"/>
          <w:i/>
        </w:rPr>
        <w:t xml:space="preserve">“In light of the more detailed explanation </w:t>
      </w:r>
      <w:proofErr w:type="gramStart"/>
      <w:r>
        <w:rPr>
          <w:rFonts w:ascii="Book Antiqua" w:hAnsi="Book Antiqua" w:cs="Arial"/>
          <w:i/>
        </w:rPr>
        <w:t>and also</w:t>
      </w:r>
      <w:proofErr w:type="gramEnd"/>
      <w:r>
        <w:rPr>
          <w:rFonts w:ascii="Book Antiqua" w:hAnsi="Book Antiqua" w:cs="Arial"/>
          <w:i/>
        </w:rPr>
        <w:t xml:space="preserve"> the appellants’ legal submissions I am prepared to extend time.  </w:t>
      </w:r>
    </w:p>
    <w:p w14:paraId="22FEAA5A" w14:textId="77777777" w:rsidR="002E2518" w:rsidRPr="002E2518" w:rsidRDefault="002E2518" w:rsidP="002E2518">
      <w:pPr>
        <w:pStyle w:val="ListParagraph"/>
        <w:spacing w:before="240"/>
        <w:ind w:left="1134"/>
        <w:jc w:val="both"/>
        <w:rPr>
          <w:rFonts w:ascii="Book Antiqua" w:hAnsi="Book Antiqua" w:cs="Arial"/>
          <w:i/>
        </w:rPr>
      </w:pPr>
    </w:p>
    <w:p w14:paraId="1EDA04E8" w14:textId="77777777" w:rsidR="00FC7205" w:rsidRDefault="002E2518" w:rsidP="00EF5F0C">
      <w:pPr>
        <w:numPr>
          <w:ilvl w:val="0"/>
          <w:numId w:val="1"/>
        </w:numPr>
        <w:jc w:val="both"/>
        <w:rPr>
          <w:rFonts w:ascii="Book Antiqua" w:hAnsi="Book Antiqua" w:cs="Arial"/>
        </w:rPr>
      </w:pPr>
      <w:r>
        <w:rPr>
          <w:rFonts w:ascii="Book Antiqua" w:hAnsi="Book Antiqua" w:cs="Arial"/>
        </w:rPr>
        <w:t>Given that t</w:t>
      </w:r>
      <w:r w:rsidR="006F318D">
        <w:rPr>
          <w:rFonts w:ascii="Book Antiqua" w:hAnsi="Book Antiqua" w:cs="Arial"/>
        </w:rPr>
        <w:t>he first appellant completed a S</w:t>
      </w:r>
      <w:r>
        <w:rPr>
          <w:rFonts w:ascii="Book Antiqua" w:hAnsi="Book Antiqua" w:cs="Arial"/>
        </w:rPr>
        <w:t xml:space="preserve">.120 notice raising asylum grounds of appeal it is arguable that it was incumbent on the judge to </w:t>
      </w:r>
      <w:proofErr w:type="gramStart"/>
      <w:r>
        <w:rPr>
          <w:rFonts w:ascii="Book Antiqua" w:hAnsi="Book Antiqua" w:cs="Arial"/>
        </w:rPr>
        <w:t>make a decision</w:t>
      </w:r>
      <w:proofErr w:type="gramEnd"/>
      <w:r>
        <w:rPr>
          <w:rFonts w:ascii="Book Antiqua" w:hAnsi="Book Antiqua" w:cs="Arial"/>
        </w:rPr>
        <w:t xml:space="preserve"> regarding them, notwithstanding that the appellant had not made a formal application for asylum.  The grounds therefore disclose an arguable error of law.</w:t>
      </w:r>
    </w:p>
    <w:p w14:paraId="2CFAF354" w14:textId="77777777" w:rsidR="00BA34E6" w:rsidRPr="00A14DC9" w:rsidRDefault="002E2518" w:rsidP="002E2518">
      <w:pPr>
        <w:numPr>
          <w:ilvl w:val="0"/>
          <w:numId w:val="1"/>
        </w:numPr>
        <w:spacing w:before="240"/>
        <w:jc w:val="both"/>
        <w:rPr>
          <w:rFonts w:ascii="Book Antiqua" w:hAnsi="Book Antiqua" w:cs="Arial"/>
        </w:rPr>
      </w:pPr>
      <w:r>
        <w:rPr>
          <w:rFonts w:ascii="Book Antiqua" w:hAnsi="Book Antiqua" w:cs="Arial"/>
        </w:rPr>
        <w:t>There was no Rule 24 response.</w:t>
      </w:r>
    </w:p>
    <w:p w14:paraId="32559616" w14:textId="77777777" w:rsidR="002E2518" w:rsidRPr="002E2518" w:rsidRDefault="002E2518" w:rsidP="002E2518">
      <w:pPr>
        <w:spacing w:before="240"/>
        <w:jc w:val="both"/>
        <w:rPr>
          <w:rFonts w:ascii="Book Antiqua" w:hAnsi="Book Antiqua" w:cs="Arial"/>
          <w:b/>
          <w:u w:val="single"/>
        </w:rPr>
      </w:pPr>
      <w:r w:rsidRPr="002E2518">
        <w:rPr>
          <w:rFonts w:ascii="Book Antiqua" w:hAnsi="Book Antiqua" w:cs="Arial"/>
          <w:b/>
          <w:u w:val="single"/>
        </w:rPr>
        <w:t>Submissions on Error of Law</w:t>
      </w:r>
    </w:p>
    <w:p w14:paraId="186BA927" w14:textId="270E2C8F" w:rsidR="00BA34E6" w:rsidRPr="00BA34E6" w:rsidRDefault="00BA34E6" w:rsidP="00BA34E6">
      <w:pPr>
        <w:numPr>
          <w:ilvl w:val="0"/>
          <w:numId w:val="1"/>
        </w:numPr>
        <w:spacing w:before="240"/>
        <w:jc w:val="both"/>
        <w:rPr>
          <w:rFonts w:ascii="Book Antiqua" w:hAnsi="Book Antiqua" w:cs="Arial"/>
        </w:rPr>
      </w:pPr>
      <w:r>
        <w:rPr>
          <w:rFonts w:ascii="Book Antiqua" w:hAnsi="Book Antiqua" w:cs="Arial"/>
        </w:rPr>
        <w:t xml:space="preserve">The grounds turned upon the narrow issue on whether the judge was obliged to consider and determine the appellant’s asylum grounds of appeal.  Ms </w:t>
      </w:r>
      <w:r w:rsidR="001A2FBF">
        <w:rPr>
          <w:rFonts w:ascii="Book Antiqua" w:hAnsi="Book Antiqua" w:cs="Arial"/>
        </w:rPr>
        <w:t>H</w:t>
      </w:r>
      <w:r>
        <w:rPr>
          <w:rFonts w:ascii="Book Antiqua" w:hAnsi="Book Antiqua" w:cs="Arial"/>
        </w:rPr>
        <w:t>irst relied</w:t>
      </w:r>
      <w:r w:rsidR="002D2F41">
        <w:rPr>
          <w:rFonts w:ascii="Book Antiqua" w:hAnsi="Book Antiqua" w:cs="Arial"/>
        </w:rPr>
        <w:t xml:space="preserve"> upon the grounds.  There was no</w:t>
      </w:r>
      <w:r>
        <w:rPr>
          <w:rFonts w:ascii="Book Antiqua" w:hAnsi="Book Antiqua" w:cs="Arial"/>
        </w:rPr>
        <w:t xml:space="preserve"> Rule 24 response, however, Mr Jarvis submitted that </w:t>
      </w:r>
      <w:r>
        <w:rPr>
          <w:rFonts w:ascii="Book Antiqua" w:hAnsi="Book Antiqua" w:cs="Arial"/>
        </w:rPr>
        <w:lastRenderedPageBreak/>
        <w:t xml:space="preserve">bearing in mind </w:t>
      </w:r>
      <w:r w:rsidR="00A14DC9">
        <w:rPr>
          <w:rFonts w:ascii="Book Antiqua" w:hAnsi="Book Antiqua" w:cs="Arial"/>
        </w:rPr>
        <w:t>S</w:t>
      </w:r>
      <w:r>
        <w:rPr>
          <w:rFonts w:ascii="Book Antiqua" w:hAnsi="Book Antiqua" w:cs="Arial"/>
        </w:rPr>
        <w:t xml:space="preserve">.82 and </w:t>
      </w:r>
      <w:r w:rsidR="00A14DC9">
        <w:rPr>
          <w:rFonts w:ascii="Book Antiqua" w:hAnsi="Book Antiqua" w:cs="Arial"/>
        </w:rPr>
        <w:t>S</w:t>
      </w:r>
      <w:r>
        <w:rPr>
          <w:rFonts w:ascii="Book Antiqua" w:hAnsi="Book Antiqua" w:cs="Arial"/>
        </w:rPr>
        <w:t xml:space="preserve">.84(2) there was no obligation on the judge to engage with the asylum claim such that there was no material error of law as the judge had no </w:t>
      </w:r>
      <w:r w:rsidR="001A2FBF">
        <w:rPr>
          <w:rFonts w:ascii="Book Antiqua" w:hAnsi="Book Antiqua" w:cs="Arial"/>
        </w:rPr>
        <w:t>jurisdiction</w:t>
      </w:r>
      <w:r w:rsidR="002D2F41">
        <w:rPr>
          <w:rFonts w:ascii="Book Antiqua" w:hAnsi="Book Antiqua" w:cs="Arial"/>
        </w:rPr>
        <w:t>.  H</w:t>
      </w:r>
      <w:r>
        <w:rPr>
          <w:rFonts w:ascii="Book Antiqua" w:hAnsi="Book Antiqua" w:cs="Arial"/>
        </w:rPr>
        <w:t xml:space="preserve">e said that </w:t>
      </w:r>
      <w:proofErr w:type="gramStart"/>
      <w:r>
        <w:rPr>
          <w:rFonts w:ascii="Book Antiqua" w:hAnsi="Book Antiqua" w:cs="Arial"/>
        </w:rPr>
        <w:t>in the event that</w:t>
      </w:r>
      <w:proofErr w:type="gramEnd"/>
      <w:r>
        <w:rPr>
          <w:rFonts w:ascii="Book Antiqua" w:hAnsi="Book Antiqua" w:cs="Arial"/>
        </w:rPr>
        <w:t xml:space="preserve"> I found there was </w:t>
      </w:r>
      <w:r w:rsidR="001A2FBF">
        <w:rPr>
          <w:rFonts w:ascii="Book Antiqua" w:hAnsi="Book Antiqua" w:cs="Arial"/>
        </w:rPr>
        <w:t>jurisdiction</w:t>
      </w:r>
      <w:r>
        <w:rPr>
          <w:rFonts w:ascii="Book Antiqua" w:hAnsi="Book Antiqua" w:cs="Arial"/>
        </w:rPr>
        <w:t xml:space="preserve"> then given the judge’s findings at [44</w:t>
      </w:r>
      <w:r w:rsidR="002D2F41">
        <w:rPr>
          <w:rFonts w:ascii="Book Antiqua" w:hAnsi="Book Antiqua" w:cs="Arial"/>
        </w:rPr>
        <w:t>]</w:t>
      </w:r>
      <w:r>
        <w:rPr>
          <w:rFonts w:ascii="Book Antiqua" w:hAnsi="Book Antiqua" w:cs="Arial"/>
        </w:rPr>
        <w:t xml:space="preserve"> – </w:t>
      </w:r>
      <w:r w:rsidR="002D2F41">
        <w:rPr>
          <w:rFonts w:ascii="Book Antiqua" w:hAnsi="Book Antiqua" w:cs="Arial"/>
        </w:rPr>
        <w:t>[</w:t>
      </w:r>
      <w:r>
        <w:rPr>
          <w:rFonts w:ascii="Book Antiqua" w:hAnsi="Book Antiqua" w:cs="Arial"/>
        </w:rPr>
        <w:t xml:space="preserve">45] of the decision, there was a real likelihood that the appellant would be re-trafficked. </w:t>
      </w:r>
    </w:p>
    <w:p w14:paraId="75450ADE" w14:textId="77777777" w:rsidR="002E2518" w:rsidRPr="00C67856" w:rsidRDefault="002E2518" w:rsidP="00C67856">
      <w:pPr>
        <w:spacing w:before="240"/>
        <w:jc w:val="both"/>
        <w:rPr>
          <w:rFonts w:ascii="Book Antiqua" w:hAnsi="Book Antiqua" w:cs="Arial"/>
          <w:b/>
          <w:u w:val="single"/>
        </w:rPr>
      </w:pPr>
      <w:r w:rsidRPr="00C67856">
        <w:rPr>
          <w:rFonts w:ascii="Book Antiqua" w:hAnsi="Book Antiqua" w:cs="Arial"/>
          <w:b/>
          <w:u w:val="single"/>
        </w:rPr>
        <w:t>Conclusion on Error of Law</w:t>
      </w:r>
    </w:p>
    <w:p w14:paraId="74BECE59" w14:textId="77777777" w:rsidR="002E2518" w:rsidRDefault="00BA34E6" w:rsidP="002E2518">
      <w:pPr>
        <w:numPr>
          <w:ilvl w:val="0"/>
          <w:numId w:val="1"/>
        </w:numPr>
        <w:spacing w:before="240"/>
        <w:jc w:val="both"/>
        <w:rPr>
          <w:rFonts w:ascii="Book Antiqua" w:hAnsi="Book Antiqua" w:cs="Arial"/>
        </w:rPr>
      </w:pPr>
      <w:r>
        <w:rPr>
          <w:rFonts w:ascii="Book Antiqua" w:hAnsi="Book Antiqua" w:cs="Arial"/>
        </w:rPr>
        <w:t xml:space="preserve">Put simply, s.82 and 84 had to be considered </w:t>
      </w:r>
      <w:proofErr w:type="gramStart"/>
      <w:r>
        <w:rPr>
          <w:rFonts w:ascii="Book Antiqua" w:hAnsi="Book Antiqua" w:cs="Arial"/>
        </w:rPr>
        <w:t>in light of</w:t>
      </w:r>
      <w:proofErr w:type="gramEnd"/>
      <w:r>
        <w:rPr>
          <w:rFonts w:ascii="Book Antiqua" w:hAnsi="Book Antiqua" w:cs="Arial"/>
        </w:rPr>
        <w:t xml:space="preserve"> the notice under s.120 of the Nationality, Immigration and Asylum Act 2002.  </w:t>
      </w:r>
    </w:p>
    <w:p w14:paraId="56FF1528" w14:textId="77777777" w:rsidR="00BA34E6" w:rsidRDefault="00BA34E6" w:rsidP="002E2518">
      <w:pPr>
        <w:numPr>
          <w:ilvl w:val="0"/>
          <w:numId w:val="1"/>
        </w:numPr>
        <w:spacing w:before="240"/>
        <w:jc w:val="both"/>
        <w:rPr>
          <w:rFonts w:ascii="Book Antiqua" w:hAnsi="Book Antiqua" w:cs="Arial"/>
        </w:rPr>
      </w:pPr>
      <w:r>
        <w:rPr>
          <w:rFonts w:ascii="Book Antiqua" w:hAnsi="Book Antiqua" w:cs="Arial"/>
        </w:rPr>
        <w:t xml:space="preserve">S.85(2) provides: </w:t>
      </w:r>
    </w:p>
    <w:p w14:paraId="12DB7DDE" w14:textId="77777777" w:rsidR="00BA34E6" w:rsidRPr="00A14DC9" w:rsidRDefault="00BA34E6" w:rsidP="00BA34E6">
      <w:pPr>
        <w:spacing w:before="240"/>
        <w:ind w:left="1701" w:hanging="567"/>
        <w:jc w:val="both"/>
        <w:rPr>
          <w:rFonts w:ascii="Book Antiqua" w:hAnsi="Book Antiqua" w:cs="Arial"/>
          <w:i/>
        </w:rPr>
      </w:pPr>
      <w:r w:rsidRPr="00A14DC9">
        <w:rPr>
          <w:rFonts w:ascii="Book Antiqua" w:hAnsi="Book Antiqua" w:cs="Arial"/>
          <w:i/>
        </w:rPr>
        <w:t>“(2)</w:t>
      </w:r>
      <w:r w:rsidRPr="00A14DC9">
        <w:rPr>
          <w:rFonts w:ascii="Book Antiqua" w:hAnsi="Book Antiqua" w:cs="Arial"/>
          <w:i/>
        </w:rPr>
        <w:tab/>
        <w:t>If an appellant under section 82(1) makes a stateme</w:t>
      </w:r>
      <w:r w:rsidR="00A14DC9">
        <w:rPr>
          <w:rFonts w:ascii="Book Antiqua" w:hAnsi="Book Antiqua" w:cs="Arial"/>
          <w:i/>
        </w:rPr>
        <w:t>nt under section 120, [</w:t>
      </w:r>
      <w:r w:rsidRPr="00A14DC9">
        <w:rPr>
          <w:rFonts w:ascii="Book Antiqua" w:hAnsi="Book Antiqua" w:cs="Arial"/>
          <w:i/>
        </w:rPr>
        <w:t>the Tribunal] shall consider any matter raised in the statement which constitutes a ground</w:t>
      </w:r>
      <w:r w:rsidR="00A14DC9">
        <w:rPr>
          <w:rFonts w:ascii="Book Antiqua" w:hAnsi="Book Antiqua" w:cs="Arial"/>
          <w:i/>
        </w:rPr>
        <w:t xml:space="preserve"> of appeal of a kind listed in S</w:t>
      </w:r>
      <w:r w:rsidRPr="00A14DC9">
        <w:rPr>
          <w:rFonts w:ascii="Book Antiqua" w:hAnsi="Book Antiqua" w:cs="Arial"/>
          <w:i/>
        </w:rPr>
        <w:t>ection 84(1) against the decision appealed against.</w:t>
      </w:r>
    </w:p>
    <w:p w14:paraId="09787B6D" w14:textId="77777777" w:rsidR="00BA34E6" w:rsidRPr="00A14DC9" w:rsidRDefault="00BA34E6" w:rsidP="00BA34E6">
      <w:pPr>
        <w:spacing w:before="240"/>
        <w:ind w:left="1701" w:hanging="567"/>
        <w:jc w:val="both"/>
        <w:rPr>
          <w:rFonts w:ascii="Book Antiqua" w:hAnsi="Book Antiqua" w:cs="Arial"/>
          <w:i/>
        </w:rPr>
      </w:pPr>
      <w:r w:rsidRPr="00A14DC9">
        <w:rPr>
          <w:rFonts w:ascii="Book Antiqua" w:hAnsi="Book Antiqua" w:cs="Arial"/>
          <w:i/>
        </w:rPr>
        <w:t>(3)</w:t>
      </w:r>
      <w:r w:rsidRPr="00A14DC9">
        <w:rPr>
          <w:rFonts w:ascii="Book Antiqua" w:hAnsi="Book Antiqua" w:cs="Arial"/>
          <w:i/>
        </w:rPr>
        <w:tab/>
        <w:t>Subsection (2) applies to a statement made under section 120 whether the statement was made before or after the appeal was commenced.”</w:t>
      </w:r>
    </w:p>
    <w:p w14:paraId="6E23CCE7" w14:textId="77777777" w:rsidR="00BA34E6" w:rsidRDefault="00BA34E6" w:rsidP="002E2518">
      <w:pPr>
        <w:numPr>
          <w:ilvl w:val="0"/>
          <w:numId w:val="1"/>
        </w:numPr>
        <w:spacing w:before="240"/>
        <w:jc w:val="both"/>
        <w:rPr>
          <w:rFonts w:ascii="Book Antiqua" w:hAnsi="Book Antiqua" w:cs="Arial"/>
        </w:rPr>
      </w:pPr>
      <w:r>
        <w:rPr>
          <w:rFonts w:ascii="Book Antiqua" w:hAnsi="Book Antiqua" w:cs="Arial"/>
        </w:rPr>
        <w:t xml:space="preserve">The respondent’s refusal dated 3 October 2016 included a notice under </w:t>
      </w:r>
      <w:r w:rsidR="001A2FBF">
        <w:rPr>
          <w:rFonts w:ascii="Book Antiqua" w:hAnsi="Book Antiqua" w:cs="Arial"/>
        </w:rPr>
        <w:t>S.</w:t>
      </w:r>
      <w:r>
        <w:rPr>
          <w:rFonts w:ascii="Book Antiqua" w:hAnsi="Book Antiqua" w:cs="Arial"/>
        </w:rPr>
        <w:t xml:space="preserve">120 to which the appellant responded in her original grounds of appeal and in a Statement of Additional Grounds dated 20 July 2017.  The appellant </w:t>
      </w:r>
      <w:r w:rsidR="001A2FBF">
        <w:rPr>
          <w:rFonts w:ascii="Book Antiqua" w:hAnsi="Book Antiqua" w:cs="Arial"/>
        </w:rPr>
        <w:t>clearly stated that she wished the Tribunal to consider Refugee Convention grounds of appeal.  Counsel’s skeleton before the judge made submissions on asylum and humanitarian protection.  That being the case, the judge was obliged by S.</w:t>
      </w:r>
      <w:r w:rsidR="00A14DC9">
        <w:rPr>
          <w:rFonts w:ascii="Book Antiqua" w:hAnsi="Book Antiqua" w:cs="Arial"/>
        </w:rPr>
        <w:t>85</w:t>
      </w:r>
      <w:r w:rsidR="001A2FBF">
        <w:rPr>
          <w:rFonts w:ascii="Book Antiqua" w:hAnsi="Book Antiqua" w:cs="Arial"/>
        </w:rPr>
        <w:t xml:space="preserve">(2) and (4) to consider the asylum appeal.  </w:t>
      </w:r>
    </w:p>
    <w:p w14:paraId="6E789E9E" w14:textId="77777777" w:rsidR="001A2FBF" w:rsidRDefault="001A2FBF" w:rsidP="002E2518">
      <w:pPr>
        <w:numPr>
          <w:ilvl w:val="0"/>
          <w:numId w:val="1"/>
        </w:numPr>
        <w:spacing w:before="240"/>
        <w:jc w:val="both"/>
        <w:rPr>
          <w:rFonts w:ascii="Book Antiqua" w:hAnsi="Book Antiqua" w:cs="Arial"/>
        </w:rPr>
      </w:pPr>
      <w:r>
        <w:rPr>
          <w:rFonts w:ascii="Book Antiqua" w:hAnsi="Book Antiqua" w:cs="Arial"/>
        </w:rPr>
        <w:t>I find the asylum and humanitarian protection issues were before the judge and it was irrelevant that there had been no formal asylum application or any prior decision by the Secretary of State.  There was no issue that such issues were before the judge.  See [9]</w:t>
      </w:r>
      <w:r w:rsidR="00A14DC9">
        <w:rPr>
          <w:rFonts w:ascii="Book Antiqua" w:hAnsi="Book Antiqua" w:cs="Arial"/>
        </w:rPr>
        <w:t>1</w:t>
      </w:r>
      <w:r>
        <w:rPr>
          <w:rFonts w:ascii="Book Antiqua" w:hAnsi="Book Antiqua" w:cs="Arial"/>
        </w:rPr>
        <w:t xml:space="preserve"> and [25] of the decision.  </w:t>
      </w:r>
    </w:p>
    <w:p w14:paraId="246A1866" w14:textId="4185F74B" w:rsidR="001A2FBF" w:rsidRPr="002D2F41" w:rsidRDefault="001A2FBF" w:rsidP="002D2F41">
      <w:pPr>
        <w:numPr>
          <w:ilvl w:val="0"/>
          <w:numId w:val="1"/>
        </w:numPr>
        <w:spacing w:before="240"/>
        <w:jc w:val="both"/>
        <w:rPr>
          <w:rFonts w:ascii="Book Antiqua" w:hAnsi="Book Antiqua" w:cs="Arial"/>
        </w:rPr>
      </w:pPr>
      <w:r>
        <w:rPr>
          <w:rFonts w:ascii="Book Antiqua" w:hAnsi="Book Antiqua" w:cs="Arial"/>
        </w:rPr>
        <w:t xml:space="preserve">I find the judge materially erred.  It was incumbent upon her to </w:t>
      </w:r>
      <w:proofErr w:type="gramStart"/>
      <w:r>
        <w:rPr>
          <w:rFonts w:ascii="Book Antiqua" w:hAnsi="Book Antiqua" w:cs="Arial"/>
        </w:rPr>
        <w:t>make a decision</w:t>
      </w:r>
      <w:proofErr w:type="gramEnd"/>
      <w:r>
        <w:rPr>
          <w:rFonts w:ascii="Book Antiqua" w:hAnsi="Book Antiqua" w:cs="Arial"/>
        </w:rPr>
        <w:t xml:space="preserve"> regarding the asylum and humanitarian protection claim notwithstanding that there had been no formal application.  Given Mr Jarvis’ helpful acceptance that bearing in mind the judge’s findings at [44] – [45] that the appellant was likely to be a victim of re-trafficking on return, I remake the decision by allowing the appeal on asylum and humanitarian protection grounds.</w:t>
      </w:r>
      <w:r w:rsidR="002D2F41">
        <w:rPr>
          <w:rFonts w:ascii="Book Antiqua" w:hAnsi="Book Antiqua" w:cs="Arial"/>
        </w:rPr>
        <w:t xml:space="preserve"> For the avoidance of doubt, none of the findings the judge made in her decision are disturbed and my decision is by way of addition, not substitution.  </w:t>
      </w:r>
    </w:p>
    <w:p w14:paraId="1536C46B" w14:textId="77777777" w:rsidR="001A2FBF" w:rsidRPr="00BB0193" w:rsidRDefault="001A2FBF" w:rsidP="001A2FBF">
      <w:pPr>
        <w:jc w:val="both"/>
        <w:rPr>
          <w:rFonts w:ascii="Book Antiqua" w:hAnsi="Book Antiqua" w:cs="Arial"/>
          <w:b/>
          <w:u w:val="single"/>
        </w:rPr>
      </w:pPr>
    </w:p>
    <w:p w14:paraId="7119FBA9" w14:textId="77777777" w:rsidR="001A2FBF" w:rsidRPr="001A2FBF" w:rsidRDefault="001A2FBF" w:rsidP="001A2FBF">
      <w:pPr>
        <w:jc w:val="both"/>
        <w:rPr>
          <w:rFonts w:ascii="Book Antiqua" w:hAnsi="Book Antiqua" w:cs="Arial"/>
          <w:b/>
          <w:u w:val="single"/>
        </w:rPr>
      </w:pPr>
      <w:r w:rsidRPr="00BB0193">
        <w:rPr>
          <w:rFonts w:ascii="Book Antiqua" w:hAnsi="Book Antiqua" w:cs="Arial"/>
          <w:b/>
          <w:u w:val="single"/>
        </w:rPr>
        <w:t>Notice of Decision</w:t>
      </w:r>
    </w:p>
    <w:p w14:paraId="0CD8647B" w14:textId="77777777" w:rsidR="00BB0193" w:rsidRDefault="00BB0193" w:rsidP="00BB0193">
      <w:pPr>
        <w:numPr>
          <w:ilvl w:val="0"/>
          <w:numId w:val="1"/>
        </w:numPr>
        <w:spacing w:before="240"/>
        <w:jc w:val="both"/>
        <w:rPr>
          <w:rFonts w:ascii="Book Antiqua" w:hAnsi="Book Antiqua" w:cs="Arial"/>
        </w:rPr>
      </w:pPr>
      <w:r w:rsidRPr="001A2FBF">
        <w:rPr>
          <w:rFonts w:ascii="Book Antiqua" w:hAnsi="Book Antiqua" w:cs="Arial"/>
        </w:rPr>
        <w:t xml:space="preserve">The appeal is </w:t>
      </w:r>
      <w:r w:rsidR="001A2FBF" w:rsidRPr="001A2FBF">
        <w:rPr>
          <w:rFonts w:ascii="Book Antiqua" w:hAnsi="Book Antiqua" w:cs="Arial"/>
        </w:rPr>
        <w:t>allowed on asylum grounds.</w:t>
      </w:r>
    </w:p>
    <w:p w14:paraId="06D5A3D5" w14:textId="3C14D682" w:rsidR="00BB0193" w:rsidRPr="002D2F41" w:rsidRDefault="001A2FBF" w:rsidP="00BB0193">
      <w:pPr>
        <w:numPr>
          <w:ilvl w:val="0"/>
          <w:numId w:val="1"/>
        </w:numPr>
        <w:spacing w:before="240"/>
        <w:jc w:val="both"/>
        <w:rPr>
          <w:rFonts w:ascii="Book Antiqua" w:hAnsi="Book Antiqua" w:cs="Arial"/>
        </w:rPr>
      </w:pPr>
      <w:r w:rsidRPr="002D2F41">
        <w:rPr>
          <w:rFonts w:ascii="Book Antiqua" w:hAnsi="Book Antiqua" w:cs="Arial"/>
        </w:rPr>
        <w:t>The appeal is al</w:t>
      </w:r>
      <w:r w:rsidR="00A14DC9" w:rsidRPr="002D2F41">
        <w:rPr>
          <w:rFonts w:ascii="Book Antiqua" w:hAnsi="Book Antiqua" w:cs="Arial"/>
        </w:rPr>
        <w:t xml:space="preserve">lowed </w:t>
      </w:r>
      <w:r w:rsidRPr="002D2F41">
        <w:rPr>
          <w:rFonts w:ascii="Book Antiqua" w:hAnsi="Book Antiqua" w:cs="Arial"/>
        </w:rPr>
        <w:t xml:space="preserve">on humanitarian protection grounds.  </w:t>
      </w:r>
    </w:p>
    <w:p w14:paraId="31E0315A" w14:textId="77777777" w:rsidR="002D2F41" w:rsidRDefault="002D2F41" w:rsidP="00BB0193">
      <w:pPr>
        <w:jc w:val="both"/>
        <w:rPr>
          <w:rFonts w:ascii="Book Antiqua" w:hAnsi="Book Antiqua" w:cs="Arial"/>
          <w:b/>
          <w:u w:val="single"/>
        </w:rPr>
      </w:pPr>
    </w:p>
    <w:p w14:paraId="4426EBB7" w14:textId="77777777" w:rsidR="002D2F41" w:rsidRDefault="002D2F41" w:rsidP="00BB0193">
      <w:pPr>
        <w:jc w:val="both"/>
        <w:rPr>
          <w:rFonts w:ascii="Book Antiqua" w:hAnsi="Book Antiqua" w:cs="Arial"/>
          <w:b/>
          <w:u w:val="single"/>
        </w:rPr>
      </w:pPr>
    </w:p>
    <w:p w14:paraId="4CFAC8F7" w14:textId="0F6C2DD5" w:rsidR="00BB0193" w:rsidRPr="00BB0193" w:rsidRDefault="00BB0193" w:rsidP="00BB0193">
      <w:pPr>
        <w:jc w:val="both"/>
        <w:rPr>
          <w:rFonts w:ascii="Book Antiqua" w:hAnsi="Book Antiqua" w:cs="Arial"/>
        </w:rPr>
      </w:pPr>
      <w:r w:rsidRPr="00BB0193">
        <w:rPr>
          <w:rFonts w:ascii="Book Antiqua" w:hAnsi="Book Antiqua" w:cs="Arial"/>
          <w:b/>
          <w:u w:val="single"/>
        </w:rPr>
        <w:t>Direction Regarding Anonymity – Rule 14 of the Tribunal Procedure (Upper Tribunal) Rules 2008</w:t>
      </w:r>
    </w:p>
    <w:p w14:paraId="4BFC9A79" w14:textId="77777777" w:rsidR="00BB0193" w:rsidRPr="00BB0193" w:rsidRDefault="00BB0193" w:rsidP="00BB0193">
      <w:pPr>
        <w:jc w:val="both"/>
        <w:rPr>
          <w:rFonts w:ascii="Book Antiqua" w:hAnsi="Book Antiqua" w:cs="Arial"/>
        </w:rPr>
      </w:pPr>
    </w:p>
    <w:p w14:paraId="34BEFFA1" w14:textId="77777777" w:rsidR="00BB0193" w:rsidRPr="00687601" w:rsidRDefault="00BB0193" w:rsidP="00BB0193">
      <w:pPr>
        <w:jc w:val="both"/>
        <w:rPr>
          <w:rFonts w:ascii="Book Antiqua" w:hAnsi="Book Antiqua" w:cs="Arial"/>
        </w:rPr>
      </w:pPr>
      <w:r w:rsidRPr="00BB0193">
        <w:rPr>
          <w:rFonts w:ascii="Book Antiqua" w:hAnsi="Book Antiqua" w:cs="Arial"/>
        </w:rPr>
        <w:t xml:space="preserve">Unless and </w:t>
      </w:r>
      <w:r w:rsidRPr="00BB0193">
        <w:rPr>
          <w:rFonts w:ascii="Book Antiqua" w:hAnsi="Book Antiqua"/>
        </w:rPr>
        <w:t xml:space="preserve">until a Tribunal or court directs otherwise, the </w:t>
      </w:r>
      <w:r w:rsidR="00095A90">
        <w:rPr>
          <w:rFonts w:ascii="Book Antiqua" w:hAnsi="Book Antiqua"/>
        </w:rPr>
        <w:t>a</w:t>
      </w:r>
      <w:r w:rsidRPr="00BB0193">
        <w:rPr>
          <w:rFonts w:ascii="Book Antiqua" w:hAnsi="Book Antiqua"/>
        </w:rPr>
        <w:t xml:space="preserve">ppellant is granted anonymity.  No report of these proceedings shall directly or indirectly identify him or any member of their family.  This direction applies both to the </w:t>
      </w:r>
      <w:r w:rsidR="00095A90">
        <w:rPr>
          <w:rFonts w:ascii="Book Antiqua" w:hAnsi="Book Antiqua"/>
        </w:rPr>
        <w:t>appellant and to the r</w:t>
      </w:r>
      <w:r w:rsidRPr="00BB0193">
        <w:rPr>
          <w:rFonts w:ascii="Book Antiqua" w:hAnsi="Book Antiqua"/>
        </w:rPr>
        <w:t>espondent.  Failure to comply with this direction could lead to contempt of court proceedings.</w:t>
      </w:r>
    </w:p>
    <w:p w14:paraId="1E619E01" w14:textId="77777777" w:rsidR="003D611A" w:rsidRPr="002A3D6E" w:rsidRDefault="003D611A" w:rsidP="00BB0193">
      <w:pPr>
        <w:tabs>
          <w:tab w:val="left" w:pos="2520"/>
        </w:tabs>
        <w:jc w:val="both"/>
        <w:rPr>
          <w:rFonts w:ascii="Book Antiqua" w:hAnsi="Book Antiqua" w:cs="Arial"/>
        </w:rPr>
      </w:pPr>
    </w:p>
    <w:p w14:paraId="21F75007" w14:textId="77777777" w:rsidR="003D611A" w:rsidRPr="002A3D6E" w:rsidRDefault="003D611A" w:rsidP="00BB0193">
      <w:pPr>
        <w:tabs>
          <w:tab w:val="left" w:pos="2520"/>
        </w:tabs>
        <w:jc w:val="both"/>
        <w:rPr>
          <w:rFonts w:ascii="Book Antiqua" w:hAnsi="Book Antiqua" w:cs="Arial"/>
        </w:rPr>
      </w:pPr>
    </w:p>
    <w:p w14:paraId="27C5D0D8" w14:textId="77777777" w:rsidR="003D611A" w:rsidRPr="002A3D6E" w:rsidRDefault="003D611A" w:rsidP="00BB0193">
      <w:pPr>
        <w:tabs>
          <w:tab w:val="left" w:pos="2520"/>
        </w:tabs>
        <w:jc w:val="both"/>
        <w:rPr>
          <w:rFonts w:ascii="Book Antiqua" w:hAnsi="Book Antiqua" w:cs="Arial"/>
        </w:rPr>
      </w:pPr>
    </w:p>
    <w:p w14:paraId="6AE9C010" w14:textId="77777777" w:rsidR="003D611A" w:rsidRPr="002A3D6E" w:rsidRDefault="003D611A" w:rsidP="00BB0193">
      <w:pPr>
        <w:tabs>
          <w:tab w:val="left" w:pos="2520"/>
        </w:tabs>
        <w:jc w:val="both"/>
        <w:rPr>
          <w:rFonts w:ascii="Book Antiqua" w:hAnsi="Book Antiqua" w:cs="Arial"/>
        </w:rPr>
      </w:pPr>
    </w:p>
    <w:p w14:paraId="247A1E99" w14:textId="77777777" w:rsidR="003D611A" w:rsidRDefault="003D611A" w:rsidP="00BB0193">
      <w:pPr>
        <w:tabs>
          <w:tab w:val="left" w:pos="2520"/>
        </w:tabs>
        <w:jc w:val="both"/>
        <w:rPr>
          <w:rFonts w:ascii="Book Antiqua" w:hAnsi="Book Antiqua" w:cs="Arial"/>
        </w:rPr>
      </w:pPr>
    </w:p>
    <w:p w14:paraId="7BF4A5ED" w14:textId="77777777" w:rsidR="00BB0193" w:rsidRPr="002A3D6E" w:rsidRDefault="00BB0193" w:rsidP="00BB0193">
      <w:pPr>
        <w:tabs>
          <w:tab w:val="left" w:pos="2520"/>
        </w:tabs>
        <w:jc w:val="both"/>
        <w:rPr>
          <w:rFonts w:ascii="Book Antiqua" w:hAnsi="Book Antiqua" w:cs="Arial"/>
        </w:rPr>
      </w:pPr>
    </w:p>
    <w:p w14:paraId="738E66D6" w14:textId="77777777" w:rsidR="003D611A" w:rsidRPr="002A3D6E" w:rsidRDefault="003D611A" w:rsidP="003D611A">
      <w:pPr>
        <w:tabs>
          <w:tab w:val="left" w:pos="2520"/>
        </w:tabs>
        <w:jc w:val="both"/>
        <w:rPr>
          <w:rFonts w:ascii="Book Antiqua" w:hAnsi="Book Antiqua" w:cs="Arial"/>
        </w:rPr>
      </w:pPr>
      <w:r w:rsidRPr="002A3D6E">
        <w:rPr>
          <w:rFonts w:ascii="Book Antiqua" w:hAnsi="Book Antiqua" w:cs="Arial"/>
        </w:rPr>
        <w:t>Signed</w:t>
      </w:r>
      <w:r w:rsidRPr="002A3D6E">
        <w:rPr>
          <w:rFonts w:ascii="Book Antiqua" w:hAnsi="Book Antiqua" w:cs="Arial"/>
        </w:rPr>
        <w:tab/>
      </w:r>
      <w:r w:rsidRPr="002A3D6E">
        <w:rPr>
          <w:rFonts w:ascii="Book Antiqua" w:hAnsi="Book Antiqua" w:cs="Arial"/>
        </w:rPr>
        <w:tab/>
      </w:r>
      <w:r w:rsidRPr="002A3D6E">
        <w:rPr>
          <w:rFonts w:ascii="Book Antiqua" w:hAnsi="Book Antiqua" w:cs="Arial"/>
        </w:rPr>
        <w:tab/>
      </w:r>
      <w:r w:rsidRPr="002A3D6E">
        <w:rPr>
          <w:rFonts w:ascii="Book Antiqua" w:hAnsi="Book Antiqua" w:cs="Arial"/>
        </w:rPr>
        <w:tab/>
      </w:r>
      <w:r w:rsidRPr="002A3D6E">
        <w:rPr>
          <w:rFonts w:ascii="Book Antiqua" w:hAnsi="Book Antiqua" w:cs="Arial"/>
        </w:rPr>
        <w:tab/>
      </w:r>
      <w:r w:rsidRPr="002A3D6E">
        <w:rPr>
          <w:rFonts w:ascii="Book Antiqua" w:hAnsi="Book Antiqua" w:cs="Arial"/>
        </w:rPr>
        <w:tab/>
      </w:r>
      <w:r w:rsidRPr="002A3D6E">
        <w:rPr>
          <w:rFonts w:ascii="Book Antiqua" w:hAnsi="Book Antiqua" w:cs="Arial"/>
        </w:rPr>
        <w:tab/>
        <w:t>Date</w:t>
      </w:r>
      <w:r w:rsidR="002E2518">
        <w:rPr>
          <w:rFonts w:ascii="Book Antiqua" w:hAnsi="Book Antiqua" w:cs="Arial"/>
        </w:rPr>
        <w:t xml:space="preserve"> 4 January 2019</w:t>
      </w:r>
    </w:p>
    <w:p w14:paraId="390C15C1" w14:textId="77777777" w:rsidR="003D611A" w:rsidRPr="002A3D6E" w:rsidRDefault="003D611A" w:rsidP="003D611A">
      <w:pPr>
        <w:tabs>
          <w:tab w:val="left" w:pos="2520"/>
        </w:tabs>
        <w:jc w:val="both"/>
        <w:rPr>
          <w:rFonts w:ascii="Book Antiqua" w:hAnsi="Book Antiqua" w:cs="Arial"/>
        </w:rPr>
      </w:pPr>
    </w:p>
    <w:p w14:paraId="1FAB6A40" w14:textId="77777777" w:rsidR="003D611A" w:rsidRPr="002A3D6E" w:rsidRDefault="003D611A" w:rsidP="003D611A">
      <w:pPr>
        <w:tabs>
          <w:tab w:val="left" w:pos="2520"/>
        </w:tabs>
        <w:jc w:val="both"/>
        <w:rPr>
          <w:rFonts w:ascii="Book Antiqua" w:hAnsi="Book Antiqua" w:cs="Arial"/>
        </w:rPr>
      </w:pPr>
    </w:p>
    <w:p w14:paraId="0E17EAA0" w14:textId="77777777" w:rsidR="003D611A" w:rsidRDefault="003D611A" w:rsidP="003D611A">
      <w:pPr>
        <w:tabs>
          <w:tab w:val="left" w:pos="2520"/>
        </w:tabs>
        <w:jc w:val="both"/>
        <w:rPr>
          <w:rFonts w:ascii="Book Antiqua" w:hAnsi="Book Antiqua" w:cs="Arial"/>
        </w:rPr>
      </w:pPr>
      <w:r>
        <w:rPr>
          <w:rFonts w:ascii="Book Antiqua" w:hAnsi="Book Antiqua" w:cs="Arial"/>
          <w:color w:val="000000"/>
        </w:rPr>
        <w:t>Deputy Upper Tribunal</w:t>
      </w:r>
      <w:r w:rsidRPr="000704BB">
        <w:rPr>
          <w:rFonts w:ascii="Book Antiqua" w:hAnsi="Book Antiqua" w:cs="Arial"/>
          <w:color w:val="000000"/>
        </w:rPr>
        <w:t xml:space="preserve"> Judge </w:t>
      </w:r>
      <w:r>
        <w:rPr>
          <w:rFonts w:ascii="Book Antiqua" w:hAnsi="Book Antiqua" w:cs="Arial"/>
          <w:color w:val="000000"/>
        </w:rPr>
        <w:t>Peart</w:t>
      </w:r>
    </w:p>
    <w:p w14:paraId="4690B9A4" w14:textId="77777777" w:rsidR="003D611A" w:rsidRDefault="003D611A" w:rsidP="003D611A">
      <w:pPr>
        <w:tabs>
          <w:tab w:val="left" w:pos="2520"/>
        </w:tabs>
        <w:jc w:val="both"/>
        <w:rPr>
          <w:rFonts w:ascii="Book Antiqua" w:hAnsi="Book Antiqua" w:cs="Arial"/>
        </w:rPr>
      </w:pPr>
    </w:p>
    <w:p w14:paraId="392EA74A" w14:textId="77777777" w:rsidR="00BB0193" w:rsidRPr="00BB0193" w:rsidRDefault="00BB0193" w:rsidP="00BB0193">
      <w:pPr>
        <w:jc w:val="both"/>
        <w:rPr>
          <w:rFonts w:ascii="Book Antiqua" w:hAnsi="Book Antiqua" w:cs="Arial"/>
          <w:b/>
          <w:u w:val="single"/>
        </w:rPr>
      </w:pPr>
      <w:r w:rsidRPr="00BB0193">
        <w:rPr>
          <w:rFonts w:ascii="Book Antiqua" w:hAnsi="Book Antiqua" w:cs="Arial"/>
          <w:b/>
          <w:u w:val="single"/>
        </w:rPr>
        <w:t>TO THE RESPONDENT</w:t>
      </w:r>
    </w:p>
    <w:p w14:paraId="4DD48C23" w14:textId="77777777" w:rsidR="00BB0193" w:rsidRPr="00BB0193" w:rsidRDefault="00BB0193" w:rsidP="00BB0193">
      <w:pPr>
        <w:ind w:left="567" w:hanging="567"/>
        <w:jc w:val="both"/>
        <w:rPr>
          <w:rFonts w:ascii="Book Antiqua" w:hAnsi="Book Antiqua" w:cs="Arial"/>
        </w:rPr>
      </w:pPr>
      <w:r w:rsidRPr="00BB0193">
        <w:rPr>
          <w:rFonts w:ascii="Book Antiqua" w:hAnsi="Book Antiqua" w:cs="Arial"/>
          <w:b/>
          <w:u w:val="single"/>
        </w:rPr>
        <w:t>FEE AWARD</w:t>
      </w:r>
    </w:p>
    <w:p w14:paraId="6E10F4C7" w14:textId="77777777" w:rsidR="00BB0193" w:rsidRPr="00BB0193" w:rsidRDefault="00BB0193" w:rsidP="00BB0193">
      <w:pPr>
        <w:ind w:left="567" w:hanging="567"/>
        <w:jc w:val="both"/>
        <w:rPr>
          <w:rFonts w:ascii="Book Antiqua" w:hAnsi="Book Antiqua" w:cs="Arial"/>
        </w:rPr>
      </w:pPr>
    </w:p>
    <w:p w14:paraId="1B8B5CDF" w14:textId="7D4EF0E0" w:rsidR="00BB0193" w:rsidRPr="00BB0193" w:rsidRDefault="00BB0193" w:rsidP="00BB0193">
      <w:pPr>
        <w:jc w:val="both"/>
        <w:rPr>
          <w:rFonts w:ascii="Book Antiqua" w:hAnsi="Book Antiqua" w:cs="Arial"/>
        </w:rPr>
      </w:pPr>
      <w:r w:rsidRPr="00BB0193">
        <w:rPr>
          <w:rFonts w:ascii="Book Antiqua" w:hAnsi="Book Antiqua" w:cs="Arial"/>
        </w:rPr>
        <w:t xml:space="preserve">As I have allowed the appeal and because a fee has been paid or is payable, I have considered making a fee award and have decided to make a fee award of any fee which </w:t>
      </w:r>
      <w:r w:rsidR="002D2F41">
        <w:rPr>
          <w:rFonts w:ascii="Book Antiqua" w:hAnsi="Book Antiqua" w:cs="Arial"/>
        </w:rPr>
        <w:t>has been paid.</w:t>
      </w:r>
    </w:p>
    <w:p w14:paraId="4C76A41D" w14:textId="77777777" w:rsidR="00BB0193" w:rsidRPr="00BB0193" w:rsidRDefault="00BB0193" w:rsidP="00BB0193">
      <w:pPr>
        <w:jc w:val="both"/>
        <w:rPr>
          <w:rFonts w:ascii="Book Antiqua" w:hAnsi="Book Antiqua" w:cs="Arial"/>
        </w:rPr>
      </w:pPr>
    </w:p>
    <w:p w14:paraId="2EFFA397" w14:textId="77777777" w:rsidR="003D611A" w:rsidRDefault="003D611A" w:rsidP="003D611A">
      <w:pPr>
        <w:jc w:val="both"/>
        <w:rPr>
          <w:rFonts w:ascii="Book Antiqua" w:hAnsi="Book Antiqua"/>
        </w:rPr>
      </w:pPr>
    </w:p>
    <w:p w14:paraId="203398D2" w14:textId="77777777" w:rsidR="003D611A" w:rsidRDefault="003D611A" w:rsidP="003D611A">
      <w:pPr>
        <w:jc w:val="both"/>
        <w:rPr>
          <w:rFonts w:ascii="Book Antiqua" w:hAnsi="Book Antiqua"/>
        </w:rPr>
      </w:pPr>
    </w:p>
    <w:p w14:paraId="767A7645" w14:textId="77777777" w:rsidR="003D611A" w:rsidRPr="00B53ABE" w:rsidRDefault="003D611A" w:rsidP="003D611A">
      <w:pPr>
        <w:tabs>
          <w:tab w:val="left" w:pos="2520"/>
        </w:tabs>
        <w:jc w:val="both"/>
        <w:rPr>
          <w:rFonts w:ascii="Book Antiqua" w:hAnsi="Book Antiqua" w:cs="Arial"/>
        </w:rPr>
      </w:pPr>
      <w:r w:rsidRPr="00B53ABE">
        <w:rPr>
          <w:rFonts w:ascii="Book Antiqua" w:hAnsi="Book Antiqua" w:cs="Arial"/>
        </w:rPr>
        <w:t>Signed</w:t>
      </w:r>
      <w:r w:rsidRPr="00B53ABE">
        <w:rPr>
          <w:rFonts w:ascii="Book Antiqua" w:hAnsi="Book Antiqua" w:cs="Arial"/>
        </w:rPr>
        <w:tab/>
      </w:r>
      <w:r w:rsidRPr="00B53ABE">
        <w:rPr>
          <w:rFonts w:ascii="Book Antiqua" w:hAnsi="Book Antiqua" w:cs="Arial"/>
        </w:rPr>
        <w:tab/>
      </w:r>
      <w:r w:rsidRPr="00B53ABE">
        <w:rPr>
          <w:rFonts w:ascii="Book Antiqua" w:hAnsi="Book Antiqua" w:cs="Arial"/>
        </w:rPr>
        <w:tab/>
      </w:r>
      <w:r w:rsidRPr="00B53ABE">
        <w:rPr>
          <w:rFonts w:ascii="Book Antiqua" w:hAnsi="Book Antiqua" w:cs="Arial"/>
        </w:rPr>
        <w:tab/>
      </w:r>
      <w:r w:rsidRPr="00B53ABE">
        <w:rPr>
          <w:rFonts w:ascii="Book Antiqua" w:hAnsi="Book Antiqua" w:cs="Arial"/>
        </w:rPr>
        <w:tab/>
      </w:r>
      <w:r w:rsidRPr="00B53ABE">
        <w:rPr>
          <w:rFonts w:ascii="Book Antiqua" w:hAnsi="Book Antiqua" w:cs="Arial"/>
        </w:rPr>
        <w:tab/>
      </w:r>
      <w:r w:rsidRPr="00B53ABE">
        <w:rPr>
          <w:rFonts w:ascii="Book Antiqua" w:hAnsi="Book Antiqua" w:cs="Arial"/>
        </w:rPr>
        <w:tab/>
        <w:t>Date</w:t>
      </w:r>
      <w:r w:rsidR="00737765">
        <w:rPr>
          <w:rFonts w:ascii="Book Antiqua" w:hAnsi="Book Antiqua" w:cs="Arial"/>
        </w:rPr>
        <w:t xml:space="preserve"> 4 January 2019</w:t>
      </w:r>
    </w:p>
    <w:p w14:paraId="531827EE" w14:textId="77777777" w:rsidR="003D611A" w:rsidRPr="00B53ABE" w:rsidRDefault="003D611A" w:rsidP="003D611A">
      <w:pPr>
        <w:tabs>
          <w:tab w:val="left" w:pos="2520"/>
        </w:tabs>
        <w:jc w:val="both"/>
        <w:rPr>
          <w:rFonts w:ascii="Book Antiqua" w:hAnsi="Book Antiqua" w:cs="Arial"/>
        </w:rPr>
      </w:pPr>
    </w:p>
    <w:p w14:paraId="60C0C0D5" w14:textId="77777777" w:rsidR="003D611A" w:rsidRPr="00B53ABE" w:rsidRDefault="003D611A" w:rsidP="003D611A">
      <w:pPr>
        <w:tabs>
          <w:tab w:val="left" w:pos="2520"/>
        </w:tabs>
        <w:jc w:val="both"/>
        <w:rPr>
          <w:rFonts w:ascii="Book Antiqua" w:hAnsi="Book Antiqua" w:cs="Arial"/>
        </w:rPr>
      </w:pPr>
    </w:p>
    <w:p w14:paraId="5DB29061" w14:textId="77777777" w:rsidR="00B95326" w:rsidRPr="003D611A" w:rsidRDefault="003D611A" w:rsidP="003D611A">
      <w:pPr>
        <w:ind w:left="540" w:hanging="540"/>
        <w:jc w:val="both"/>
        <w:rPr>
          <w:rFonts w:ascii="Book Antiqua" w:hAnsi="Book Antiqua" w:cs="Arial"/>
        </w:rPr>
      </w:pPr>
      <w:r>
        <w:rPr>
          <w:rFonts w:ascii="Book Antiqua" w:hAnsi="Book Antiqua" w:cs="Arial"/>
          <w:color w:val="000000"/>
        </w:rPr>
        <w:t>Deputy Upper Tribunal</w:t>
      </w:r>
      <w:r w:rsidRPr="000704BB">
        <w:rPr>
          <w:rFonts w:ascii="Book Antiqua" w:hAnsi="Book Antiqua" w:cs="Arial"/>
          <w:color w:val="000000"/>
        </w:rPr>
        <w:t xml:space="preserve"> Judge </w:t>
      </w:r>
      <w:r>
        <w:rPr>
          <w:rFonts w:ascii="Book Antiqua" w:hAnsi="Book Antiqua" w:cs="Arial"/>
          <w:color w:val="000000"/>
        </w:rPr>
        <w:t>Peart</w:t>
      </w:r>
    </w:p>
    <w:p w14:paraId="335C64F0" w14:textId="77777777" w:rsidR="00B95326" w:rsidRPr="000704BB" w:rsidRDefault="00B95326" w:rsidP="009712D4">
      <w:pPr>
        <w:jc w:val="center"/>
        <w:rPr>
          <w:rFonts w:ascii="Book Antiqua" w:hAnsi="Book Antiqua" w:cs="Arial"/>
        </w:rPr>
      </w:pPr>
    </w:p>
    <w:sectPr w:rsidR="00B95326" w:rsidRPr="000704BB" w:rsidSect="00000B83">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C62DC" w14:textId="77777777" w:rsidR="005C5D23" w:rsidRDefault="005C5D23">
      <w:r>
        <w:separator/>
      </w:r>
    </w:p>
  </w:endnote>
  <w:endnote w:type="continuationSeparator" w:id="0">
    <w:p w14:paraId="73D907B3" w14:textId="77777777" w:rsidR="005C5D23" w:rsidRDefault="005C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75FF" w14:textId="3B2B96BD" w:rsidR="00B83391" w:rsidRPr="00E61803" w:rsidRDefault="00B83391" w:rsidP="00593795">
    <w:pPr>
      <w:pStyle w:val="Footer"/>
      <w:jc w:val="center"/>
      <w:rPr>
        <w:rFonts w:ascii="Book Antiqua" w:hAnsi="Book Antiqua" w:cs="Arial"/>
      </w:rPr>
    </w:pPr>
    <w:r w:rsidRPr="00E61803">
      <w:rPr>
        <w:rStyle w:val="PageNumber"/>
        <w:rFonts w:ascii="Book Antiqua" w:hAnsi="Book Antiqua" w:cs="Arial"/>
      </w:rPr>
      <w:fldChar w:fldCharType="begin"/>
    </w:r>
    <w:r w:rsidRPr="00E61803">
      <w:rPr>
        <w:rStyle w:val="PageNumber"/>
        <w:rFonts w:ascii="Book Antiqua" w:hAnsi="Book Antiqua" w:cs="Arial"/>
      </w:rPr>
      <w:instrText xml:space="preserve"> PAGE </w:instrText>
    </w:r>
    <w:r w:rsidRPr="00E61803">
      <w:rPr>
        <w:rStyle w:val="PageNumber"/>
        <w:rFonts w:ascii="Book Antiqua" w:hAnsi="Book Antiqua" w:cs="Arial"/>
      </w:rPr>
      <w:fldChar w:fldCharType="separate"/>
    </w:r>
    <w:r w:rsidR="0017567D">
      <w:rPr>
        <w:rStyle w:val="PageNumber"/>
        <w:rFonts w:ascii="Book Antiqua" w:hAnsi="Book Antiqua" w:cs="Arial"/>
        <w:noProof/>
      </w:rPr>
      <w:t>4</w:t>
    </w:r>
    <w:r w:rsidRPr="00E6180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09C8D"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930AA5">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A3A3B" w14:textId="77777777" w:rsidR="005C5D23" w:rsidRDefault="005C5D23">
      <w:r>
        <w:separator/>
      </w:r>
    </w:p>
  </w:footnote>
  <w:footnote w:type="continuationSeparator" w:id="0">
    <w:p w14:paraId="1469E1B5" w14:textId="77777777" w:rsidR="005C5D23" w:rsidRDefault="005C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41865" w14:textId="77777777" w:rsidR="00B83391"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2549A4">
      <w:rPr>
        <w:rFonts w:ascii="Book Antiqua" w:hAnsi="Book Antiqua" w:cs="Arial"/>
        <w:sz w:val="16"/>
        <w:szCs w:val="16"/>
      </w:rPr>
      <w:t>s</w:t>
    </w:r>
    <w:r w:rsidRPr="000704BB">
      <w:rPr>
        <w:rFonts w:ascii="Book Antiqua" w:hAnsi="Book Antiqua" w:cs="Arial"/>
        <w:sz w:val="16"/>
        <w:szCs w:val="16"/>
      </w:rPr>
      <w:t>:</w:t>
    </w:r>
    <w:r w:rsidR="001B186A" w:rsidRPr="000704BB">
      <w:rPr>
        <w:rFonts w:ascii="Book Antiqua" w:hAnsi="Book Antiqua" w:cs="Arial"/>
        <w:sz w:val="16"/>
        <w:szCs w:val="16"/>
      </w:rPr>
      <w:t xml:space="preserve"> </w:t>
    </w:r>
    <w:r w:rsidR="002549A4">
      <w:rPr>
        <w:rFonts w:ascii="Book Antiqua" w:hAnsi="Book Antiqua" w:cs="Arial"/>
        <w:sz w:val="16"/>
        <w:szCs w:val="16"/>
      </w:rPr>
      <w:t>HU/24079/2016</w:t>
    </w:r>
  </w:p>
  <w:p w14:paraId="4CE89270" w14:textId="77777777" w:rsidR="002549A4" w:rsidRDefault="002549A4" w:rsidP="00593795">
    <w:pPr>
      <w:pStyle w:val="Header"/>
      <w:jc w:val="right"/>
      <w:rPr>
        <w:rFonts w:ascii="Book Antiqua" w:hAnsi="Book Antiqua" w:cs="Arial"/>
        <w:sz w:val="16"/>
        <w:szCs w:val="16"/>
      </w:rPr>
    </w:pPr>
    <w:r>
      <w:rPr>
        <w:rFonts w:ascii="Book Antiqua" w:hAnsi="Book Antiqua" w:cs="Arial"/>
        <w:sz w:val="16"/>
        <w:szCs w:val="16"/>
      </w:rPr>
      <w:t>HU/24082/2016</w:t>
    </w:r>
  </w:p>
  <w:p w14:paraId="1146B1ED" w14:textId="6E06233E" w:rsidR="002549A4" w:rsidRDefault="002549A4" w:rsidP="00593795">
    <w:pPr>
      <w:pStyle w:val="Header"/>
      <w:jc w:val="right"/>
      <w:rPr>
        <w:rFonts w:ascii="Book Antiqua" w:hAnsi="Book Antiqua" w:cs="Arial"/>
        <w:sz w:val="16"/>
        <w:szCs w:val="16"/>
      </w:rPr>
    </w:pPr>
    <w:r>
      <w:rPr>
        <w:rFonts w:ascii="Book Antiqua" w:hAnsi="Book Antiqua" w:cs="Arial"/>
        <w:sz w:val="16"/>
        <w:szCs w:val="16"/>
      </w:rPr>
      <w:t>HU/24087/2016</w:t>
    </w:r>
  </w:p>
  <w:p w14:paraId="7C82F9EE" w14:textId="77777777" w:rsidR="00E61803" w:rsidRPr="000704BB" w:rsidRDefault="00E6180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E0C7C" w14:textId="77777777"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3EC7"/>
    <w:multiLevelType w:val="multilevel"/>
    <w:tmpl w:val="F3DA9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4DB43BD"/>
    <w:multiLevelType w:val="multilevel"/>
    <w:tmpl w:val="C910F8E6"/>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A4"/>
    <w:rsid w:val="00000621"/>
    <w:rsid w:val="00000B83"/>
    <w:rsid w:val="000036C2"/>
    <w:rsid w:val="00004DC2"/>
    <w:rsid w:val="000151A9"/>
    <w:rsid w:val="00022F34"/>
    <w:rsid w:val="00033D3D"/>
    <w:rsid w:val="00046259"/>
    <w:rsid w:val="000553C8"/>
    <w:rsid w:val="00060A8E"/>
    <w:rsid w:val="0006299F"/>
    <w:rsid w:val="00062F02"/>
    <w:rsid w:val="000704BB"/>
    <w:rsid w:val="00071A7E"/>
    <w:rsid w:val="000746C0"/>
    <w:rsid w:val="00074D1D"/>
    <w:rsid w:val="000829F5"/>
    <w:rsid w:val="00085EC7"/>
    <w:rsid w:val="00092580"/>
    <w:rsid w:val="00093D4D"/>
    <w:rsid w:val="00095A90"/>
    <w:rsid w:val="00095E93"/>
    <w:rsid w:val="000D5D94"/>
    <w:rsid w:val="000F1A0E"/>
    <w:rsid w:val="00111AC3"/>
    <w:rsid w:val="00113556"/>
    <w:rsid w:val="001165A7"/>
    <w:rsid w:val="00140FBD"/>
    <w:rsid w:val="00144C70"/>
    <w:rsid w:val="00150C5F"/>
    <w:rsid w:val="00162127"/>
    <w:rsid w:val="00167D3A"/>
    <w:rsid w:val="0017567D"/>
    <w:rsid w:val="00190911"/>
    <w:rsid w:val="001A2FBF"/>
    <w:rsid w:val="001A3082"/>
    <w:rsid w:val="001B186A"/>
    <w:rsid w:val="001B2F75"/>
    <w:rsid w:val="001B332F"/>
    <w:rsid w:val="001C24E4"/>
    <w:rsid w:val="001C2D96"/>
    <w:rsid w:val="001C5B44"/>
    <w:rsid w:val="001F0276"/>
    <w:rsid w:val="001F2716"/>
    <w:rsid w:val="00207617"/>
    <w:rsid w:val="0021721E"/>
    <w:rsid w:val="0023134B"/>
    <w:rsid w:val="002317FE"/>
    <w:rsid w:val="002549A4"/>
    <w:rsid w:val="00266128"/>
    <w:rsid w:val="00272067"/>
    <w:rsid w:val="00283659"/>
    <w:rsid w:val="002B2F66"/>
    <w:rsid w:val="002C6BD4"/>
    <w:rsid w:val="002D2F41"/>
    <w:rsid w:val="002D3790"/>
    <w:rsid w:val="002D68BF"/>
    <w:rsid w:val="002E2518"/>
    <w:rsid w:val="002F6B98"/>
    <w:rsid w:val="00326AAB"/>
    <w:rsid w:val="00336CBF"/>
    <w:rsid w:val="00343FE3"/>
    <w:rsid w:val="003546C8"/>
    <w:rsid w:val="003A194F"/>
    <w:rsid w:val="003A7CF2"/>
    <w:rsid w:val="003B5F62"/>
    <w:rsid w:val="003C5CE5"/>
    <w:rsid w:val="003D611A"/>
    <w:rsid w:val="003E267B"/>
    <w:rsid w:val="003E530F"/>
    <w:rsid w:val="003E7CD1"/>
    <w:rsid w:val="00402B9E"/>
    <w:rsid w:val="004249CB"/>
    <w:rsid w:val="0044127D"/>
    <w:rsid w:val="004448DB"/>
    <w:rsid w:val="00446C9A"/>
    <w:rsid w:val="00450DB0"/>
    <w:rsid w:val="00452F2B"/>
    <w:rsid w:val="0046461F"/>
    <w:rsid w:val="00477193"/>
    <w:rsid w:val="004A1848"/>
    <w:rsid w:val="004A6F4A"/>
    <w:rsid w:val="004E0F3D"/>
    <w:rsid w:val="004E4717"/>
    <w:rsid w:val="004F0976"/>
    <w:rsid w:val="00507FEC"/>
    <w:rsid w:val="00510F0E"/>
    <w:rsid w:val="005328C4"/>
    <w:rsid w:val="00535861"/>
    <w:rsid w:val="005479E1"/>
    <w:rsid w:val="00553E0A"/>
    <w:rsid w:val="005570FD"/>
    <w:rsid w:val="005575EA"/>
    <w:rsid w:val="005626BC"/>
    <w:rsid w:val="0057790C"/>
    <w:rsid w:val="00580FC5"/>
    <w:rsid w:val="00593795"/>
    <w:rsid w:val="005A75FF"/>
    <w:rsid w:val="005C2522"/>
    <w:rsid w:val="005C5D23"/>
    <w:rsid w:val="005D10AB"/>
    <w:rsid w:val="00601D8F"/>
    <w:rsid w:val="0062519A"/>
    <w:rsid w:val="00643BFC"/>
    <w:rsid w:val="00653E97"/>
    <w:rsid w:val="006701F7"/>
    <w:rsid w:val="006736AB"/>
    <w:rsid w:val="00684A74"/>
    <w:rsid w:val="00690B8A"/>
    <w:rsid w:val="006F2CF1"/>
    <w:rsid w:val="006F318D"/>
    <w:rsid w:val="007038ED"/>
    <w:rsid w:val="00703BC3"/>
    <w:rsid w:val="00704B61"/>
    <w:rsid w:val="0071355E"/>
    <w:rsid w:val="00737765"/>
    <w:rsid w:val="0074129F"/>
    <w:rsid w:val="00752702"/>
    <w:rsid w:val="007552A9"/>
    <w:rsid w:val="0076043A"/>
    <w:rsid w:val="00761858"/>
    <w:rsid w:val="00767D59"/>
    <w:rsid w:val="00776E97"/>
    <w:rsid w:val="00780F86"/>
    <w:rsid w:val="007912AD"/>
    <w:rsid w:val="00797649"/>
    <w:rsid w:val="007B0824"/>
    <w:rsid w:val="007B4292"/>
    <w:rsid w:val="007B5D3C"/>
    <w:rsid w:val="007D3471"/>
    <w:rsid w:val="007F2A46"/>
    <w:rsid w:val="00806249"/>
    <w:rsid w:val="00821B72"/>
    <w:rsid w:val="00823EF2"/>
    <w:rsid w:val="008303B8"/>
    <w:rsid w:val="00833DCE"/>
    <w:rsid w:val="008561CD"/>
    <w:rsid w:val="00871D34"/>
    <w:rsid w:val="0089746B"/>
    <w:rsid w:val="008A5D70"/>
    <w:rsid w:val="008B270C"/>
    <w:rsid w:val="008B5078"/>
    <w:rsid w:val="008C0977"/>
    <w:rsid w:val="008C3D3D"/>
    <w:rsid w:val="008D0495"/>
    <w:rsid w:val="008D4131"/>
    <w:rsid w:val="008F15F5"/>
    <w:rsid w:val="008F1932"/>
    <w:rsid w:val="009002E5"/>
    <w:rsid w:val="009032E1"/>
    <w:rsid w:val="00904ECA"/>
    <w:rsid w:val="00921062"/>
    <w:rsid w:val="00926730"/>
    <w:rsid w:val="00930AA5"/>
    <w:rsid w:val="0093362E"/>
    <w:rsid w:val="00947EE1"/>
    <w:rsid w:val="009505AB"/>
    <w:rsid w:val="009712D4"/>
    <w:rsid w:val="009722BC"/>
    <w:rsid w:val="009727A3"/>
    <w:rsid w:val="00987774"/>
    <w:rsid w:val="00991DCD"/>
    <w:rsid w:val="00995311"/>
    <w:rsid w:val="009A11E8"/>
    <w:rsid w:val="009F5220"/>
    <w:rsid w:val="00A14DC9"/>
    <w:rsid w:val="00A15234"/>
    <w:rsid w:val="00A201AB"/>
    <w:rsid w:val="00A31C8B"/>
    <w:rsid w:val="00A41F55"/>
    <w:rsid w:val="00A440F1"/>
    <w:rsid w:val="00A509FA"/>
    <w:rsid w:val="00A71C11"/>
    <w:rsid w:val="00A845DC"/>
    <w:rsid w:val="00AD159E"/>
    <w:rsid w:val="00AF5E07"/>
    <w:rsid w:val="00B26AA2"/>
    <w:rsid w:val="00B3524D"/>
    <w:rsid w:val="00B40F69"/>
    <w:rsid w:val="00B46616"/>
    <w:rsid w:val="00B7040A"/>
    <w:rsid w:val="00B83391"/>
    <w:rsid w:val="00B95326"/>
    <w:rsid w:val="00BA34E6"/>
    <w:rsid w:val="00BB0193"/>
    <w:rsid w:val="00BC412A"/>
    <w:rsid w:val="00BD4196"/>
    <w:rsid w:val="00BF032B"/>
    <w:rsid w:val="00BF22CA"/>
    <w:rsid w:val="00BF23BB"/>
    <w:rsid w:val="00C26032"/>
    <w:rsid w:val="00C345E1"/>
    <w:rsid w:val="00C43BFD"/>
    <w:rsid w:val="00C67856"/>
    <w:rsid w:val="00C77BDD"/>
    <w:rsid w:val="00C93A95"/>
    <w:rsid w:val="00CB6E35"/>
    <w:rsid w:val="00CE1A46"/>
    <w:rsid w:val="00D01EC2"/>
    <w:rsid w:val="00D11081"/>
    <w:rsid w:val="00D20757"/>
    <w:rsid w:val="00D22636"/>
    <w:rsid w:val="00D40FD9"/>
    <w:rsid w:val="00D41C8C"/>
    <w:rsid w:val="00D53769"/>
    <w:rsid w:val="00D85C13"/>
    <w:rsid w:val="00D8753B"/>
    <w:rsid w:val="00D9111A"/>
    <w:rsid w:val="00D91AE9"/>
    <w:rsid w:val="00D91BE3"/>
    <w:rsid w:val="00D94AFC"/>
    <w:rsid w:val="00DA1C74"/>
    <w:rsid w:val="00DB70AE"/>
    <w:rsid w:val="00DD5071"/>
    <w:rsid w:val="00DD5C39"/>
    <w:rsid w:val="00DE5E10"/>
    <w:rsid w:val="00DE7DB7"/>
    <w:rsid w:val="00DF57F7"/>
    <w:rsid w:val="00E00A0A"/>
    <w:rsid w:val="00E066DE"/>
    <w:rsid w:val="00E07933"/>
    <w:rsid w:val="00E07F57"/>
    <w:rsid w:val="00E13429"/>
    <w:rsid w:val="00E13F98"/>
    <w:rsid w:val="00E30683"/>
    <w:rsid w:val="00E34A07"/>
    <w:rsid w:val="00E453D8"/>
    <w:rsid w:val="00E458EF"/>
    <w:rsid w:val="00E50BCE"/>
    <w:rsid w:val="00E574BF"/>
    <w:rsid w:val="00E61292"/>
    <w:rsid w:val="00E61803"/>
    <w:rsid w:val="00E65853"/>
    <w:rsid w:val="00E77C4D"/>
    <w:rsid w:val="00E81D01"/>
    <w:rsid w:val="00EA3675"/>
    <w:rsid w:val="00EA5CDF"/>
    <w:rsid w:val="00EB03FC"/>
    <w:rsid w:val="00EE1658"/>
    <w:rsid w:val="00EE45D8"/>
    <w:rsid w:val="00EF5F0C"/>
    <w:rsid w:val="00F22EDA"/>
    <w:rsid w:val="00FA791C"/>
    <w:rsid w:val="00FC7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FFD3B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2E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2019-03-11T16:37:00Z</dcterms:created>
  <dcterms:modified xsi:type="dcterms:W3CDTF">2019-03-11T16:40:00Z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