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0C0FF4" w:rsidP="00C321B5">
      <w:pPr>
        <w:jc w:val="center"/>
        <w:rPr>
          <w:rFonts w:ascii="Book Antiqua" w:hAnsi="Book Antiqua" w:cs="Arial"/>
          <w:sz w:val="16"/>
          <w:szCs w:val="16"/>
        </w:rPr>
      </w:pPr>
      <w:r>
        <w:rPr>
          <w:noProof/>
        </w:rPr>
        <w:drawing>
          <wp:inline distT="0" distB="0" distL="0" distR="0">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657B9E">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Hlk505588885"/>
      <w:bookmarkStart w:id="1" w:name="_Hlk506378625"/>
      <w:bookmarkStart w:id="2" w:name="_Hlk520732704"/>
      <w:bookmarkStart w:id="3" w:name="_Hlk506459862"/>
      <w:bookmarkStart w:id="4" w:name="_GoBack"/>
      <w:r w:rsidR="00657B9E">
        <w:rPr>
          <w:rFonts w:ascii="Book Antiqua" w:hAnsi="Book Antiqua" w:cs="Arial"/>
          <w:caps/>
        </w:rPr>
        <w:t>HU</w:t>
      </w:r>
      <w:r w:rsidR="00057801">
        <w:rPr>
          <w:rFonts w:ascii="Book Antiqua" w:hAnsi="Book Antiqua" w:cs="Arial"/>
          <w:caps/>
        </w:rPr>
        <w:t>/</w:t>
      </w:r>
      <w:bookmarkEnd w:id="0"/>
      <w:bookmarkEnd w:id="1"/>
      <w:r w:rsidR="00B2640A">
        <w:rPr>
          <w:rFonts w:ascii="Book Antiqua" w:hAnsi="Book Antiqua" w:cs="Arial"/>
          <w:caps/>
        </w:rPr>
        <w:t>24503/2016</w:t>
      </w:r>
      <w:bookmarkEnd w:id="4"/>
    </w:p>
    <w:bookmarkEnd w:id="2"/>
    <w:p w:rsidR="00657B9E" w:rsidRDefault="00657B9E" w:rsidP="0025674F">
      <w:pPr>
        <w:ind w:left="7371"/>
        <w:jc w:val="center"/>
        <w:rPr>
          <w:rFonts w:ascii="Book Antiqua" w:hAnsi="Book Antiqua" w:cs="Arial"/>
          <w:caps/>
        </w:rPr>
      </w:pPr>
      <w:r>
        <w:rPr>
          <w:rFonts w:ascii="Book Antiqua" w:hAnsi="Book Antiqua" w:cs="Arial"/>
          <w:caps/>
        </w:rPr>
        <w:t xml:space="preserve">        </w:t>
      </w:r>
      <w:bookmarkEnd w:id="3"/>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39"/>
        <w:gridCol w:w="3899"/>
      </w:tblGrid>
      <w:tr w:rsidR="00D22636" w:rsidRPr="00243E91" w:rsidTr="00243E91">
        <w:tc>
          <w:tcPr>
            <w:tcW w:w="5868" w:type="dxa"/>
            <w:shd w:val="clear" w:color="auto" w:fill="auto"/>
          </w:tcPr>
          <w:p w:rsidR="00D22636" w:rsidRPr="00243E91" w:rsidRDefault="00D22636" w:rsidP="00243E91">
            <w:pPr>
              <w:jc w:val="both"/>
              <w:rPr>
                <w:rFonts w:ascii="Book Antiqua" w:hAnsi="Book Antiqua" w:cs="Arial"/>
                <w:b/>
              </w:rPr>
            </w:pPr>
            <w:r w:rsidRPr="00243E91">
              <w:rPr>
                <w:rFonts w:ascii="Book Antiqua" w:hAnsi="Book Antiqua" w:cs="Arial"/>
                <w:b/>
              </w:rPr>
              <w:t xml:space="preserve">Heard at </w:t>
            </w:r>
            <w:r w:rsidR="004E3868">
              <w:rPr>
                <w:rFonts w:ascii="Book Antiqua" w:hAnsi="Book Antiqua" w:cs="Arial"/>
                <w:b/>
              </w:rPr>
              <w:t>Field House</w:t>
            </w:r>
          </w:p>
        </w:tc>
        <w:tc>
          <w:tcPr>
            <w:tcW w:w="3960" w:type="dxa"/>
            <w:shd w:val="clear" w:color="auto" w:fill="auto"/>
          </w:tcPr>
          <w:p w:rsidR="00D22636" w:rsidRPr="00243E91" w:rsidRDefault="000418B5" w:rsidP="00243E91">
            <w:pPr>
              <w:jc w:val="both"/>
              <w:rPr>
                <w:rFonts w:ascii="Book Antiqua" w:hAnsi="Book Antiqua" w:cs="Arial"/>
                <w:b/>
              </w:rPr>
            </w:pPr>
            <w:r w:rsidRPr="00243E91">
              <w:rPr>
                <w:rFonts w:ascii="Book Antiqua" w:hAnsi="Book Antiqua" w:cs="Arial"/>
                <w:b/>
              </w:rPr>
              <w:t>Decision &amp; Reasons</w:t>
            </w:r>
            <w:r w:rsidR="00283659" w:rsidRPr="00243E91">
              <w:rPr>
                <w:rFonts w:ascii="Book Antiqua" w:hAnsi="Book Antiqua" w:cs="Arial"/>
                <w:b/>
              </w:rPr>
              <w:t xml:space="preserve"> Promulgated</w:t>
            </w:r>
          </w:p>
        </w:tc>
      </w:tr>
      <w:tr w:rsidR="00D22636" w:rsidRPr="00243E91" w:rsidTr="00243E91">
        <w:tc>
          <w:tcPr>
            <w:tcW w:w="5868" w:type="dxa"/>
            <w:shd w:val="clear" w:color="auto" w:fill="auto"/>
          </w:tcPr>
          <w:p w:rsidR="00D22636" w:rsidRPr="00243E91" w:rsidRDefault="00D22636" w:rsidP="00243E91">
            <w:pPr>
              <w:jc w:val="both"/>
              <w:rPr>
                <w:rFonts w:ascii="Book Antiqua" w:hAnsi="Book Antiqua" w:cs="Arial"/>
                <w:b/>
              </w:rPr>
            </w:pPr>
            <w:r w:rsidRPr="00243E91">
              <w:rPr>
                <w:rFonts w:ascii="Book Antiqua" w:hAnsi="Book Antiqua" w:cs="Arial"/>
                <w:b/>
              </w:rPr>
              <w:t xml:space="preserve">On </w:t>
            </w:r>
            <w:r w:rsidR="00513851">
              <w:rPr>
                <w:rFonts w:ascii="Book Antiqua" w:hAnsi="Book Antiqua" w:cs="Arial"/>
                <w:b/>
              </w:rPr>
              <w:t>17 July</w:t>
            </w:r>
            <w:r w:rsidR="00657B9E">
              <w:rPr>
                <w:rFonts w:ascii="Book Antiqua" w:hAnsi="Book Antiqua" w:cs="Arial"/>
                <w:b/>
              </w:rPr>
              <w:t xml:space="preserve"> </w:t>
            </w:r>
            <w:r w:rsidR="004E3868">
              <w:rPr>
                <w:rFonts w:ascii="Book Antiqua" w:hAnsi="Book Antiqua" w:cs="Arial"/>
                <w:b/>
              </w:rPr>
              <w:t>2018</w:t>
            </w:r>
          </w:p>
        </w:tc>
        <w:tc>
          <w:tcPr>
            <w:tcW w:w="3960" w:type="dxa"/>
            <w:shd w:val="clear" w:color="auto" w:fill="auto"/>
          </w:tcPr>
          <w:p w:rsidR="00D22636" w:rsidRPr="00243E91" w:rsidRDefault="000C0FF4" w:rsidP="00243E91">
            <w:pPr>
              <w:jc w:val="both"/>
              <w:rPr>
                <w:rFonts w:ascii="Book Antiqua" w:hAnsi="Book Antiqua" w:cs="Arial"/>
                <w:b/>
              </w:rPr>
            </w:pPr>
            <w:r>
              <w:rPr>
                <w:rFonts w:ascii="Book Antiqua" w:hAnsi="Book Antiqua" w:cs="Arial"/>
                <w:b/>
              </w:rPr>
              <w:t>On 14 August 2018</w:t>
            </w:r>
          </w:p>
        </w:tc>
      </w:tr>
      <w:tr w:rsidR="00D22636" w:rsidRPr="00243E91" w:rsidTr="00243E91">
        <w:tc>
          <w:tcPr>
            <w:tcW w:w="5868" w:type="dxa"/>
            <w:shd w:val="clear" w:color="auto" w:fill="auto"/>
          </w:tcPr>
          <w:p w:rsidR="00D22636" w:rsidRPr="00243E91" w:rsidRDefault="00D22636" w:rsidP="00243E91">
            <w:pPr>
              <w:jc w:val="both"/>
              <w:rPr>
                <w:rFonts w:ascii="Book Antiqua" w:hAnsi="Book Antiqua" w:cs="Arial"/>
                <w:b/>
              </w:rPr>
            </w:pPr>
          </w:p>
        </w:tc>
        <w:tc>
          <w:tcPr>
            <w:tcW w:w="3960" w:type="dxa"/>
            <w:shd w:val="clear" w:color="auto" w:fill="auto"/>
          </w:tcPr>
          <w:p w:rsidR="00D22636" w:rsidRPr="00243E91" w:rsidRDefault="00D22636" w:rsidP="00243E91">
            <w:pPr>
              <w:jc w:val="both"/>
              <w:rPr>
                <w:rFonts w:ascii="Book Antiqua" w:hAnsi="Book Antiqua" w:cs="Arial"/>
                <w:b/>
              </w:rPr>
            </w:pPr>
          </w:p>
        </w:tc>
      </w:tr>
    </w:tbl>
    <w:p w:rsidR="00C522DE" w:rsidRDefault="00C522DE" w:rsidP="00A15234">
      <w:pPr>
        <w:jc w:val="center"/>
        <w:rPr>
          <w:rFonts w:ascii="Book Antiqua" w:hAnsi="Book Antiqua" w:cs="Arial"/>
          <w:b/>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8634D2">
        <w:rPr>
          <w:rFonts w:ascii="Book Antiqua" w:hAnsi="Book Antiqua" w:cs="Arial"/>
          <w:b/>
        </w:rPr>
        <w:t>DAVIDGE</w:t>
      </w:r>
    </w:p>
    <w:p w:rsidR="00B16F58" w:rsidRPr="00F5664C" w:rsidRDefault="00B16F58" w:rsidP="00A15234">
      <w:pPr>
        <w:jc w:val="center"/>
        <w:rPr>
          <w:rFonts w:ascii="Book Antiqua" w:hAnsi="Book Antiqua" w:cs="Arial"/>
          <w:b/>
        </w:rPr>
      </w:pPr>
    </w:p>
    <w:p w:rsidR="00C522DE" w:rsidRDefault="00C522DE" w:rsidP="00A15234">
      <w:pPr>
        <w:jc w:val="center"/>
        <w:rPr>
          <w:rFonts w:ascii="Book Antiqua" w:hAnsi="Book Antiqua" w:cs="Arial"/>
          <w:b/>
        </w:rPr>
      </w:pPr>
    </w:p>
    <w:p w:rsidR="00A845DC" w:rsidRDefault="00A845DC" w:rsidP="00A15234">
      <w:pPr>
        <w:jc w:val="center"/>
        <w:rPr>
          <w:rFonts w:ascii="Book Antiqua" w:hAnsi="Book Antiqua" w:cs="Arial"/>
          <w:b/>
        </w:rPr>
      </w:pPr>
      <w:r w:rsidRPr="00F5664C">
        <w:rPr>
          <w:rFonts w:ascii="Book Antiqua" w:hAnsi="Book Antiqua" w:cs="Arial"/>
          <w:b/>
        </w:rPr>
        <w:t>Between</w:t>
      </w:r>
    </w:p>
    <w:p w:rsidR="00C522DE" w:rsidRDefault="00C522DE" w:rsidP="00A15234">
      <w:pPr>
        <w:jc w:val="center"/>
        <w:rPr>
          <w:rFonts w:ascii="Book Antiqua" w:hAnsi="Book Antiqua" w:cs="Arial"/>
          <w:b/>
        </w:rPr>
      </w:pPr>
    </w:p>
    <w:p w:rsidR="005C2CC3" w:rsidRDefault="00B2640A" w:rsidP="00A15234">
      <w:pPr>
        <w:jc w:val="center"/>
        <w:rPr>
          <w:rFonts w:ascii="Book Antiqua" w:hAnsi="Book Antiqua" w:cs="Arial"/>
          <w:b/>
          <w:caps/>
        </w:rPr>
      </w:pPr>
      <w:r>
        <w:rPr>
          <w:rFonts w:ascii="Book Antiqua" w:hAnsi="Book Antiqua" w:cs="Arial"/>
          <w:b/>
          <w:caps/>
        </w:rPr>
        <w:t>Mohammed mamun Al Rashid</w:t>
      </w:r>
    </w:p>
    <w:p w:rsidR="00092ED2" w:rsidRDefault="00092ED2" w:rsidP="00092ED2">
      <w:pPr>
        <w:jc w:val="center"/>
        <w:rPr>
          <w:rFonts w:ascii="Book Antiqua" w:hAnsi="Book Antiqua" w:cs="Arial"/>
          <w:b/>
          <w:caps/>
        </w:rPr>
      </w:pPr>
      <w:r>
        <w:rPr>
          <w:rFonts w:ascii="Book Antiqua" w:hAnsi="Book Antiqua" w:cs="Arial"/>
          <w:b/>
          <w:caps/>
        </w:rPr>
        <w:t>(no anonymity order)</w:t>
      </w:r>
    </w:p>
    <w:p w:rsidR="005C2CC3" w:rsidRPr="00F5664C" w:rsidRDefault="00C522DE" w:rsidP="005C2CC3">
      <w:pPr>
        <w:jc w:val="right"/>
        <w:rPr>
          <w:rFonts w:ascii="Book Antiqua" w:hAnsi="Book Antiqua" w:cs="Arial"/>
          <w:b/>
          <w:caps/>
        </w:rPr>
      </w:pPr>
      <w:r>
        <w:rPr>
          <w:rFonts w:ascii="Book Antiqua" w:hAnsi="Book Antiqua" w:cs="Arial"/>
          <w:u w:val="single"/>
        </w:rPr>
        <w:t>Respondent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092ED2" w:rsidRPr="000418B5" w:rsidRDefault="00092ED2" w:rsidP="00092ED2">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5"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5"/>
    </w:p>
    <w:p w:rsidR="005C2CC3" w:rsidRPr="00F5664C" w:rsidRDefault="00B2640A" w:rsidP="005C2CC3">
      <w:pPr>
        <w:jc w:val="right"/>
        <w:rPr>
          <w:rFonts w:ascii="Book Antiqua" w:hAnsi="Book Antiqua" w:cs="Arial"/>
          <w:u w:val="single"/>
        </w:rPr>
      </w:pPr>
      <w:r>
        <w:rPr>
          <w:rFonts w:ascii="Book Antiqua" w:hAnsi="Book Antiqua" w:cs="Arial"/>
          <w:u w:val="single"/>
        </w:rPr>
        <w:t>Appellant</w:t>
      </w:r>
    </w:p>
    <w:p w:rsidR="00DD5071" w:rsidRDefault="00DD5071" w:rsidP="00DD5071">
      <w:pPr>
        <w:jc w:val="right"/>
        <w:rPr>
          <w:rFonts w:ascii="Book Antiqua" w:hAnsi="Book Antiqua" w:cs="Arial"/>
          <w:u w:val="single"/>
        </w:rPr>
      </w:pPr>
    </w:p>
    <w:p w:rsidR="005C2CC3" w:rsidRPr="00F5664C" w:rsidRDefault="005C2CC3" w:rsidP="00DD5071">
      <w:pPr>
        <w:jc w:val="right"/>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057801"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513851">
        <w:rPr>
          <w:rFonts w:ascii="Book Antiqua" w:hAnsi="Book Antiqua" w:cs="Arial"/>
        </w:rPr>
        <w:t xml:space="preserve">Mr </w:t>
      </w:r>
      <w:r w:rsidR="00B2640A">
        <w:rPr>
          <w:rFonts w:ascii="Book Antiqua" w:hAnsi="Book Antiqua" w:cs="Arial"/>
        </w:rPr>
        <w:t>L Tarlow</w:t>
      </w:r>
      <w:r w:rsidR="00092ED2">
        <w:rPr>
          <w:rFonts w:ascii="Book Antiqua" w:hAnsi="Book Antiqua" w:cs="Arial"/>
        </w:rPr>
        <w:t xml:space="preserve">, </w:t>
      </w:r>
      <w:r w:rsidR="00B2640A">
        <w:rPr>
          <w:rFonts w:ascii="Book Antiqua" w:hAnsi="Book Antiqua" w:cs="Arial"/>
        </w:rPr>
        <w:t>Senior Home Office Presenting Officer</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B2640A">
        <w:rPr>
          <w:rFonts w:ascii="Book Antiqua" w:hAnsi="Book Antiqua" w:cs="Arial"/>
        </w:rPr>
        <w:t>Ms M Chowdhury</w:t>
      </w:r>
      <w:r w:rsidR="004E3868">
        <w:rPr>
          <w:rFonts w:ascii="Book Antiqua" w:hAnsi="Book Antiqua" w:cs="Arial"/>
        </w:rPr>
        <w:t xml:space="preserve">, </w:t>
      </w:r>
      <w:r w:rsidR="00B2640A">
        <w:rPr>
          <w:rFonts w:ascii="Book Antiqua" w:hAnsi="Book Antiqua" w:cs="Arial"/>
        </w:rPr>
        <w:t>instructed by Novell’s legal practice</w:t>
      </w:r>
    </w:p>
    <w:p w:rsidR="00DE7DB7" w:rsidRDefault="00DE7DB7" w:rsidP="000418B5">
      <w:pPr>
        <w:jc w:val="center"/>
        <w:rPr>
          <w:rFonts w:ascii="Book Antiqua" w:hAnsi="Book Antiqua" w:cs="Arial"/>
        </w:rPr>
      </w:pPr>
    </w:p>
    <w:p w:rsidR="00C522DE" w:rsidRPr="00F5664C" w:rsidRDefault="00C522DE" w:rsidP="000418B5">
      <w:pPr>
        <w:jc w:val="center"/>
        <w:rPr>
          <w:rFonts w:ascii="Book Antiqua" w:hAnsi="Book Antiqua" w:cs="Arial"/>
        </w:rPr>
      </w:pPr>
    </w:p>
    <w:p w:rsidR="00B626FA" w:rsidRDefault="000418B5" w:rsidP="00057801">
      <w:pPr>
        <w:jc w:val="center"/>
        <w:rPr>
          <w:rFonts w:ascii="Book Antiqua" w:hAnsi="Book Antiqua" w:cs="Arial"/>
          <w:b/>
          <w:u w:val="single"/>
        </w:rPr>
      </w:pPr>
      <w:r>
        <w:rPr>
          <w:rFonts w:ascii="Book Antiqua" w:hAnsi="Book Antiqua" w:cs="Arial"/>
          <w:b/>
          <w:u w:val="single"/>
        </w:rPr>
        <w:t>DECISION</w:t>
      </w:r>
      <w:r w:rsidR="00402B9E" w:rsidRPr="00F5664C">
        <w:rPr>
          <w:rFonts w:ascii="Book Antiqua" w:hAnsi="Book Antiqua" w:cs="Arial"/>
          <w:b/>
          <w:u w:val="single"/>
        </w:rPr>
        <w:t xml:space="preserve"> AND REASONS</w:t>
      </w:r>
    </w:p>
    <w:p w:rsidR="008C2AFB" w:rsidRPr="00C522DE" w:rsidRDefault="008C2AFB" w:rsidP="00057801">
      <w:pPr>
        <w:jc w:val="center"/>
        <w:rPr>
          <w:rFonts w:ascii="Book Antiqua" w:hAnsi="Book Antiqua" w:cs="Arial"/>
          <w:b/>
          <w:u w:val="single"/>
        </w:rPr>
      </w:pPr>
    </w:p>
    <w:p w:rsidR="00F051D4" w:rsidRPr="00C522DE" w:rsidRDefault="00F051D4" w:rsidP="00F051D4">
      <w:pPr>
        <w:jc w:val="both"/>
        <w:rPr>
          <w:rFonts w:ascii="Book Antiqua" w:hAnsi="Book Antiqua" w:cs="Arial"/>
          <w:b/>
        </w:rPr>
      </w:pPr>
      <w:r w:rsidRPr="00C522DE">
        <w:rPr>
          <w:rFonts w:ascii="Book Antiqua" w:hAnsi="Book Antiqua" w:cs="Arial"/>
          <w:b/>
        </w:rPr>
        <w:t xml:space="preserve">The appellant and proceedings </w:t>
      </w:r>
    </w:p>
    <w:p w:rsidR="00BE358D" w:rsidRPr="00C522DE" w:rsidRDefault="00B2640A" w:rsidP="00BE358D">
      <w:pPr>
        <w:numPr>
          <w:ilvl w:val="0"/>
          <w:numId w:val="3"/>
        </w:numPr>
        <w:tabs>
          <w:tab w:val="clear" w:pos="567"/>
        </w:tabs>
        <w:spacing w:before="240"/>
        <w:jc w:val="both"/>
        <w:rPr>
          <w:rFonts w:ascii="Book Antiqua" w:hAnsi="Book Antiqua" w:cs="Arial"/>
        </w:rPr>
      </w:pPr>
      <w:r w:rsidRPr="00C522DE">
        <w:rPr>
          <w:rFonts w:ascii="Book Antiqua" w:hAnsi="Book Antiqua" w:cs="Arial"/>
        </w:rPr>
        <w:t>The appellant Secretary of State was the respondent before the First-tier Tribunal</w:t>
      </w:r>
      <w:r w:rsidR="008C1BF0" w:rsidRPr="00C522DE">
        <w:rPr>
          <w:rFonts w:ascii="Book Antiqua" w:hAnsi="Book Antiqua" w:cs="Arial"/>
        </w:rPr>
        <w:t xml:space="preserve"> and for ease of reference I refer to the parties as they were then.</w:t>
      </w:r>
      <w:r w:rsidRPr="00C522DE">
        <w:rPr>
          <w:rFonts w:ascii="Book Antiqua" w:hAnsi="Book Antiqua" w:cs="Arial"/>
        </w:rPr>
        <w:t xml:space="preserve"> The appeal is brought with permission granted by the </w:t>
      </w:r>
      <w:r w:rsidR="00A505EC" w:rsidRPr="00C522DE">
        <w:rPr>
          <w:rFonts w:ascii="Book Antiqua" w:hAnsi="Book Antiqua" w:cs="Arial"/>
        </w:rPr>
        <w:t>F</w:t>
      </w:r>
      <w:r w:rsidR="00AA3668" w:rsidRPr="00C522DE">
        <w:rPr>
          <w:rFonts w:ascii="Book Antiqua" w:hAnsi="Book Antiqua" w:cs="Arial"/>
        </w:rPr>
        <w:t>irst-tier tribunal. The complaint is that the</w:t>
      </w:r>
      <w:r w:rsidR="001039ED" w:rsidRPr="00C522DE">
        <w:rPr>
          <w:rFonts w:ascii="Book Antiqua" w:hAnsi="Book Antiqua" w:cs="Arial"/>
        </w:rPr>
        <w:t xml:space="preserve"> First-tier Tribunal judge (FTT</w:t>
      </w:r>
      <w:r w:rsidR="00AA3668" w:rsidRPr="00C522DE">
        <w:rPr>
          <w:rFonts w:ascii="Book Antiqua" w:hAnsi="Book Antiqua" w:cs="Arial"/>
        </w:rPr>
        <w:t xml:space="preserve">J) allowed the appellant’s appeal on article 8 grounds. Mr Tarlow submitted that </w:t>
      </w:r>
      <w:r w:rsidR="001039ED" w:rsidRPr="00C522DE">
        <w:rPr>
          <w:rFonts w:ascii="Book Antiqua" w:hAnsi="Book Antiqua" w:cs="Arial"/>
        </w:rPr>
        <w:t>FTTJ</w:t>
      </w:r>
      <w:r w:rsidR="00AA3668" w:rsidRPr="00C522DE">
        <w:rPr>
          <w:rFonts w:ascii="Book Antiqua" w:hAnsi="Book Antiqua" w:cs="Arial"/>
        </w:rPr>
        <w:t xml:space="preserve"> had treated the respondent</w:t>
      </w:r>
      <w:r w:rsidR="008C1BF0" w:rsidRPr="00C522DE">
        <w:rPr>
          <w:rFonts w:ascii="Book Antiqua" w:hAnsi="Book Antiqua" w:cs="Arial"/>
        </w:rPr>
        <w:t>’</w:t>
      </w:r>
      <w:r w:rsidR="00AA3668" w:rsidRPr="00C522DE">
        <w:rPr>
          <w:rFonts w:ascii="Book Antiqua" w:hAnsi="Book Antiqua" w:cs="Arial"/>
        </w:rPr>
        <w:t xml:space="preserve">s delay in dealing with the appellant’s </w:t>
      </w:r>
      <w:r w:rsidR="00AA3668" w:rsidRPr="00C522DE">
        <w:rPr>
          <w:rFonts w:ascii="Book Antiqua" w:hAnsi="Book Antiqua" w:cs="Arial"/>
        </w:rPr>
        <w:lastRenderedPageBreak/>
        <w:t>request for reconsideration of a refusal of his human rights claim in March 2011 as determinative</w:t>
      </w:r>
      <w:r w:rsidR="001039ED" w:rsidRPr="00C522DE">
        <w:rPr>
          <w:rFonts w:ascii="Book Antiqua" w:hAnsi="Book Antiqua" w:cs="Arial"/>
        </w:rPr>
        <w:t>,</w:t>
      </w:r>
      <w:r w:rsidR="00AA3668" w:rsidRPr="00C522DE">
        <w:rPr>
          <w:rFonts w:ascii="Book Antiqua" w:hAnsi="Book Antiqua" w:cs="Arial"/>
        </w:rPr>
        <w:t xml:space="preserve"> contrary to the case of </w:t>
      </w:r>
      <w:r w:rsidR="00AA3668" w:rsidRPr="00C522DE">
        <w:rPr>
          <w:rFonts w:ascii="Book Antiqua" w:hAnsi="Book Antiqua" w:cs="Arial"/>
          <w:u w:val="single"/>
        </w:rPr>
        <w:t>EB (Kosovo) v SSHD</w:t>
      </w:r>
      <w:r w:rsidR="00AA3668" w:rsidRPr="00C522DE">
        <w:rPr>
          <w:rFonts w:ascii="Book Antiqua" w:hAnsi="Book Antiqua" w:cs="Arial"/>
        </w:rPr>
        <w:t xml:space="preserve"> 2008 UKHL 41</w:t>
      </w:r>
      <w:r w:rsidR="001039ED" w:rsidRPr="00C522DE">
        <w:rPr>
          <w:rFonts w:ascii="Book Antiqua" w:hAnsi="Book Antiqua" w:cs="Arial"/>
        </w:rPr>
        <w:t>, when</w:t>
      </w:r>
      <w:r w:rsidR="00AA3668" w:rsidRPr="00C522DE">
        <w:rPr>
          <w:rFonts w:ascii="Book Antiqua" w:hAnsi="Book Antiqua" w:cs="Arial"/>
        </w:rPr>
        <w:t xml:space="preserve"> </w:t>
      </w:r>
      <w:r w:rsidR="00607C1A" w:rsidRPr="00C522DE">
        <w:rPr>
          <w:rFonts w:ascii="Book Antiqua" w:hAnsi="Book Antiqua" w:cs="Arial"/>
        </w:rPr>
        <w:t>referring to the delay</w:t>
      </w:r>
      <w:r w:rsidR="00AA3668" w:rsidRPr="00C522DE">
        <w:rPr>
          <w:rFonts w:ascii="Book Antiqua" w:hAnsi="Book Antiqua" w:cs="Arial"/>
        </w:rPr>
        <w:t xml:space="preserve"> being immense</w:t>
      </w:r>
      <w:r w:rsidR="00607C1A" w:rsidRPr="00C522DE">
        <w:rPr>
          <w:rFonts w:ascii="Book Antiqua" w:hAnsi="Book Antiqua" w:cs="Arial"/>
        </w:rPr>
        <w:t>. Whilst the respondent was at fault in failing to respond to the correspondence of solicitors</w:t>
      </w:r>
      <w:r w:rsidR="00E67F3D" w:rsidRPr="00C522DE">
        <w:rPr>
          <w:rFonts w:ascii="Book Antiqua" w:hAnsi="Book Antiqua" w:cs="Arial"/>
        </w:rPr>
        <w:t>,</w:t>
      </w:r>
      <w:r w:rsidR="00607C1A" w:rsidRPr="00C522DE">
        <w:rPr>
          <w:rFonts w:ascii="Book Antiqua" w:hAnsi="Book Antiqua" w:cs="Arial"/>
        </w:rPr>
        <w:t xml:space="preserve"> that was an insufficient basis to say that the appellant’s immigration history cannot be criticised, </w:t>
      </w:r>
      <w:r w:rsidR="00CB64BD" w:rsidRPr="00C522DE">
        <w:rPr>
          <w:rFonts w:ascii="Book Antiqua" w:hAnsi="Book Antiqua" w:cs="Arial"/>
        </w:rPr>
        <w:t xml:space="preserve">and </w:t>
      </w:r>
      <w:r w:rsidR="00607C1A" w:rsidRPr="00C522DE">
        <w:rPr>
          <w:rFonts w:ascii="Book Antiqua" w:hAnsi="Book Antiqua" w:cs="Arial"/>
        </w:rPr>
        <w:t>in doing so the FTTJ failed to take into account that the appellant ought to have left the UK in 2008 when his 1</w:t>
      </w:r>
      <w:r w:rsidR="00607C1A" w:rsidRPr="00C522DE">
        <w:rPr>
          <w:rFonts w:ascii="Book Antiqua" w:hAnsi="Book Antiqua" w:cs="Arial"/>
          <w:vertAlign w:val="superscript"/>
        </w:rPr>
        <w:t>st</w:t>
      </w:r>
      <w:r w:rsidR="00607C1A" w:rsidRPr="00C522DE">
        <w:rPr>
          <w:rFonts w:ascii="Book Antiqua" w:hAnsi="Book Antiqua" w:cs="Arial"/>
        </w:rPr>
        <w:t xml:space="preserve"> application to switch his leave from being a working holidaymaker to a student was refused. In light of the finding that the position in Bangladesh did not amount to very significant obstacles to reintegration and the appellants requirement have a Bangladesh interpreter at the appeal the judge needed to give full reasons concluding </w:t>
      </w:r>
      <w:r w:rsidR="00133805" w:rsidRPr="00C522DE">
        <w:rPr>
          <w:rFonts w:ascii="Book Antiqua" w:hAnsi="Book Antiqua" w:cs="Arial"/>
        </w:rPr>
        <w:t xml:space="preserve">as to why </w:t>
      </w:r>
      <w:r w:rsidR="00607C1A" w:rsidRPr="00C522DE">
        <w:rPr>
          <w:rFonts w:ascii="Book Antiqua" w:hAnsi="Book Antiqua" w:cs="Arial"/>
        </w:rPr>
        <w:t>there were compelling circumstances in the context of article 8.</w:t>
      </w:r>
    </w:p>
    <w:p w:rsidR="001039ED" w:rsidRPr="00C522DE" w:rsidRDefault="00663537" w:rsidP="00BE358D">
      <w:pPr>
        <w:numPr>
          <w:ilvl w:val="0"/>
          <w:numId w:val="3"/>
        </w:numPr>
        <w:tabs>
          <w:tab w:val="clear" w:pos="567"/>
        </w:tabs>
        <w:spacing w:before="240"/>
        <w:jc w:val="both"/>
        <w:rPr>
          <w:rFonts w:ascii="Book Antiqua" w:hAnsi="Book Antiqua" w:cs="Arial"/>
        </w:rPr>
      </w:pPr>
      <w:r w:rsidRPr="00C522DE">
        <w:rPr>
          <w:rFonts w:ascii="Book Antiqua" w:hAnsi="Book Antiqua" w:cs="Arial"/>
        </w:rPr>
        <w:t>Ms Choudhury for the appellant argued that the FTTJ was entitled to find that delay was a relevant matter</w:t>
      </w:r>
      <w:r w:rsidR="001039ED" w:rsidRPr="00C522DE">
        <w:rPr>
          <w:rFonts w:ascii="Book Antiqua" w:hAnsi="Book Antiqua" w:cs="Arial"/>
        </w:rPr>
        <w:t xml:space="preserve">. The application had been actively pursued so what ensued was a catalogue of failures to deal with the application and over a very long period for which no explanation was ever made. Whilst she accepted that the first application in 2008 had little prospect of success in light of the bar on switching (and not as the grounds suggest for any reason to do with  revocation of the sponsor’s licence), as might be thought the 2011 application  taking account of the position in respect of Article 8 Private Life as it is understood now, it could not  be said to have been a hopeless application, albeit that it is the respondent’s delay which </w:t>
      </w:r>
      <w:r w:rsidR="008C1BF0" w:rsidRPr="00C522DE">
        <w:rPr>
          <w:rFonts w:ascii="Book Antiqua" w:hAnsi="Book Antiqua" w:cs="Arial"/>
        </w:rPr>
        <w:t xml:space="preserve">at the time of </w:t>
      </w:r>
      <w:r w:rsidR="00E67F3D" w:rsidRPr="00C522DE">
        <w:rPr>
          <w:rFonts w:ascii="Book Antiqua" w:hAnsi="Book Antiqua" w:cs="Arial"/>
        </w:rPr>
        <w:t>his belated assessment</w:t>
      </w:r>
      <w:r w:rsidR="008C1BF0" w:rsidRPr="00C522DE">
        <w:rPr>
          <w:rFonts w:ascii="Book Antiqua" w:hAnsi="Book Antiqua" w:cs="Arial"/>
        </w:rPr>
        <w:t>,</w:t>
      </w:r>
      <w:r w:rsidR="00E67F3D" w:rsidRPr="00C522DE">
        <w:rPr>
          <w:rFonts w:ascii="Book Antiqua" w:hAnsi="Book Antiqua" w:cs="Arial"/>
        </w:rPr>
        <w:t xml:space="preserve"> </w:t>
      </w:r>
      <w:r w:rsidR="001039ED" w:rsidRPr="00C522DE">
        <w:rPr>
          <w:rFonts w:ascii="Book Antiqua" w:hAnsi="Book Antiqua" w:cs="Arial"/>
        </w:rPr>
        <w:t xml:space="preserve">the most significant factor driving the FTTJ’s finding that the removal would now be disproportionate. </w:t>
      </w:r>
      <w:r w:rsidR="008C1BF0" w:rsidRPr="00C522DE">
        <w:rPr>
          <w:rFonts w:ascii="Book Antiqua" w:hAnsi="Book Antiqua" w:cs="Arial"/>
        </w:rPr>
        <w:t>The point is not what the outcome might have been on application in 2011 but the position by the time of the FTTJ’s decision.</w:t>
      </w:r>
    </w:p>
    <w:p w:rsidR="00663537" w:rsidRPr="00C522DE" w:rsidRDefault="001039ED" w:rsidP="00BE358D">
      <w:pPr>
        <w:numPr>
          <w:ilvl w:val="0"/>
          <w:numId w:val="3"/>
        </w:numPr>
        <w:tabs>
          <w:tab w:val="clear" w:pos="567"/>
        </w:tabs>
        <w:spacing w:before="240"/>
        <w:jc w:val="both"/>
        <w:rPr>
          <w:rFonts w:ascii="Book Antiqua" w:hAnsi="Book Antiqua" w:cs="Arial"/>
        </w:rPr>
      </w:pPr>
      <w:r w:rsidRPr="00C522DE">
        <w:rPr>
          <w:rFonts w:ascii="Book Antiqua" w:hAnsi="Book Antiqua" w:cs="Arial"/>
        </w:rPr>
        <w:t xml:space="preserve">Mr Tarlow readily conceded that the respondent was probably wrong to refer to the issue of revocation of the sponsoring college’s licence in the 2008 application because had that been the determinative position he would likely have been granted 60 days leave. In reality it would have been the inability to switch that would have governed the refusal. </w:t>
      </w:r>
    </w:p>
    <w:p w:rsidR="008C1BF0" w:rsidRPr="00C522DE" w:rsidRDefault="008C1BF0" w:rsidP="008C1BF0">
      <w:pPr>
        <w:spacing w:before="240"/>
        <w:jc w:val="both"/>
        <w:rPr>
          <w:rFonts w:ascii="Book Antiqua" w:hAnsi="Book Antiqua" w:cs="Arial"/>
          <w:b/>
          <w:u w:val="single"/>
        </w:rPr>
      </w:pPr>
      <w:r w:rsidRPr="00C522DE">
        <w:rPr>
          <w:rFonts w:ascii="Book Antiqua" w:hAnsi="Book Antiqua" w:cs="Arial"/>
          <w:b/>
          <w:u w:val="single"/>
        </w:rPr>
        <w:t>Discussion</w:t>
      </w:r>
    </w:p>
    <w:p w:rsidR="00BE358D" w:rsidRPr="00C522DE" w:rsidRDefault="004C619C" w:rsidP="00BE358D">
      <w:pPr>
        <w:numPr>
          <w:ilvl w:val="0"/>
          <w:numId w:val="3"/>
        </w:numPr>
        <w:tabs>
          <w:tab w:val="clear" w:pos="567"/>
        </w:tabs>
        <w:spacing w:before="240"/>
        <w:jc w:val="both"/>
        <w:rPr>
          <w:rFonts w:ascii="Book Antiqua" w:hAnsi="Book Antiqua" w:cs="Arial"/>
        </w:rPr>
      </w:pPr>
      <w:r w:rsidRPr="00C522DE">
        <w:rPr>
          <w:rFonts w:ascii="Book Antiqua" w:hAnsi="Book Antiqua" w:cs="Arial"/>
        </w:rPr>
        <w:t>I find no merit in t</w:t>
      </w:r>
      <w:r w:rsidR="00607C1A" w:rsidRPr="00C522DE">
        <w:rPr>
          <w:rFonts w:ascii="Book Antiqua" w:hAnsi="Book Antiqua" w:cs="Arial"/>
        </w:rPr>
        <w:t>he</w:t>
      </w:r>
      <w:r w:rsidRPr="00C522DE">
        <w:rPr>
          <w:rFonts w:ascii="Book Antiqua" w:hAnsi="Book Antiqua" w:cs="Arial"/>
        </w:rPr>
        <w:t xml:space="preserve"> </w:t>
      </w:r>
      <w:r w:rsidR="008C1BF0" w:rsidRPr="00C522DE">
        <w:rPr>
          <w:rFonts w:ascii="Book Antiqua" w:hAnsi="Book Antiqua" w:cs="Arial"/>
        </w:rPr>
        <w:t xml:space="preserve">SSHD’s </w:t>
      </w:r>
      <w:r w:rsidRPr="00C522DE">
        <w:rPr>
          <w:rFonts w:ascii="Book Antiqua" w:hAnsi="Book Antiqua" w:cs="Arial"/>
        </w:rPr>
        <w:t>ground</w:t>
      </w:r>
      <w:r w:rsidR="00607C1A" w:rsidRPr="00C522DE">
        <w:rPr>
          <w:rFonts w:ascii="Book Antiqua" w:hAnsi="Book Antiqua" w:cs="Arial"/>
        </w:rPr>
        <w:t>s</w:t>
      </w:r>
      <w:r w:rsidRPr="00C522DE">
        <w:rPr>
          <w:rFonts w:ascii="Book Antiqua" w:hAnsi="Book Antiqua" w:cs="Arial"/>
        </w:rPr>
        <w:t>.</w:t>
      </w:r>
      <w:r w:rsidR="00503EB7" w:rsidRPr="00C522DE">
        <w:rPr>
          <w:rFonts w:ascii="Book Antiqua" w:hAnsi="Book Antiqua" w:cs="Arial"/>
        </w:rPr>
        <w:t xml:space="preserve"> </w:t>
      </w:r>
      <w:r w:rsidR="00133805" w:rsidRPr="00C522DE">
        <w:rPr>
          <w:rFonts w:ascii="Book Antiqua" w:hAnsi="Book Antiqua" w:cs="Arial"/>
        </w:rPr>
        <w:t>T</w:t>
      </w:r>
      <w:r w:rsidR="009F731E" w:rsidRPr="00C522DE">
        <w:rPr>
          <w:rFonts w:ascii="Book Antiqua" w:hAnsi="Book Antiqua" w:cs="Arial"/>
        </w:rPr>
        <w:t xml:space="preserve">he grounds </w:t>
      </w:r>
      <w:r w:rsidR="00E67F3D" w:rsidRPr="00C522DE">
        <w:rPr>
          <w:rFonts w:ascii="Book Antiqua" w:hAnsi="Book Antiqua" w:cs="Arial"/>
        </w:rPr>
        <w:t xml:space="preserve">misread </w:t>
      </w:r>
      <w:r w:rsidR="00E67F3D" w:rsidRPr="00C522DE">
        <w:rPr>
          <w:rFonts w:ascii="Book Antiqua" w:hAnsi="Book Antiqua" w:cs="Arial"/>
          <w:u w:val="single"/>
        </w:rPr>
        <w:t>EB Kosovo</w:t>
      </w:r>
      <w:r w:rsidR="006C31E5" w:rsidRPr="00C522DE">
        <w:rPr>
          <w:rFonts w:ascii="Book Antiqua" w:hAnsi="Book Antiqua" w:cs="Arial"/>
        </w:rPr>
        <w:t>, relying on the language of a dissenting opinion</w:t>
      </w:r>
      <w:r w:rsidR="002E237A" w:rsidRPr="00C522DE">
        <w:rPr>
          <w:rFonts w:ascii="Book Antiqua" w:hAnsi="Book Antiqua" w:cs="Arial"/>
        </w:rPr>
        <w:t>,</w:t>
      </w:r>
      <w:r w:rsidR="009F731E" w:rsidRPr="00C522DE">
        <w:rPr>
          <w:rFonts w:ascii="Book Antiqua" w:hAnsi="Book Antiqua" w:cs="Arial"/>
        </w:rPr>
        <w:t xml:space="preserve"> when they </w:t>
      </w:r>
      <w:r w:rsidR="006C31E5" w:rsidRPr="00C522DE">
        <w:rPr>
          <w:rFonts w:ascii="Book Antiqua" w:hAnsi="Book Antiqua" w:cs="Arial"/>
        </w:rPr>
        <w:t>argue</w:t>
      </w:r>
      <w:r w:rsidR="009F731E" w:rsidRPr="00C522DE">
        <w:rPr>
          <w:rFonts w:ascii="Book Antiqua" w:hAnsi="Book Antiqua" w:cs="Arial"/>
        </w:rPr>
        <w:t xml:space="preserve"> that </w:t>
      </w:r>
      <w:r w:rsidR="00FD7D67" w:rsidRPr="00C522DE">
        <w:rPr>
          <w:rFonts w:ascii="Book Antiqua" w:hAnsi="Book Antiqua" w:cs="Arial"/>
        </w:rPr>
        <w:t xml:space="preserve">the case of </w:t>
      </w:r>
      <w:r w:rsidR="00FD7D67" w:rsidRPr="00C522DE">
        <w:rPr>
          <w:rFonts w:ascii="Book Antiqua" w:hAnsi="Book Antiqua" w:cs="Arial"/>
          <w:u w:val="single"/>
        </w:rPr>
        <w:t>EB Kosovo</w:t>
      </w:r>
      <w:r w:rsidR="00FD7D67" w:rsidRPr="00C522DE">
        <w:rPr>
          <w:rFonts w:ascii="Book Antiqua" w:hAnsi="Book Antiqua" w:cs="Arial"/>
        </w:rPr>
        <w:t xml:space="preserve"> </w:t>
      </w:r>
      <w:r w:rsidR="006C31E5" w:rsidRPr="00C522DE">
        <w:rPr>
          <w:rFonts w:ascii="Book Antiqua" w:hAnsi="Book Antiqua" w:cs="Arial"/>
        </w:rPr>
        <w:t>guides that</w:t>
      </w:r>
      <w:r w:rsidR="005871F7" w:rsidRPr="00C522DE">
        <w:rPr>
          <w:rFonts w:ascii="Book Antiqua" w:hAnsi="Book Antiqua" w:cs="Arial"/>
        </w:rPr>
        <w:t xml:space="preserve"> delay in the </w:t>
      </w:r>
      <w:r w:rsidR="00FD7D67" w:rsidRPr="00C522DE">
        <w:rPr>
          <w:rFonts w:ascii="Book Antiqua" w:hAnsi="Book Antiqua" w:cs="Arial"/>
        </w:rPr>
        <w:t xml:space="preserve">respondent’s handling of </w:t>
      </w:r>
      <w:r w:rsidR="00133805" w:rsidRPr="00C522DE">
        <w:rPr>
          <w:rFonts w:ascii="Book Antiqua" w:hAnsi="Book Antiqua" w:cs="Arial"/>
        </w:rPr>
        <w:t>the</w:t>
      </w:r>
      <w:r w:rsidR="00FD7D67" w:rsidRPr="00C522DE">
        <w:rPr>
          <w:rFonts w:ascii="Book Antiqua" w:hAnsi="Book Antiqua" w:cs="Arial"/>
        </w:rPr>
        <w:t xml:space="preserve"> appellant’</w:t>
      </w:r>
      <w:r w:rsidR="009F731E" w:rsidRPr="00C522DE">
        <w:rPr>
          <w:rFonts w:ascii="Book Antiqua" w:hAnsi="Book Antiqua" w:cs="Arial"/>
        </w:rPr>
        <w:t xml:space="preserve">s application </w:t>
      </w:r>
      <w:r w:rsidR="006C31E5" w:rsidRPr="00C522DE">
        <w:rPr>
          <w:rFonts w:ascii="Book Antiqua" w:hAnsi="Book Antiqua" w:cs="Arial"/>
        </w:rPr>
        <w:t>cannot be a</w:t>
      </w:r>
      <w:r w:rsidR="00FD7D67" w:rsidRPr="00C522DE">
        <w:rPr>
          <w:rFonts w:ascii="Book Antiqua" w:hAnsi="Book Antiqua" w:cs="Arial"/>
        </w:rPr>
        <w:t xml:space="preserve"> sufficient basis </w:t>
      </w:r>
      <w:r w:rsidR="00133805" w:rsidRPr="00C522DE">
        <w:rPr>
          <w:rFonts w:ascii="Book Antiqua" w:hAnsi="Book Antiqua" w:cs="Arial"/>
        </w:rPr>
        <w:t>to con</w:t>
      </w:r>
      <w:r w:rsidR="00C72AFF" w:rsidRPr="00C522DE">
        <w:rPr>
          <w:rFonts w:ascii="Book Antiqua" w:hAnsi="Book Antiqua" w:cs="Arial"/>
        </w:rPr>
        <w:t>clude</w:t>
      </w:r>
      <w:r w:rsidR="009F731E" w:rsidRPr="00C522DE">
        <w:rPr>
          <w:rFonts w:ascii="Book Antiqua" w:hAnsi="Book Antiqua" w:cs="Arial"/>
        </w:rPr>
        <w:t xml:space="preserve"> </w:t>
      </w:r>
      <w:r w:rsidR="00FD7D67" w:rsidRPr="00C522DE">
        <w:rPr>
          <w:rFonts w:ascii="Book Antiqua" w:hAnsi="Book Antiqua" w:cs="Arial"/>
        </w:rPr>
        <w:t>that the proportionality balance falls in</w:t>
      </w:r>
      <w:r w:rsidR="009F731E" w:rsidRPr="00C522DE">
        <w:rPr>
          <w:rFonts w:ascii="Book Antiqua" w:hAnsi="Book Antiqua" w:cs="Arial"/>
        </w:rPr>
        <w:t xml:space="preserve"> an appellant’s </w:t>
      </w:r>
      <w:r w:rsidR="00FD7D67" w:rsidRPr="00C522DE">
        <w:rPr>
          <w:rFonts w:ascii="Book Antiqua" w:hAnsi="Book Antiqua" w:cs="Arial"/>
        </w:rPr>
        <w:t>favour</w:t>
      </w:r>
      <w:r w:rsidR="009F731E" w:rsidRPr="00C522DE">
        <w:rPr>
          <w:rFonts w:ascii="Book Antiqua" w:hAnsi="Book Antiqua" w:cs="Arial"/>
        </w:rPr>
        <w:t xml:space="preserve"> in a non-deportation case</w:t>
      </w:r>
      <w:r w:rsidR="00FD7D67" w:rsidRPr="00C522DE">
        <w:rPr>
          <w:rFonts w:ascii="Book Antiqua" w:hAnsi="Book Antiqua" w:cs="Arial"/>
        </w:rPr>
        <w:t>.</w:t>
      </w:r>
      <w:r w:rsidR="000B4CFF" w:rsidRPr="00C522DE">
        <w:rPr>
          <w:rFonts w:ascii="Book Antiqua" w:hAnsi="Book Antiqua" w:cs="Arial"/>
        </w:rPr>
        <w:t xml:space="preserve"> </w:t>
      </w:r>
      <w:r w:rsidR="00BE358D" w:rsidRPr="00C522DE">
        <w:rPr>
          <w:rFonts w:ascii="Book Antiqua" w:hAnsi="Book Antiqua" w:cs="Arial"/>
        </w:rPr>
        <w:t xml:space="preserve">The relevant ratio is at </w:t>
      </w:r>
      <w:r w:rsidR="006C31E5" w:rsidRPr="00C522DE">
        <w:rPr>
          <w:rFonts w:ascii="Book Antiqua" w:hAnsi="Book Antiqua" w:cs="Arial"/>
        </w:rPr>
        <w:t>16:</w:t>
      </w:r>
      <w:r w:rsidR="003B4FCF" w:rsidRPr="00C522DE">
        <w:rPr>
          <w:rFonts w:ascii="Book Antiqua" w:hAnsi="Book Antiqua"/>
          <w:color w:val="333333"/>
        </w:rPr>
        <w:t> </w:t>
      </w:r>
    </w:p>
    <w:p w:rsidR="00BE358D" w:rsidRPr="00C522DE" w:rsidRDefault="00BE358D" w:rsidP="00C522DE">
      <w:pPr>
        <w:spacing w:before="120" w:after="120"/>
        <w:ind w:left="1134"/>
        <w:jc w:val="both"/>
        <w:rPr>
          <w:rFonts w:ascii="Book Antiqua" w:hAnsi="Book Antiqua" w:cs="Arial"/>
          <w:i/>
        </w:rPr>
      </w:pPr>
      <w:r w:rsidRPr="00C522DE">
        <w:rPr>
          <w:rFonts w:ascii="Book Antiqua" w:hAnsi="Book Antiqua"/>
          <w:i/>
          <w:color w:val="333333"/>
        </w:rPr>
        <w:t>“</w:t>
      </w:r>
      <w:r w:rsidR="003B4FCF" w:rsidRPr="00C522DE">
        <w:rPr>
          <w:rFonts w:ascii="Book Antiqua" w:hAnsi="Book Antiqua" w:cs="Arial"/>
          <w:i/>
        </w:rPr>
        <w:t>Delay may be relevant, thirdly, in reducing the weight otherwise to be accorded to the requirements of firm and fair immigration control, if the delay is shown to be the result of a dysfunctional system which yields unpredictable, inconsi</w:t>
      </w:r>
      <w:r w:rsidR="006C31E5" w:rsidRPr="00C522DE">
        <w:rPr>
          <w:rFonts w:ascii="Book Antiqua" w:hAnsi="Book Antiqua" w:cs="Arial"/>
          <w:i/>
        </w:rPr>
        <w:t>stent and unfair outcomes</w:t>
      </w:r>
      <w:r w:rsidR="003B4FCF" w:rsidRPr="00C522DE">
        <w:rPr>
          <w:rFonts w:ascii="Book Antiqua" w:hAnsi="Book Antiqua" w:cs="Arial"/>
          <w:i/>
        </w:rPr>
        <w:t>.</w:t>
      </w:r>
      <w:r w:rsidR="006C31E5" w:rsidRPr="00C522DE">
        <w:rPr>
          <w:rFonts w:ascii="Book Antiqua" w:hAnsi="Book Antiqua" w:cs="Arial"/>
          <w:i/>
        </w:rPr>
        <w:t>”</w:t>
      </w:r>
      <w:r w:rsidR="003B4FCF" w:rsidRPr="00C522DE">
        <w:rPr>
          <w:rFonts w:ascii="Book Antiqua" w:hAnsi="Book Antiqua" w:cs="Arial"/>
          <w:i/>
        </w:rPr>
        <w:t xml:space="preserve"> </w:t>
      </w:r>
    </w:p>
    <w:p w:rsidR="00663537" w:rsidRPr="00C522DE" w:rsidRDefault="00663537" w:rsidP="00BE358D">
      <w:pPr>
        <w:numPr>
          <w:ilvl w:val="0"/>
          <w:numId w:val="3"/>
        </w:numPr>
        <w:spacing w:before="240"/>
        <w:jc w:val="both"/>
        <w:rPr>
          <w:rFonts w:ascii="Book Antiqua" w:hAnsi="Book Antiqua" w:cs="Arial"/>
        </w:rPr>
      </w:pPr>
      <w:r w:rsidRPr="00C522DE">
        <w:rPr>
          <w:rFonts w:ascii="Book Antiqua" w:hAnsi="Book Antiqua" w:cs="Arial"/>
        </w:rPr>
        <w:t xml:space="preserve">There is no submission that that was not the position here, instead what is said is that it cannot be a factor which helps an appellant. </w:t>
      </w:r>
    </w:p>
    <w:p w:rsidR="00BE358D" w:rsidRPr="00C522DE" w:rsidRDefault="00BE358D" w:rsidP="00BE358D">
      <w:pPr>
        <w:numPr>
          <w:ilvl w:val="0"/>
          <w:numId w:val="3"/>
        </w:numPr>
        <w:spacing w:before="240"/>
        <w:jc w:val="both"/>
        <w:rPr>
          <w:rFonts w:ascii="Book Antiqua" w:hAnsi="Book Antiqua" w:cs="Arial"/>
        </w:rPr>
      </w:pPr>
      <w:r w:rsidRPr="00C522DE">
        <w:rPr>
          <w:rFonts w:ascii="Book Antiqua" w:hAnsi="Book Antiqua" w:cs="Arial"/>
        </w:rPr>
        <w:lastRenderedPageBreak/>
        <w:t>Whether, and to what extent, the delay in resolving the claim, and the manner of its handling, are relevant when considering the overall proportionality of ordering the removal of the appellant</w:t>
      </w:r>
      <w:r w:rsidR="006C31E5" w:rsidRPr="00C522DE">
        <w:rPr>
          <w:rFonts w:ascii="Book Antiqua" w:hAnsi="Book Antiqua" w:cs="Arial"/>
        </w:rPr>
        <w:t xml:space="preserve"> and </w:t>
      </w:r>
      <w:r w:rsidRPr="00C522DE">
        <w:rPr>
          <w:rFonts w:ascii="Book Antiqua" w:hAnsi="Book Antiqua" w:cs="Arial"/>
        </w:rPr>
        <w:t>r</w:t>
      </w:r>
      <w:r w:rsidR="006C31E5" w:rsidRPr="00C522DE">
        <w:rPr>
          <w:rFonts w:ascii="Book Antiqua" w:hAnsi="Book Antiqua" w:cs="Arial"/>
        </w:rPr>
        <w:t>equires a judgment in the round</w:t>
      </w:r>
      <w:r w:rsidRPr="00C522DE">
        <w:rPr>
          <w:rFonts w:ascii="Book Antiqua" w:hAnsi="Book Antiqua" w:cs="Arial"/>
        </w:rPr>
        <w:t>.</w:t>
      </w:r>
    </w:p>
    <w:p w:rsidR="003B4FCF" w:rsidRPr="00C522DE" w:rsidRDefault="006C31E5" w:rsidP="00BE358D">
      <w:pPr>
        <w:numPr>
          <w:ilvl w:val="0"/>
          <w:numId w:val="3"/>
        </w:numPr>
        <w:tabs>
          <w:tab w:val="clear" w:pos="567"/>
        </w:tabs>
        <w:spacing w:before="240"/>
        <w:jc w:val="both"/>
        <w:rPr>
          <w:rFonts w:ascii="Book Antiqua" w:hAnsi="Book Antiqua" w:cs="Arial"/>
        </w:rPr>
      </w:pPr>
      <w:r w:rsidRPr="00C522DE">
        <w:rPr>
          <w:rFonts w:ascii="Book Antiqua" w:hAnsi="Book Antiqua" w:cs="Arial"/>
        </w:rPr>
        <w:t xml:space="preserve">As per </w:t>
      </w:r>
      <w:r w:rsidR="003B4FCF" w:rsidRPr="00C522DE">
        <w:rPr>
          <w:rFonts w:ascii="Book Antiqua" w:hAnsi="Book Antiqua" w:cs="Arial"/>
        </w:rPr>
        <w:t>Carnwath LJ observed in </w:t>
      </w:r>
      <w:r w:rsidR="003B4FCF" w:rsidRPr="00C522DE">
        <w:rPr>
          <w:rFonts w:ascii="Book Antiqua" w:hAnsi="Book Antiqua" w:cs="Arial"/>
          <w:u w:val="single"/>
        </w:rPr>
        <w:t>Akaeke v Secretary of State for the Home Department [2005] EWCA Civ 947, [2005] INLR 575, para 25</w:t>
      </w:r>
      <w:r w:rsidR="003B4FCF" w:rsidRPr="00C522DE">
        <w:rPr>
          <w:rFonts w:ascii="Book Antiqua" w:hAnsi="Book Antiqua" w:cs="Arial"/>
        </w:rPr>
        <w:t>:</w:t>
      </w:r>
    </w:p>
    <w:p w:rsidR="00BE358D" w:rsidRPr="00C522DE" w:rsidRDefault="003B4FCF" w:rsidP="00C522DE">
      <w:pPr>
        <w:pStyle w:val="qt"/>
        <w:shd w:val="clear" w:color="auto" w:fill="FFFFFF"/>
        <w:spacing w:before="120" w:beforeAutospacing="0" w:after="120" w:afterAutospacing="0"/>
        <w:ind w:left="1134"/>
        <w:rPr>
          <w:rFonts w:ascii="Book Antiqua" w:hAnsi="Book Antiqua" w:cs="Arial"/>
          <w:i/>
        </w:rPr>
      </w:pPr>
      <w:r w:rsidRPr="00C522DE">
        <w:rPr>
          <w:rFonts w:ascii="Book Antiqua" w:hAnsi="Book Antiqua" w:cs="Arial"/>
          <w:i/>
        </w:rPr>
        <w:t xml:space="preserve">“Once it is accepted that unreasonable delay on the part of the Secretary of State is capable of being a relevant factor, then the weight to be given to it in the particular case was a matter for the tribunal” </w:t>
      </w:r>
    </w:p>
    <w:p w:rsidR="00C72AFF" w:rsidRPr="00C522DE" w:rsidRDefault="00E67F3D" w:rsidP="00C72AFF">
      <w:pPr>
        <w:numPr>
          <w:ilvl w:val="0"/>
          <w:numId w:val="3"/>
        </w:numPr>
        <w:spacing w:before="240"/>
        <w:jc w:val="both"/>
        <w:rPr>
          <w:rFonts w:ascii="Book Antiqua" w:hAnsi="Book Antiqua" w:cs="Arial"/>
        </w:rPr>
      </w:pPr>
      <w:r w:rsidRPr="00C522DE">
        <w:rPr>
          <w:rFonts w:ascii="Book Antiqua" w:hAnsi="Book Antiqua" w:cs="Arial"/>
        </w:rPr>
        <w:t>The evidence before the FT</w:t>
      </w:r>
      <w:r w:rsidR="000B4CFF" w:rsidRPr="00C522DE">
        <w:rPr>
          <w:rFonts w:ascii="Book Antiqua" w:hAnsi="Book Antiqua" w:cs="Arial"/>
        </w:rPr>
        <w:t xml:space="preserve">TJ was that the Secretary of State had failed to consider the appellant’s further representations submitted in March 2011 until October 2016. During that time the appellant’s representatives made regular and repeated efforts to prompt a decision. It is apparent that only following complaints in May 2016 did the respondent start to put things in hand, with a decision only finally being issued in October 2016. </w:t>
      </w:r>
      <w:r w:rsidRPr="00C522DE">
        <w:rPr>
          <w:rFonts w:ascii="Book Antiqua" w:hAnsi="Book Antiqua" w:cs="Arial"/>
        </w:rPr>
        <w:t>I find the FTTJ was</w:t>
      </w:r>
      <w:r w:rsidR="000B4CFF" w:rsidRPr="00C522DE">
        <w:rPr>
          <w:rFonts w:ascii="Book Antiqua" w:hAnsi="Book Antiqua" w:cs="Arial"/>
        </w:rPr>
        <w:t xml:space="preserve"> entitled to conclude that this 5 ½ year delay was immense</w:t>
      </w:r>
      <w:r w:rsidRPr="00C522DE">
        <w:rPr>
          <w:rFonts w:ascii="Book Antiqua" w:hAnsi="Book Antiqua" w:cs="Arial"/>
        </w:rPr>
        <w:t>,</w:t>
      </w:r>
      <w:r w:rsidR="000B4CFF" w:rsidRPr="00C522DE">
        <w:rPr>
          <w:rFonts w:ascii="Book Antiqua" w:hAnsi="Book Antiqua" w:cs="Arial"/>
        </w:rPr>
        <w:t xml:space="preserve"> and </w:t>
      </w:r>
      <w:r w:rsidRPr="00C522DE">
        <w:rPr>
          <w:rFonts w:ascii="Book Antiqua" w:hAnsi="Book Antiqua" w:cs="Arial"/>
        </w:rPr>
        <w:t xml:space="preserve">so </w:t>
      </w:r>
      <w:r w:rsidR="000B4CFF" w:rsidRPr="00C522DE">
        <w:rPr>
          <w:rFonts w:ascii="Book Antiqua" w:hAnsi="Book Antiqua" w:cs="Arial"/>
        </w:rPr>
        <w:t>to treat it as evidence of a systemic failure and instance of the collapse of the immigration control system</w:t>
      </w:r>
      <w:r w:rsidRPr="00C522DE">
        <w:rPr>
          <w:rFonts w:ascii="Book Antiqua" w:hAnsi="Book Antiqua" w:cs="Arial"/>
        </w:rPr>
        <w:t xml:space="preserve"> The FTTJ was also entitled to </w:t>
      </w:r>
      <w:r w:rsidR="006C31E5" w:rsidRPr="00C522DE">
        <w:rPr>
          <w:rFonts w:ascii="Book Antiqua" w:hAnsi="Book Antiqua" w:cs="Arial"/>
        </w:rPr>
        <w:t>take account that it followed an earlier breakdown in dealings with this appellant when</w:t>
      </w:r>
      <w:r w:rsidRPr="00C522DE">
        <w:rPr>
          <w:rFonts w:ascii="Book Antiqua" w:hAnsi="Book Antiqua" w:cs="Arial"/>
        </w:rPr>
        <w:t>,</w:t>
      </w:r>
      <w:r w:rsidR="006C31E5" w:rsidRPr="00C522DE">
        <w:rPr>
          <w:rFonts w:ascii="Book Antiqua" w:hAnsi="Book Antiqua" w:cs="Arial"/>
        </w:rPr>
        <w:t xml:space="preserve"> in 2008</w:t>
      </w:r>
      <w:r w:rsidRPr="00C522DE">
        <w:rPr>
          <w:rFonts w:ascii="Book Antiqua" w:hAnsi="Book Antiqua" w:cs="Arial"/>
        </w:rPr>
        <w:t>,</w:t>
      </w:r>
      <w:r w:rsidR="006C31E5" w:rsidRPr="00C522DE">
        <w:rPr>
          <w:rFonts w:ascii="Book Antiqua" w:hAnsi="Book Antiqua" w:cs="Arial"/>
        </w:rPr>
        <w:t xml:space="preserve"> there was an inexplicable failure to serve notice of a refusal decision on the appellant</w:t>
      </w:r>
      <w:r w:rsidRPr="00C522DE">
        <w:rPr>
          <w:rFonts w:ascii="Book Antiqua" w:hAnsi="Book Antiqua" w:cs="Arial"/>
        </w:rPr>
        <w:t xml:space="preserve"> until 2010, when again service arose through the prompting of representatives</w:t>
      </w:r>
      <w:r w:rsidR="006C31E5" w:rsidRPr="00C522DE">
        <w:rPr>
          <w:rFonts w:ascii="Book Antiqua" w:hAnsi="Book Antiqua" w:cs="Arial"/>
        </w:rPr>
        <w:t>. T</w:t>
      </w:r>
      <w:r w:rsidR="00C72AFF" w:rsidRPr="00C522DE">
        <w:rPr>
          <w:rFonts w:ascii="Book Antiqua" w:hAnsi="Book Antiqua" w:cs="Arial"/>
        </w:rPr>
        <w:t xml:space="preserve">here is nothing perverse about </w:t>
      </w:r>
      <w:r w:rsidR="006C31E5" w:rsidRPr="00C522DE">
        <w:rPr>
          <w:rFonts w:ascii="Book Antiqua" w:hAnsi="Book Antiqua" w:cs="Arial"/>
        </w:rPr>
        <w:t>the FTTJ’s</w:t>
      </w:r>
      <w:r w:rsidR="00C72AFF" w:rsidRPr="00C522DE">
        <w:rPr>
          <w:rFonts w:ascii="Book Antiqua" w:hAnsi="Book Antiqua" w:cs="Arial"/>
        </w:rPr>
        <w:t xml:space="preserve"> inclusion of the</w:t>
      </w:r>
      <w:r w:rsidR="003F3EF2" w:rsidRPr="00C522DE">
        <w:rPr>
          <w:rFonts w:ascii="Book Antiqua" w:hAnsi="Book Antiqua" w:cs="Arial"/>
        </w:rPr>
        <w:t xml:space="preserve">se failures of the </w:t>
      </w:r>
      <w:r w:rsidR="00C72AFF" w:rsidRPr="00C522DE">
        <w:rPr>
          <w:rFonts w:ascii="Book Antiqua" w:hAnsi="Book Antiqua" w:cs="Arial"/>
        </w:rPr>
        <w:t>respondent</w:t>
      </w:r>
      <w:r w:rsidR="003F3EF2" w:rsidRPr="00C522DE">
        <w:rPr>
          <w:rFonts w:ascii="Book Antiqua" w:hAnsi="Book Antiqua" w:cs="Arial"/>
        </w:rPr>
        <w:t xml:space="preserve"> in</w:t>
      </w:r>
      <w:r w:rsidR="006C31E5" w:rsidRPr="00C522DE">
        <w:rPr>
          <w:rFonts w:ascii="Book Antiqua" w:hAnsi="Book Antiqua" w:cs="Arial"/>
        </w:rPr>
        <w:t xml:space="preserve"> operat</w:t>
      </w:r>
      <w:r w:rsidR="003F3EF2" w:rsidRPr="00C522DE">
        <w:rPr>
          <w:rFonts w:ascii="Book Antiqua" w:hAnsi="Book Antiqua" w:cs="Arial"/>
        </w:rPr>
        <w:t>ing</w:t>
      </w:r>
      <w:r w:rsidR="006C31E5" w:rsidRPr="00C522DE">
        <w:rPr>
          <w:rFonts w:ascii="Book Antiqua" w:hAnsi="Book Antiqua" w:cs="Arial"/>
        </w:rPr>
        <w:t xml:space="preserve"> </w:t>
      </w:r>
      <w:r w:rsidR="00C72AFF" w:rsidRPr="00C522DE">
        <w:rPr>
          <w:rFonts w:ascii="Book Antiqua" w:hAnsi="Book Antiqua" w:cs="Arial"/>
        </w:rPr>
        <w:t xml:space="preserve">effective immigration control in the balancing exercise, or finding </w:t>
      </w:r>
      <w:r w:rsidR="003F3EF2" w:rsidRPr="00C522DE">
        <w:rPr>
          <w:rFonts w:ascii="Book Antiqua" w:hAnsi="Book Antiqua" w:cs="Arial"/>
        </w:rPr>
        <w:t xml:space="preserve">that </w:t>
      </w:r>
      <w:r w:rsidR="00C72AFF" w:rsidRPr="00C522DE">
        <w:rPr>
          <w:rFonts w:ascii="Book Antiqua" w:hAnsi="Book Antiqua" w:cs="Arial"/>
        </w:rPr>
        <w:t>delay operated</w:t>
      </w:r>
      <w:r w:rsidR="003F3EF2" w:rsidRPr="00C522DE">
        <w:rPr>
          <w:rFonts w:ascii="Book Antiqua" w:hAnsi="Book Antiqua" w:cs="Arial"/>
        </w:rPr>
        <w:t xml:space="preserve">, in the </w:t>
      </w:r>
      <w:r w:rsidR="00D4771E" w:rsidRPr="00C522DE">
        <w:rPr>
          <w:rFonts w:ascii="Book Antiqua" w:hAnsi="Book Antiqua" w:cs="Arial"/>
        </w:rPr>
        <w:t>round, as</w:t>
      </w:r>
      <w:r w:rsidR="00C72AFF" w:rsidRPr="00C522DE">
        <w:rPr>
          <w:rFonts w:ascii="Book Antiqua" w:hAnsi="Book Antiqua" w:cs="Arial"/>
        </w:rPr>
        <w:t xml:space="preserve"> a compelling circumstance. </w:t>
      </w:r>
      <w:r w:rsidRPr="00C522DE">
        <w:rPr>
          <w:rFonts w:ascii="Book Antiqua" w:hAnsi="Book Antiqua" w:cs="Arial"/>
        </w:rPr>
        <w:t xml:space="preserve">There is no issue that the assessment covered a variety, and all of the relevant factors, so that the case was looked at in the round. </w:t>
      </w:r>
    </w:p>
    <w:p w:rsidR="005871F7" w:rsidRPr="00C522DE" w:rsidRDefault="002E237A" w:rsidP="000B4CFF">
      <w:pPr>
        <w:numPr>
          <w:ilvl w:val="0"/>
          <w:numId w:val="3"/>
        </w:numPr>
        <w:spacing w:before="240"/>
        <w:jc w:val="both"/>
        <w:rPr>
          <w:rFonts w:ascii="Book Antiqua" w:hAnsi="Book Antiqua" w:cs="Arial"/>
        </w:rPr>
      </w:pPr>
      <w:r w:rsidRPr="00C522DE">
        <w:rPr>
          <w:rFonts w:ascii="Book Antiqua" w:hAnsi="Book Antiqua" w:cs="Arial"/>
        </w:rPr>
        <w:t xml:space="preserve">The grounds also challenge the balancing exercise on the basis that </w:t>
      </w:r>
      <w:r w:rsidR="00C72AFF" w:rsidRPr="00C522DE">
        <w:rPr>
          <w:rFonts w:ascii="Book Antiqua" w:hAnsi="Book Antiqua" w:cs="Arial"/>
        </w:rPr>
        <w:t xml:space="preserve">the FTTJ overlooked that the appellant should have left in 2008 when the respondent had refused his in-time application to switch from lawful working holidaymaker status to that of a student, instead of remaining and making the application which </w:t>
      </w:r>
      <w:r w:rsidR="005871F7" w:rsidRPr="00C522DE">
        <w:rPr>
          <w:rFonts w:ascii="Book Antiqua" w:hAnsi="Book Antiqua" w:cs="Arial"/>
        </w:rPr>
        <w:t xml:space="preserve">was subject of the appeal </w:t>
      </w:r>
      <w:r w:rsidR="00C72AFF" w:rsidRPr="00C522DE">
        <w:rPr>
          <w:rFonts w:ascii="Book Antiqua" w:hAnsi="Book Antiqua" w:cs="Arial"/>
        </w:rPr>
        <w:t xml:space="preserve">in February 2011. </w:t>
      </w:r>
      <w:r w:rsidRPr="00C522DE">
        <w:rPr>
          <w:rFonts w:ascii="Book Antiqua" w:hAnsi="Book Antiqua" w:cs="Arial"/>
        </w:rPr>
        <w:t xml:space="preserve">I find that there is no merit in the submission. </w:t>
      </w:r>
      <w:r w:rsidR="005871F7" w:rsidRPr="00C522DE">
        <w:rPr>
          <w:rFonts w:ascii="Book Antiqua" w:hAnsi="Book Antiqua" w:cs="Arial"/>
        </w:rPr>
        <w:t xml:space="preserve">As Mr Tarlow had to concede </w:t>
      </w:r>
      <w:r w:rsidR="00C72AFF" w:rsidRPr="00C522DE">
        <w:rPr>
          <w:rFonts w:ascii="Book Antiqua" w:hAnsi="Book Antiqua" w:cs="Arial"/>
        </w:rPr>
        <w:t>the</w:t>
      </w:r>
      <w:r w:rsidR="005871F7" w:rsidRPr="00C522DE">
        <w:rPr>
          <w:rFonts w:ascii="Book Antiqua" w:hAnsi="Book Antiqua" w:cs="Arial"/>
        </w:rPr>
        <w:t xml:space="preserve"> evidence is that the</w:t>
      </w:r>
      <w:r w:rsidR="00C72AFF" w:rsidRPr="00C522DE">
        <w:rPr>
          <w:rFonts w:ascii="Book Antiqua" w:hAnsi="Book Antiqua" w:cs="Arial"/>
        </w:rPr>
        <w:t xml:space="preserve"> 2008 decision, inexplicably, was not served until </w:t>
      </w:r>
      <w:r w:rsidR="005871F7" w:rsidRPr="00C522DE">
        <w:rPr>
          <w:rFonts w:ascii="Book Antiqua" w:hAnsi="Book Antiqua" w:cs="Arial"/>
        </w:rPr>
        <w:t xml:space="preserve">October </w:t>
      </w:r>
      <w:r w:rsidR="00C72AFF" w:rsidRPr="00C522DE">
        <w:rPr>
          <w:rFonts w:ascii="Book Antiqua" w:hAnsi="Book Antiqua" w:cs="Arial"/>
        </w:rPr>
        <w:t>2010, and accordingly there was no proper basis for expecting the appellant to leave in 2008</w:t>
      </w:r>
      <w:r w:rsidR="005871F7" w:rsidRPr="00C522DE">
        <w:rPr>
          <w:rFonts w:ascii="Book Antiqua" w:hAnsi="Book Antiqua" w:cs="Arial"/>
        </w:rPr>
        <w:t xml:space="preserve"> so as to establish a protracted period </w:t>
      </w:r>
      <w:r w:rsidR="00E90DF8" w:rsidRPr="00C522DE">
        <w:rPr>
          <w:rFonts w:ascii="Book Antiqua" w:hAnsi="Book Antiqua" w:cs="Arial"/>
        </w:rPr>
        <w:t>of</w:t>
      </w:r>
      <w:r w:rsidR="005871F7" w:rsidRPr="00C522DE">
        <w:rPr>
          <w:rFonts w:ascii="Book Antiqua" w:hAnsi="Book Antiqua" w:cs="Arial"/>
        </w:rPr>
        <w:t xml:space="preserve"> overstaying</w:t>
      </w:r>
      <w:r w:rsidR="00C72AFF" w:rsidRPr="00C522DE">
        <w:rPr>
          <w:rFonts w:ascii="Book Antiqua" w:hAnsi="Book Antiqua" w:cs="Arial"/>
        </w:rPr>
        <w:t xml:space="preserve">. Reading the decision as a whole it is clear </w:t>
      </w:r>
      <w:r w:rsidR="00E90DF8" w:rsidRPr="00C522DE">
        <w:rPr>
          <w:rFonts w:ascii="Book Antiqua" w:hAnsi="Book Antiqua" w:cs="Arial"/>
        </w:rPr>
        <w:t>the FTTJ when,</w:t>
      </w:r>
      <w:r w:rsidR="00C72AFF" w:rsidRPr="00C522DE">
        <w:rPr>
          <w:rFonts w:ascii="Book Antiqua" w:hAnsi="Book Antiqua" w:cs="Arial"/>
        </w:rPr>
        <w:t xml:space="preserve"> at [55]</w:t>
      </w:r>
      <w:r w:rsidR="00E90DF8" w:rsidRPr="00C522DE">
        <w:rPr>
          <w:rFonts w:ascii="Book Antiqua" w:hAnsi="Book Antiqua" w:cs="Arial"/>
        </w:rPr>
        <w:t>,</w:t>
      </w:r>
      <w:r w:rsidR="00C72AFF" w:rsidRPr="00C522DE">
        <w:rPr>
          <w:rFonts w:ascii="Book Antiqua" w:hAnsi="Book Antiqua" w:cs="Arial"/>
        </w:rPr>
        <w:t xml:space="preserve"> following quite a detailed consideration of the position as between the appellant and the respondent in the context of the immigration history in the 4 preceding pages, says that he does not consider that the appellant’s immigration history can </w:t>
      </w:r>
      <w:r w:rsidR="005871F7" w:rsidRPr="00C522DE">
        <w:rPr>
          <w:rFonts w:ascii="Book Antiqua" w:hAnsi="Book Antiqua" w:cs="Arial"/>
        </w:rPr>
        <w:t>“</w:t>
      </w:r>
      <w:r w:rsidR="00C72AFF" w:rsidRPr="00C522DE">
        <w:rPr>
          <w:rFonts w:ascii="Book Antiqua" w:hAnsi="Book Antiqua" w:cs="Arial"/>
        </w:rPr>
        <w:t>properly</w:t>
      </w:r>
      <w:r w:rsidR="005871F7" w:rsidRPr="00C522DE">
        <w:rPr>
          <w:rFonts w:ascii="Book Antiqua" w:hAnsi="Book Antiqua" w:cs="Arial"/>
        </w:rPr>
        <w:t>”</w:t>
      </w:r>
      <w:r w:rsidR="00C72AFF" w:rsidRPr="00C522DE">
        <w:rPr>
          <w:rFonts w:ascii="Book Antiqua" w:hAnsi="Book Antiqua" w:cs="Arial"/>
        </w:rPr>
        <w:t xml:space="preserve"> be criticised, he is referring back to the resolution of that dispute at [48].</w:t>
      </w:r>
      <w:r w:rsidR="005871F7" w:rsidRPr="00C522DE">
        <w:rPr>
          <w:rFonts w:ascii="Book Antiqua" w:hAnsi="Book Antiqua" w:cs="Arial"/>
        </w:rPr>
        <w:t xml:space="preserve"> </w:t>
      </w:r>
      <w:r w:rsidRPr="00C522DE">
        <w:rPr>
          <w:rFonts w:ascii="Book Antiqua" w:hAnsi="Book Antiqua" w:cs="Arial"/>
        </w:rPr>
        <w:t>Whilst the wording is possibly infelicitous the FTTJ judge is doing no more than rejecting the argument that the public interest in immigration control gains weight from the appellant’s conduct of a protracted overstay.</w:t>
      </w:r>
    </w:p>
    <w:p w:rsidR="00457778" w:rsidRPr="00C522DE" w:rsidRDefault="002C5837" w:rsidP="00457778">
      <w:pPr>
        <w:numPr>
          <w:ilvl w:val="0"/>
          <w:numId w:val="3"/>
        </w:numPr>
        <w:spacing w:before="240"/>
        <w:jc w:val="both"/>
        <w:rPr>
          <w:rFonts w:ascii="Book Antiqua" w:hAnsi="Book Antiqua" w:cs="Arial"/>
        </w:rPr>
      </w:pPr>
      <w:r w:rsidRPr="00C522DE">
        <w:rPr>
          <w:rFonts w:ascii="Book Antiqua" w:hAnsi="Book Antiqua" w:cs="Arial"/>
        </w:rPr>
        <w:t xml:space="preserve">The FTTJ, for reasons which are not challenged, finds the appellant credible. </w:t>
      </w:r>
      <w:r w:rsidR="007F5EB2" w:rsidRPr="00C522DE">
        <w:rPr>
          <w:rFonts w:ascii="Book Antiqua" w:hAnsi="Book Antiqua" w:cs="Arial"/>
        </w:rPr>
        <w:t>The FTTJ accepted,</w:t>
      </w:r>
      <w:r w:rsidRPr="00C522DE">
        <w:rPr>
          <w:rFonts w:ascii="Book Antiqua" w:hAnsi="Book Antiqua" w:cs="Arial"/>
        </w:rPr>
        <w:t xml:space="preserve"> particularly in the context of the time spent waiting for the resolution of his application, </w:t>
      </w:r>
      <w:r w:rsidR="007F5EB2" w:rsidRPr="00C522DE">
        <w:rPr>
          <w:rFonts w:ascii="Book Antiqua" w:hAnsi="Book Antiqua" w:cs="Arial"/>
        </w:rPr>
        <w:t xml:space="preserve">that the appellant’s </w:t>
      </w:r>
      <w:r w:rsidRPr="00C522DE">
        <w:rPr>
          <w:rFonts w:ascii="Book Antiqua" w:hAnsi="Book Antiqua" w:cs="Arial"/>
        </w:rPr>
        <w:t xml:space="preserve">Private life, including the familial (but not family life) </w:t>
      </w:r>
      <w:r w:rsidRPr="00C522DE">
        <w:rPr>
          <w:rFonts w:ascii="Book Antiqua" w:hAnsi="Book Antiqua" w:cs="Arial"/>
        </w:rPr>
        <w:lastRenderedPageBreak/>
        <w:t>relationships that he enjoys with his brother and his brother’s wife and children ha</w:t>
      </w:r>
      <w:r w:rsidR="007F5EB2" w:rsidRPr="00C522DE">
        <w:rPr>
          <w:rFonts w:ascii="Book Antiqua" w:hAnsi="Book Antiqua" w:cs="Arial"/>
        </w:rPr>
        <w:t>s</w:t>
      </w:r>
      <w:r w:rsidRPr="00C522DE">
        <w:rPr>
          <w:rFonts w:ascii="Book Antiqua" w:hAnsi="Book Antiqua" w:cs="Arial"/>
        </w:rPr>
        <w:t xml:space="preserve"> deepened. There is nothing remarkable about that finding because the appellant lives with them</w:t>
      </w:r>
      <w:r w:rsidR="007F5EB2" w:rsidRPr="00C522DE">
        <w:rPr>
          <w:rFonts w:ascii="Book Antiqua" w:hAnsi="Book Antiqua" w:cs="Arial"/>
        </w:rPr>
        <w:t xml:space="preserve"> and the time has been considerable.</w:t>
      </w:r>
      <w:r w:rsidRPr="00C522DE">
        <w:rPr>
          <w:rFonts w:ascii="Book Antiqua" w:hAnsi="Book Antiqua" w:cs="Arial"/>
        </w:rPr>
        <w:t xml:space="preserve"> </w:t>
      </w:r>
      <w:r w:rsidR="007F5EB2" w:rsidRPr="00C522DE">
        <w:rPr>
          <w:rFonts w:ascii="Book Antiqua" w:hAnsi="Book Antiqua" w:cs="Arial"/>
        </w:rPr>
        <w:t xml:space="preserve">The grounds complain that the FTTJ is speculative in finding that he will not be a burden on public funds because he will accept an offer of work in a restaurant because such work is readily available.  </w:t>
      </w:r>
      <w:r w:rsidRPr="00C522DE">
        <w:rPr>
          <w:rFonts w:ascii="Book Antiqua" w:hAnsi="Book Antiqua" w:cs="Arial"/>
        </w:rPr>
        <w:t>The</w:t>
      </w:r>
      <w:r w:rsidR="007F5EB2" w:rsidRPr="00C522DE">
        <w:rPr>
          <w:rFonts w:ascii="Book Antiqua" w:hAnsi="Book Antiqua" w:cs="Arial"/>
        </w:rPr>
        <w:t xml:space="preserve"> criticism is partial, ignoring the</w:t>
      </w:r>
      <w:r w:rsidRPr="00C522DE">
        <w:rPr>
          <w:rFonts w:ascii="Book Antiqua" w:hAnsi="Book Antiqua" w:cs="Arial"/>
        </w:rPr>
        <w:t xml:space="preserve"> FTTJ</w:t>
      </w:r>
      <w:r w:rsidR="007F5EB2" w:rsidRPr="00C522DE">
        <w:rPr>
          <w:rFonts w:ascii="Book Antiqua" w:hAnsi="Book Antiqua" w:cs="Arial"/>
        </w:rPr>
        <w:t xml:space="preserve">’s satisfaction that he has not been a burden on public funds in the 11 ½ years he has been here, that he came as a working holiday maker originally, and </w:t>
      </w:r>
      <w:r w:rsidRPr="00C522DE">
        <w:rPr>
          <w:rFonts w:ascii="Book Antiqua" w:hAnsi="Book Antiqua" w:cs="Arial"/>
        </w:rPr>
        <w:t>has received offers of employment</w:t>
      </w:r>
      <w:r w:rsidR="007F5EB2" w:rsidRPr="00C522DE">
        <w:rPr>
          <w:rFonts w:ascii="Book Antiqua" w:hAnsi="Book Antiqua" w:cs="Arial"/>
        </w:rPr>
        <w:t xml:space="preserve">, including the </w:t>
      </w:r>
      <w:r w:rsidRPr="00C522DE">
        <w:rPr>
          <w:rFonts w:ascii="Book Antiqua" w:hAnsi="Book Antiqua" w:cs="Arial"/>
        </w:rPr>
        <w:t>one supported in writing</w:t>
      </w:r>
      <w:r w:rsidR="007F5EB2" w:rsidRPr="00C522DE">
        <w:rPr>
          <w:rFonts w:ascii="Book Antiqua" w:hAnsi="Book Antiqua" w:cs="Arial"/>
        </w:rPr>
        <w:t xml:space="preserve"> before the FTTJ</w:t>
      </w:r>
      <w:r w:rsidRPr="00C522DE">
        <w:rPr>
          <w:rFonts w:ascii="Book Antiqua" w:hAnsi="Book Antiqua" w:cs="Arial"/>
        </w:rPr>
        <w:t xml:space="preserve">, </w:t>
      </w:r>
      <w:r w:rsidR="007F5EB2" w:rsidRPr="00C522DE">
        <w:rPr>
          <w:rFonts w:ascii="Book Antiqua" w:hAnsi="Book Antiqua" w:cs="Arial"/>
        </w:rPr>
        <w:t xml:space="preserve">which in oral evidence he said he would take up. </w:t>
      </w:r>
      <w:r w:rsidRPr="00C522DE">
        <w:rPr>
          <w:rFonts w:ascii="Book Antiqua" w:hAnsi="Book Antiqua" w:cs="Arial"/>
        </w:rPr>
        <w:t xml:space="preserve"> </w:t>
      </w:r>
      <w:r w:rsidR="007F5EB2" w:rsidRPr="00C522DE">
        <w:rPr>
          <w:rFonts w:ascii="Book Antiqua" w:hAnsi="Book Antiqua" w:cs="Arial"/>
        </w:rPr>
        <w:t>The grounds also overstate the importance the FTTJ places on the issue</w:t>
      </w:r>
      <w:r w:rsidR="00457778" w:rsidRPr="00C522DE">
        <w:rPr>
          <w:rFonts w:ascii="Book Antiqua" w:hAnsi="Book Antiqua" w:cs="Arial"/>
        </w:rPr>
        <w:t xml:space="preserve"> because reading the decision as a whole</w:t>
      </w:r>
      <w:r w:rsidR="00CC061F" w:rsidRPr="00C522DE">
        <w:rPr>
          <w:rFonts w:ascii="Book Antiqua" w:hAnsi="Book Antiqua" w:cs="Arial"/>
        </w:rPr>
        <w:t>,</w:t>
      </w:r>
      <w:r w:rsidR="00457778" w:rsidRPr="00C522DE">
        <w:rPr>
          <w:rFonts w:ascii="Book Antiqua" w:hAnsi="Book Antiqua" w:cs="Arial"/>
        </w:rPr>
        <w:t xml:space="preserve"> the FTTJ </w:t>
      </w:r>
      <w:r w:rsidR="007F5EB2" w:rsidRPr="00C522DE">
        <w:rPr>
          <w:rFonts w:ascii="Book Antiqua" w:hAnsi="Book Antiqua" w:cs="Arial"/>
        </w:rPr>
        <w:t xml:space="preserve">is simply making the findings commensurate with </w:t>
      </w:r>
      <w:r w:rsidR="00CC061F" w:rsidRPr="00C522DE">
        <w:rPr>
          <w:rFonts w:ascii="Book Antiqua" w:hAnsi="Book Antiqua" w:cs="Arial"/>
        </w:rPr>
        <w:t>s117 and</w:t>
      </w:r>
      <w:r w:rsidR="00457778" w:rsidRPr="00C522DE">
        <w:rPr>
          <w:rFonts w:ascii="Book Antiqua" w:hAnsi="Book Antiqua" w:cs="Arial"/>
        </w:rPr>
        <w:t xml:space="preserve"> goes on to find that the private life in any event carries little weight. </w:t>
      </w:r>
      <w:r w:rsidR="00CC061F" w:rsidRPr="00C522DE">
        <w:rPr>
          <w:rFonts w:ascii="Book Antiqua" w:hAnsi="Book Antiqua" w:cs="Arial"/>
        </w:rPr>
        <w:t xml:space="preserve">That is not to say however that it carries no weight. </w:t>
      </w:r>
      <w:r w:rsidR="00457778" w:rsidRPr="00C522DE">
        <w:rPr>
          <w:rFonts w:ascii="Book Antiqua" w:hAnsi="Book Antiqua" w:cs="Arial"/>
        </w:rPr>
        <w:t>Similarly, and contrary to the grounds, that the appellant used an interpreter at the hearing does not carry significance, as the FTTJ has accurately stated the position.</w:t>
      </w:r>
    </w:p>
    <w:p w:rsidR="002E237A" w:rsidRPr="00C522DE" w:rsidRDefault="004406B1" w:rsidP="00692B2E">
      <w:pPr>
        <w:numPr>
          <w:ilvl w:val="0"/>
          <w:numId w:val="3"/>
        </w:numPr>
        <w:spacing w:before="240"/>
        <w:jc w:val="both"/>
        <w:rPr>
          <w:rFonts w:ascii="Book Antiqua" w:hAnsi="Book Antiqua" w:cs="Arial"/>
        </w:rPr>
      </w:pPr>
      <w:r w:rsidRPr="00C522DE">
        <w:rPr>
          <w:rFonts w:ascii="Book Antiqua" w:hAnsi="Book Antiqua" w:cs="Arial"/>
        </w:rPr>
        <w:t>The FTTJ considers the appellant’s position on return</w:t>
      </w:r>
      <w:r w:rsidR="00457778" w:rsidRPr="00C522DE">
        <w:rPr>
          <w:rFonts w:ascii="Book Antiqua" w:hAnsi="Book Antiqua" w:cs="Arial"/>
        </w:rPr>
        <w:t xml:space="preserve"> and</w:t>
      </w:r>
      <w:r w:rsidRPr="00C522DE">
        <w:rPr>
          <w:rFonts w:ascii="Book Antiqua" w:hAnsi="Book Antiqua" w:cs="Arial"/>
        </w:rPr>
        <w:t xml:space="preserve"> </w:t>
      </w:r>
      <w:r w:rsidR="002C5837" w:rsidRPr="00C522DE">
        <w:rPr>
          <w:rFonts w:ascii="Book Antiqua" w:hAnsi="Book Antiqua" w:cs="Arial"/>
        </w:rPr>
        <w:t>accepts that his links to Bangladesh ha</w:t>
      </w:r>
      <w:r w:rsidR="00457778" w:rsidRPr="00C522DE">
        <w:rPr>
          <w:rFonts w:ascii="Book Antiqua" w:hAnsi="Book Antiqua" w:cs="Arial"/>
        </w:rPr>
        <w:t>ve</w:t>
      </w:r>
      <w:r w:rsidR="002C5837" w:rsidRPr="00C522DE">
        <w:rPr>
          <w:rFonts w:ascii="Book Antiqua" w:hAnsi="Book Antiqua" w:cs="Arial"/>
        </w:rPr>
        <w:t xml:space="preserve"> weakened the longer he has remained. He </w:t>
      </w:r>
      <w:r w:rsidR="000D7FB4" w:rsidRPr="00C522DE">
        <w:rPr>
          <w:rFonts w:ascii="Book Antiqua" w:hAnsi="Book Antiqua" w:cs="Arial"/>
        </w:rPr>
        <w:t>f</w:t>
      </w:r>
      <w:r w:rsidR="00D12A3D" w:rsidRPr="00C522DE">
        <w:rPr>
          <w:rFonts w:ascii="Book Antiqua" w:hAnsi="Book Antiqua" w:cs="Arial"/>
        </w:rPr>
        <w:t>inds</w:t>
      </w:r>
      <w:r w:rsidR="000D7FB4" w:rsidRPr="00C522DE">
        <w:rPr>
          <w:rFonts w:ascii="Book Antiqua" w:hAnsi="Book Antiqua" w:cs="Arial"/>
        </w:rPr>
        <w:t xml:space="preserve"> he </w:t>
      </w:r>
      <w:r w:rsidRPr="00C522DE">
        <w:rPr>
          <w:rFonts w:ascii="Book Antiqua" w:hAnsi="Book Antiqua" w:cs="Arial"/>
        </w:rPr>
        <w:t>i</w:t>
      </w:r>
      <w:r w:rsidR="000D7FB4" w:rsidRPr="00C522DE">
        <w:rPr>
          <w:rFonts w:ascii="Book Antiqua" w:hAnsi="Book Antiqua" w:cs="Arial"/>
        </w:rPr>
        <w:t xml:space="preserve">s unable to return to live with </w:t>
      </w:r>
      <w:r w:rsidRPr="00C522DE">
        <w:rPr>
          <w:rFonts w:ascii="Book Antiqua" w:hAnsi="Book Antiqua" w:cs="Arial"/>
        </w:rPr>
        <w:t>his father, has</w:t>
      </w:r>
      <w:r w:rsidR="000D7FB4" w:rsidRPr="00C522DE">
        <w:rPr>
          <w:rFonts w:ascii="Book Antiqua" w:hAnsi="Book Antiqua" w:cs="Arial"/>
        </w:rPr>
        <w:t xml:space="preserve"> no other family members in Bangladesh, and </w:t>
      </w:r>
      <w:r w:rsidRPr="00C522DE">
        <w:rPr>
          <w:rFonts w:ascii="Book Antiqua" w:hAnsi="Book Antiqua" w:cs="Arial"/>
        </w:rPr>
        <w:t>has</w:t>
      </w:r>
      <w:r w:rsidR="000D7FB4" w:rsidRPr="00C522DE">
        <w:rPr>
          <w:rFonts w:ascii="Book Antiqua" w:hAnsi="Book Antiqua" w:cs="Arial"/>
        </w:rPr>
        <w:t xml:space="preserve"> nobody there to whom he could turn to for financial or emotional support</w:t>
      </w:r>
      <w:r w:rsidR="00D12A3D" w:rsidRPr="00C522DE">
        <w:rPr>
          <w:rFonts w:ascii="Book Antiqua" w:hAnsi="Book Antiqua" w:cs="Arial"/>
        </w:rPr>
        <w:t xml:space="preserve">. Further, </w:t>
      </w:r>
      <w:r w:rsidR="000D7FB4" w:rsidRPr="00C522DE">
        <w:rPr>
          <w:rFonts w:ascii="Book Antiqua" w:hAnsi="Book Antiqua" w:cs="Arial"/>
        </w:rPr>
        <w:t xml:space="preserve">over the 11 ½ half years residence </w:t>
      </w:r>
      <w:r w:rsidRPr="00C522DE">
        <w:rPr>
          <w:rFonts w:ascii="Book Antiqua" w:hAnsi="Book Antiqua" w:cs="Arial"/>
        </w:rPr>
        <w:t>here,</w:t>
      </w:r>
      <w:r w:rsidR="00D12A3D" w:rsidRPr="00C522DE">
        <w:rPr>
          <w:rFonts w:ascii="Book Antiqua" w:hAnsi="Book Antiqua" w:cs="Arial"/>
        </w:rPr>
        <w:t xml:space="preserve"> has lost his contacts in Bangladesh and</w:t>
      </w:r>
      <w:r w:rsidRPr="00C522DE">
        <w:rPr>
          <w:rFonts w:ascii="Book Antiqua" w:hAnsi="Book Antiqua" w:cs="Arial"/>
        </w:rPr>
        <w:t xml:space="preserve">, </w:t>
      </w:r>
      <w:r w:rsidR="000D7FB4" w:rsidRPr="00C522DE">
        <w:rPr>
          <w:rFonts w:ascii="Book Antiqua" w:hAnsi="Book Antiqua" w:cs="Arial"/>
        </w:rPr>
        <w:t>in the conditions that obtain in Bangladesh</w:t>
      </w:r>
      <w:r w:rsidRPr="00C522DE">
        <w:rPr>
          <w:rFonts w:ascii="Book Antiqua" w:hAnsi="Book Antiqua" w:cs="Arial"/>
        </w:rPr>
        <w:t xml:space="preserve">, </w:t>
      </w:r>
      <w:r w:rsidR="000D7FB4" w:rsidRPr="00C522DE">
        <w:rPr>
          <w:rFonts w:ascii="Book Antiqua" w:hAnsi="Book Antiqua" w:cs="Arial"/>
        </w:rPr>
        <w:t>he would be in difficulties obtaining employment without the benefit of contacts.</w:t>
      </w:r>
      <w:r w:rsidRPr="00C522DE">
        <w:rPr>
          <w:rFonts w:ascii="Book Antiqua" w:hAnsi="Book Antiqua" w:cs="Arial"/>
        </w:rPr>
        <w:t xml:space="preserve"> The FTTJ found that although re-integration would be hard it would not amount to very significant obstacles under the private life rules. </w:t>
      </w:r>
      <w:r w:rsidR="00457778" w:rsidRPr="00C522DE">
        <w:rPr>
          <w:rFonts w:ascii="Book Antiqua" w:hAnsi="Book Antiqua" w:cs="Arial"/>
        </w:rPr>
        <w:t xml:space="preserve">Again, the ground’s complaint that the ability to speak Bengali has not been weighed lacks force. </w:t>
      </w:r>
      <w:r w:rsidR="002E237A" w:rsidRPr="00C522DE">
        <w:rPr>
          <w:rFonts w:ascii="Book Antiqua" w:hAnsi="Book Antiqua" w:cs="Arial"/>
        </w:rPr>
        <w:t xml:space="preserve">The grounds complain the FTTJ’s reference to the mirroring or correspondence of the increasing depth of links here and his decreasing links in Bangladesh is </w:t>
      </w:r>
      <w:r w:rsidR="00663537" w:rsidRPr="00C522DE">
        <w:rPr>
          <w:rFonts w:ascii="Book Antiqua" w:hAnsi="Book Antiqua" w:cs="Arial"/>
        </w:rPr>
        <w:t>out with</w:t>
      </w:r>
      <w:r w:rsidR="002E237A" w:rsidRPr="00C522DE">
        <w:rPr>
          <w:rFonts w:ascii="Book Antiqua" w:hAnsi="Book Antiqua" w:cs="Arial"/>
        </w:rPr>
        <w:t xml:space="preserve"> the evidence, ignore</w:t>
      </w:r>
      <w:r w:rsidR="00457778" w:rsidRPr="00C522DE">
        <w:rPr>
          <w:rFonts w:ascii="Book Antiqua" w:hAnsi="Book Antiqua" w:cs="Arial"/>
        </w:rPr>
        <w:t>s</w:t>
      </w:r>
      <w:r w:rsidR="002E237A" w:rsidRPr="00C522DE">
        <w:rPr>
          <w:rFonts w:ascii="Book Antiqua" w:hAnsi="Book Antiqua" w:cs="Arial"/>
        </w:rPr>
        <w:t xml:space="preserve"> the evidence and the credibility findings</w:t>
      </w:r>
      <w:r w:rsidR="00457778" w:rsidRPr="00C522DE">
        <w:rPr>
          <w:rFonts w:ascii="Book Antiqua" w:hAnsi="Book Antiqua" w:cs="Arial"/>
        </w:rPr>
        <w:t>,</w:t>
      </w:r>
      <w:r w:rsidR="002E237A" w:rsidRPr="00C522DE">
        <w:rPr>
          <w:rFonts w:ascii="Book Antiqua" w:hAnsi="Book Antiqua" w:cs="Arial"/>
        </w:rPr>
        <w:t xml:space="preserve"> and in any event nit-picks what is, in the context of the judgement as a whole, no more than a turn of phrase. </w:t>
      </w:r>
    </w:p>
    <w:p w:rsidR="004406B1" w:rsidRPr="00C522DE" w:rsidRDefault="002E237A" w:rsidP="00692B2E">
      <w:pPr>
        <w:numPr>
          <w:ilvl w:val="0"/>
          <w:numId w:val="3"/>
        </w:numPr>
        <w:spacing w:before="240"/>
        <w:jc w:val="both"/>
        <w:rPr>
          <w:rFonts w:ascii="Book Antiqua" w:hAnsi="Book Antiqua" w:cs="Arial"/>
        </w:rPr>
      </w:pPr>
      <w:r w:rsidRPr="00C522DE">
        <w:rPr>
          <w:rFonts w:ascii="Book Antiqua" w:hAnsi="Book Antiqua" w:cs="Arial"/>
        </w:rPr>
        <w:t xml:space="preserve">The FTTJ has made </w:t>
      </w:r>
      <w:r w:rsidR="002E4CF4" w:rsidRPr="00C522DE">
        <w:rPr>
          <w:rFonts w:ascii="Book Antiqua" w:hAnsi="Book Antiqua" w:cs="Arial"/>
        </w:rPr>
        <w:t xml:space="preserve">his </w:t>
      </w:r>
      <w:r w:rsidRPr="00C522DE">
        <w:rPr>
          <w:rFonts w:ascii="Book Antiqua" w:hAnsi="Book Antiqua" w:cs="Arial"/>
        </w:rPr>
        <w:t>assessment with reference to s117, which section provides a list of compulsory factors which must be taken into account</w:t>
      </w:r>
      <w:r w:rsidR="002E4CF4" w:rsidRPr="00C522DE">
        <w:rPr>
          <w:rFonts w:ascii="Book Antiqua" w:hAnsi="Book Antiqua" w:cs="Arial"/>
        </w:rPr>
        <w:t>. It</w:t>
      </w:r>
      <w:r w:rsidRPr="00C522DE">
        <w:rPr>
          <w:rFonts w:ascii="Book Antiqua" w:hAnsi="Book Antiqua" w:cs="Arial"/>
        </w:rPr>
        <w:t xml:space="preserve"> is a non-exhaustive list. </w:t>
      </w:r>
      <w:r w:rsidR="002E4CF4" w:rsidRPr="00C522DE">
        <w:rPr>
          <w:rFonts w:ascii="Book Antiqua" w:hAnsi="Book Antiqua" w:cs="Arial"/>
        </w:rPr>
        <w:t>T</w:t>
      </w:r>
      <w:r w:rsidR="00D12A3D" w:rsidRPr="00C522DE">
        <w:rPr>
          <w:rFonts w:ascii="Book Antiqua" w:hAnsi="Book Antiqua" w:cs="Arial"/>
        </w:rPr>
        <w:t xml:space="preserve">he FTTJ brings forward the </w:t>
      </w:r>
      <w:r w:rsidRPr="00C522DE">
        <w:rPr>
          <w:rFonts w:ascii="Book Antiqua" w:hAnsi="Book Antiqua" w:cs="Arial"/>
        </w:rPr>
        <w:t xml:space="preserve">correctness of the </w:t>
      </w:r>
      <w:r w:rsidR="00D12A3D" w:rsidRPr="00C522DE">
        <w:rPr>
          <w:rFonts w:ascii="Book Antiqua" w:hAnsi="Book Antiqua" w:cs="Arial"/>
        </w:rPr>
        <w:t>rules-based conclusion as representing the public interest position</w:t>
      </w:r>
      <w:r w:rsidRPr="00C522DE">
        <w:rPr>
          <w:rFonts w:ascii="Book Antiqua" w:hAnsi="Book Antiqua" w:cs="Arial"/>
        </w:rPr>
        <w:t xml:space="preserve"> of Immigration Control</w:t>
      </w:r>
      <w:r w:rsidR="000D7FB4" w:rsidRPr="00C522DE">
        <w:rPr>
          <w:rFonts w:ascii="Book Antiqua" w:hAnsi="Book Antiqua" w:cs="Arial"/>
        </w:rPr>
        <w:t xml:space="preserve">. The FTTJ </w:t>
      </w:r>
      <w:r w:rsidR="002E4CF4" w:rsidRPr="00C522DE">
        <w:rPr>
          <w:rFonts w:ascii="Book Antiqua" w:hAnsi="Book Antiqua" w:cs="Arial"/>
        </w:rPr>
        <w:t xml:space="preserve">brings forward his </w:t>
      </w:r>
      <w:r w:rsidR="004406B1" w:rsidRPr="00C522DE">
        <w:rPr>
          <w:rFonts w:ascii="Book Antiqua" w:hAnsi="Book Antiqua" w:cs="Arial"/>
        </w:rPr>
        <w:t>asses</w:t>
      </w:r>
      <w:r w:rsidR="00D12A3D" w:rsidRPr="00C522DE">
        <w:rPr>
          <w:rFonts w:ascii="Book Antiqua" w:hAnsi="Book Antiqua" w:cs="Arial"/>
        </w:rPr>
        <w:t>s</w:t>
      </w:r>
      <w:r w:rsidR="002E4CF4" w:rsidRPr="00C522DE">
        <w:rPr>
          <w:rFonts w:ascii="Book Antiqua" w:hAnsi="Book Antiqua" w:cs="Arial"/>
        </w:rPr>
        <w:t xml:space="preserve">ment of </w:t>
      </w:r>
      <w:r w:rsidR="002C5837" w:rsidRPr="00C522DE">
        <w:rPr>
          <w:rFonts w:ascii="Book Antiqua" w:hAnsi="Book Antiqua" w:cs="Arial"/>
        </w:rPr>
        <w:t>the character</w:t>
      </w:r>
      <w:r w:rsidR="000D7FB4" w:rsidRPr="00C522DE">
        <w:rPr>
          <w:rFonts w:ascii="Book Antiqua" w:hAnsi="Book Antiqua" w:cs="Arial"/>
        </w:rPr>
        <w:t xml:space="preserve"> and </w:t>
      </w:r>
      <w:r w:rsidRPr="00C522DE">
        <w:rPr>
          <w:rFonts w:ascii="Book Antiqua" w:hAnsi="Book Antiqua" w:cs="Arial"/>
        </w:rPr>
        <w:t>quality</w:t>
      </w:r>
      <w:r w:rsidR="000D7FB4" w:rsidRPr="00C522DE">
        <w:rPr>
          <w:rFonts w:ascii="Book Antiqua" w:hAnsi="Book Antiqua" w:cs="Arial"/>
        </w:rPr>
        <w:t xml:space="preserve"> </w:t>
      </w:r>
      <w:r w:rsidR="002E4CF4" w:rsidRPr="00C522DE">
        <w:rPr>
          <w:rFonts w:ascii="Book Antiqua" w:hAnsi="Book Antiqua" w:cs="Arial"/>
        </w:rPr>
        <w:t>of the private life now enjoyed</w:t>
      </w:r>
      <w:r w:rsidR="002C5837" w:rsidRPr="00C522DE">
        <w:rPr>
          <w:rFonts w:ascii="Book Antiqua" w:hAnsi="Book Antiqua" w:cs="Arial"/>
        </w:rPr>
        <w:t xml:space="preserve"> </w:t>
      </w:r>
      <w:r w:rsidR="002E4CF4" w:rsidRPr="00C522DE">
        <w:rPr>
          <w:rFonts w:ascii="Book Antiqua" w:hAnsi="Book Antiqua" w:cs="Arial"/>
        </w:rPr>
        <w:t>and</w:t>
      </w:r>
      <w:r w:rsidR="00D12A3D" w:rsidRPr="00C522DE">
        <w:rPr>
          <w:rFonts w:ascii="Book Antiqua" w:hAnsi="Book Antiqua" w:cs="Arial"/>
        </w:rPr>
        <w:t xml:space="preserve"> corr</w:t>
      </w:r>
      <w:r w:rsidR="002C5837" w:rsidRPr="00C522DE">
        <w:rPr>
          <w:rFonts w:ascii="Book Antiqua" w:hAnsi="Book Antiqua" w:cs="Arial"/>
        </w:rPr>
        <w:t>ectly self-</w:t>
      </w:r>
      <w:r w:rsidR="00D12A3D" w:rsidRPr="00C522DE">
        <w:rPr>
          <w:rFonts w:ascii="Book Antiqua" w:hAnsi="Book Antiqua" w:cs="Arial"/>
        </w:rPr>
        <w:t xml:space="preserve">directs </w:t>
      </w:r>
      <w:r w:rsidR="002C5837" w:rsidRPr="00C522DE">
        <w:rPr>
          <w:rFonts w:ascii="Book Antiqua" w:hAnsi="Book Antiqua" w:cs="Arial"/>
        </w:rPr>
        <w:t xml:space="preserve">at [48] </w:t>
      </w:r>
      <w:r w:rsidR="00D12A3D" w:rsidRPr="00C522DE">
        <w:rPr>
          <w:rFonts w:ascii="Book Antiqua" w:hAnsi="Book Antiqua" w:cs="Arial"/>
        </w:rPr>
        <w:t>that having been here on a temporary or precarious basis until October 2010</w:t>
      </w:r>
      <w:r w:rsidR="002C5837" w:rsidRPr="00C522DE">
        <w:rPr>
          <w:rFonts w:ascii="Book Antiqua" w:hAnsi="Book Antiqua" w:cs="Arial"/>
        </w:rPr>
        <w:t>,</w:t>
      </w:r>
      <w:r w:rsidR="00D12A3D" w:rsidRPr="00C522DE">
        <w:rPr>
          <w:rFonts w:ascii="Book Antiqua" w:hAnsi="Book Antiqua" w:cs="Arial"/>
        </w:rPr>
        <w:t xml:space="preserve"> and subsequently unlawfully </w:t>
      </w:r>
      <w:r w:rsidRPr="00C522DE">
        <w:rPr>
          <w:rFonts w:ascii="Book Antiqua" w:hAnsi="Book Antiqua" w:cs="Arial"/>
        </w:rPr>
        <w:t xml:space="preserve">his private life here </w:t>
      </w:r>
      <w:r w:rsidR="000D7FB4" w:rsidRPr="00C522DE">
        <w:rPr>
          <w:rFonts w:ascii="Book Antiqua" w:hAnsi="Book Antiqua" w:cs="Arial"/>
        </w:rPr>
        <w:t>carries</w:t>
      </w:r>
      <w:r w:rsidR="00D4771E" w:rsidRPr="00C522DE">
        <w:rPr>
          <w:rFonts w:ascii="Book Antiqua" w:hAnsi="Book Antiqua" w:cs="Arial"/>
        </w:rPr>
        <w:t xml:space="preserve"> little weight</w:t>
      </w:r>
      <w:r w:rsidR="000D7FB4" w:rsidRPr="00C522DE">
        <w:rPr>
          <w:rFonts w:ascii="Book Antiqua" w:hAnsi="Book Antiqua" w:cs="Arial"/>
        </w:rPr>
        <w:t>.</w:t>
      </w:r>
      <w:r w:rsidR="004406B1" w:rsidRPr="00C522DE">
        <w:rPr>
          <w:rFonts w:ascii="Book Antiqua" w:hAnsi="Book Antiqua" w:cs="Arial"/>
        </w:rPr>
        <w:t xml:space="preserve"> </w:t>
      </w:r>
      <w:r w:rsidRPr="00C522DE">
        <w:rPr>
          <w:rFonts w:ascii="Book Antiqua" w:hAnsi="Book Antiqua" w:cs="Arial"/>
        </w:rPr>
        <w:t>The FTFJ has expressly discharged the obligation to take into account section 117, and his dealing with those factors at [47] and [48] reveals substantive rather than formulaic consideration.</w:t>
      </w:r>
    </w:p>
    <w:p w:rsidR="00663537" w:rsidRPr="00C522DE" w:rsidRDefault="00503EB7" w:rsidP="00782CEC">
      <w:pPr>
        <w:numPr>
          <w:ilvl w:val="0"/>
          <w:numId w:val="3"/>
        </w:numPr>
        <w:spacing w:before="240"/>
        <w:jc w:val="both"/>
        <w:rPr>
          <w:rFonts w:ascii="Book Antiqua" w:hAnsi="Book Antiqua" w:cs="Arial"/>
        </w:rPr>
      </w:pPr>
      <w:r w:rsidRPr="00C522DE">
        <w:rPr>
          <w:rFonts w:ascii="Book Antiqua" w:hAnsi="Book Antiqua" w:cs="Arial"/>
        </w:rPr>
        <w:t>The judge correctly self-directed in respect of EB Kosovo</w:t>
      </w:r>
      <w:r w:rsidR="00663537" w:rsidRPr="00C522DE">
        <w:rPr>
          <w:rFonts w:ascii="Book Antiqua" w:hAnsi="Book Antiqua" w:cs="Arial"/>
        </w:rPr>
        <w:t>, it</w:t>
      </w:r>
      <w:r w:rsidR="00FD7D67" w:rsidRPr="00C522DE">
        <w:rPr>
          <w:rFonts w:ascii="Book Antiqua" w:hAnsi="Book Antiqua" w:cs="Arial"/>
        </w:rPr>
        <w:t xml:space="preserve"> </w:t>
      </w:r>
      <w:r w:rsidR="00CA199F" w:rsidRPr="00C522DE">
        <w:rPr>
          <w:rFonts w:ascii="Book Antiqua" w:hAnsi="Book Antiqua" w:cs="Arial"/>
        </w:rPr>
        <w:t>is</w:t>
      </w:r>
      <w:r w:rsidR="00FD7D67" w:rsidRPr="00C522DE">
        <w:rPr>
          <w:rFonts w:ascii="Book Antiqua" w:hAnsi="Book Antiqua" w:cs="Arial"/>
        </w:rPr>
        <w:t xml:space="preserve"> a 2008 case</w:t>
      </w:r>
      <w:r w:rsidR="00CA199F" w:rsidRPr="00C522DE">
        <w:rPr>
          <w:rFonts w:ascii="Book Antiqua" w:hAnsi="Book Antiqua" w:cs="Arial"/>
        </w:rPr>
        <w:t xml:space="preserve"> and so</w:t>
      </w:r>
      <w:r w:rsidR="00FD7D67" w:rsidRPr="00C522DE">
        <w:rPr>
          <w:rFonts w:ascii="Book Antiqua" w:hAnsi="Book Antiqua" w:cs="Arial"/>
        </w:rPr>
        <w:t xml:space="preserve"> is expressed in language </w:t>
      </w:r>
      <w:r w:rsidR="00663537" w:rsidRPr="00C522DE">
        <w:rPr>
          <w:rFonts w:ascii="Book Antiqua" w:hAnsi="Book Antiqua" w:cs="Arial"/>
        </w:rPr>
        <w:t xml:space="preserve">used before </w:t>
      </w:r>
      <w:r w:rsidR="00FD7D67" w:rsidRPr="00C522DE">
        <w:rPr>
          <w:rFonts w:ascii="Book Antiqua" w:hAnsi="Book Antiqua" w:cs="Arial"/>
        </w:rPr>
        <w:t xml:space="preserve">the </w:t>
      </w:r>
      <w:r w:rsidR="00663537" w:rsidRPr="00C522DE">
        <w:rPr>
          <w:rFonts w:ascii="Book Antiqua" w:hAnsi="Book Antiqua" w:cs="Arial"/>
        </w:rPr>
        <w:t xml:space="preserve">introduction of the </w:t>
      </w:r>
      <w:r w:rsidR="00FD7D67" w:rsidRPr="00C522DE">
        <w:rPr>
          <w:rFonts w:ascii="Book Antiqua" w:hAnsi="Book Antiqua" w:cs="Arial"/>
        </w:rPr>
        <w:t>framework of Section 117</w:t>
      </w:r>
      <w:r w:rsidR="009F731E" w:rsidRPr="00C522DE">
        <w:rPr>
          <w:rFonts w:ascii="Book Antiqua" w:hAnsi="Book Antiqua" w:cs="Arial"/>
        </w:rPr>
        <w:t xml:space="preserve"> of the 2002 Nationality, Immigration and Asylum Act.</w:t>
      </w:r>
      <w:r w:rsidR="00CA199F" w:rsidRPr="00C522DE">
        <w:rPr>
          <w:rFonts w:ascii="Book Antiqua" w:hAnsi="Book Antiqua" w:cs="Arial"/>
        </w:rPr>
        <w:t xml:space="preserve"> </w:t>
      </w:r>
      <w:r w:rsidR="00663537" w:rsidRPr="00C522DE">
        <w:rPr>
          <w:rFonts w:ascii="Book Antiqua" w:hAnsi="Book Antiqua" w:cs="Arial"/>
        </w:rPr>
        <w:t xml:space="preserve">Whilst immigration control is fixed as being in the public interest, weight is not fixed, but a matter for the judge, absent perversity. </w:t>
      </w:r>
      <w:r w:rsidR="00CA199F" w:rsidRPr="00C522DE">
        <w:rPr>
          <w:rFonts w:ascii="Book Antiqua" w:hAnsi="Book Antiqua" w:cs="Arial"/>
        </w:rPr>
        <w:t xml:space="preserve">The principles in </w:t>
      </w:r>
      <w:r w:rsidR="00CA199F" w:rsidRPr="00C522DE">
        <w:rPr>
          <w:rFonts w:ascii="Book Antiqua" w:hAnsi="Book Antiqua" w:cs="Arial"/>
          <w:u w:val="single"/>
        </w:rPr>
        <w:t>EB Kosovo</w:t>
      </w:r>
      <w:r w:rsidR="00CA199F" w:rsidRPr="00C522DE">
        <w:rPr>
          <w:rFonts w:ascii="Book Antiqua" w:hAnsi="Book Antiqua" w:cs="Arial"/>
        </w:rPr>
        <w:t xml:space="preserve"> still apply. </w:t>
      </w:r>
      <w:r w:rsidR="00663537" w:rsidRPr="00C522DE">
        <w:rPr>
          <w:rFonts w:ascii="Book Antiqua" w:hAnsi="Book Antiqua" w:cs="Arial"/>
        </w:rPr>
        <w:t>In this case d</w:t>
      </w:r>
      <w:r w:rsidR="002E4CF4" w:rsidRPr="00C522DE">
        <w:rPr>
          <w:rFonts w:ascii="Book Antiqua" w:hAnsi="Book Antiqua" w:cs="Arial"/>
        </w:rPr>
        <w:t xml:space="preserve">elay was </w:t>
      </w:r>
      <w:r w:rsidR="002E4CF4" w:rsidRPr="00C522DE">
        <w:rPr>
          <w:rFonts w:ascii="Book Antiqua" w:hAnsi="Book Antiqua" w:cs="Arial"/>
        </w:rPr>
        <w:lastRenderedPageBreak/>
        <w:t xml:space="preserve">justified as a relevant factor and the weight attributed </w:t>
      </w:r>
      <w:r w:rsidR="00CC061F" w:rsidRPr="00C522DE">
        <w:rPr>
          <w:rFonts w:ascii="Book Antiqua" w:hAnsi="Book Antiqua" w:cs="Arial"/>
        </w:rPr>
        <w:t>a</w:t>
      </w:r>
      <w:r w:rsidR="002E4CF4" w:rsidRPr="00C522DE">
        <w:rPr>
          <w:rFonts w:ascii="Book Antiqua" w:hAnsi="Book Antiqua" w:cs="Arial"/>
        </w:rPr>
        <w:t xml:space="preserve"> matter for the FTTJ. Whether delay </w:t>
      </w:r>
      <w:r w:rsidR="00663537" w:rsidRPr="00C522DE">
        <w:rPr>
          <w:rFonts w:ascii="Book Antiqua" w:hAnsi="Book Antiqua" w:cs="Arial"/>
        </w:rPr>
        <w:t>is dealt with</w:t>
      </w:r>
      <w:r w:rsidR="002E4CF4" w:rsidRPr="00C522DE">
        <w:rPr>
          <w:rFonts w:ascii="Book Antiqua" w:hAnsi="Book Antiqua" w:cs="Arial"/>
        </w:rPr>
        <w:t xml:space="preserve"> as part and parcel of the weight to be given the public interest in the context of rules-based immigration control or a factor weighing for the appellant in the context of giving rise</w:t>
      </w:r>
      <w:r w:rsidR="00663537" w:rsidRPr="00C522DE">
        <w:rPr>
          <w:rFonts w:ascii="Book Antiqua" w:hAnsi="Book Antiqua" w:cs="Arial"/>
        </w:rPr>
        <w:t>,</w:t>
      </w:r>
      <w:r w:rsidR="002E4CF4" w:rsidRPr="00C522DE">
        <w:rPr>
          <w:rFonts w:ascii="Book Antiqua" w:hAnsi="Book Antiqua" w:cs="Arial"/>
        </w:rPr>
        <w:t xml:space="preserve"> in the round</w:t>
      </w:r>
      <w:r w:rsidR="00663537" w:rsidRPr="00C522DE">
        <w:rPr>
          <w:rFonts w:ascii="Book Antiqua" w:hAnsi="Book Antiqua" w:cs="Arial"/>
        </w:rPr>
        <w:t>,</w:t>
      </w:r>
      <w:r w:rsidR="002E4CF4" w:rsidRPr="00C522DE">
        <w:rPr>
          <w:rFonts w:ascii="Book Antiqua" w:hAnsi="Book Antiqua" w:cs="Arial"/>
        </w:rPr>
        <w:t xml:space="preserve"> to exceptionally compelling circumstances</w:t>
      </w:r>
      <w:r w:rsidR="00663537" w:rsidRPr="00C522DE">
        <w:rPr>
          <w:rFonts w:ascii="Book Antiqua" w:hAnsi="Book Antiqua" w:cs="Arial"/>
        </w:rPr>
        <w:t xml:space="preserve"> as the FTTJ has done here</w:t>
      </w:r>
      <w:r w:rsidR="002E4CF4" w:rsidRPr="00C522DE">
        <w:rPr>
          <w:rFonts w:ascii="Book Antiqua" w:hAnsi="Book Antiqua" w:cs="Arial"/>
        </w:rPr>
        <w:t>, is a matter of style rather than substance. This is a non-deport case without any significant culpable adverse immigration history</w:t>
      </w:r>
      <w:r w:rsidR="00457778" w:rsidRPr="00C522DE">
        <w:rPr>
          <w:rFonts w:ascii="Book Antiqua" w:hAnsi="Book Antiqua" w:cs="Arial"/>
        </w:rPr>
        <w:t xml:space="preserve"> where there has been a breakdown of the immigration system</w:t>
      </w:r>
      <w:r w:rsidR="002E4CF4" w:rsidRPr="00C522DE">
        <w:rPr>
          <w:rFonts w:ascii="Book Antiqua" w:hAnsi="Book Antiqua" w:cs="Arial"/>
        </w:rPr>
        <w:t>.</w:t>
      </w:r>
      <w:r w:rsidR="00457778" w:rsidRPr="00C522DE">
        <w:rPr>
          <w:rFonts w:ascii="Book Antiqua" w:hAnsi="Book Antiqua" w:cs="Arial"/>
        </w:rPr>
        <w:t xml:space="preserve"> As </w:t>
      </w:r>
      <w:r w:rsidR="00663537" w:rsidRPr="00C522DE">
        <w:rPr>
          <w:rFonts w:ascii="Book Antiqua" w:hAnsi="Book Antiqua" w:cs="Arial"/>
        </w:rPr>
        <w:t>the FTTJ noted Hesha</w:t>
      </w:r>
      <w:r w:rsidR="00457778" w:rsidRPr="00C522DE">
        <w:rPr>
          <w:rFonts w:ascii="Book Antiqua" w:hAnsi="Book Antiqua" w:cs="Arial"/>
        </w:rPr>
        <w:t>m Ali</w:t>
      </w:r>
      <w:r w:rsidR="00663537" w:rsidRPr="00C522DE">
        <w:rPr>
          <w:rFonts w:ascii="Book Antiqua" w:hAnsi="Book Antiqua" w:cs="Arial"/>
        </w:rPr>
        <w:t xml:space="preserve"> v SSHD 2016 UKSC 60 </w:t>
      </w:r>
      <w:r w:rsidR="00457778" w:rsidRPr="00C522DE">
        <w:rPr>
          <w:rFonts w:ascii="Book Antiqua" w:hAnsi="Book Antiqua" w:cs="Arial"/>
        </w:rPr>
        <w:t xml:space="preserve">makes clear the FTTJ’s obligation is to </w:t>
      </w:r>
      <w:r w:rsidR="00663537" w:rsidRPr="00C522DE">
        <w:rPr>
          <w:rFonts w:ascii="Book Antiqua" w:hAnsi="Book Antiqua" w:cs="Arial"/>
        </w:rPr>
        <w:t xml:space="preserve">list out and </w:t>
      </w:r>
      <w:r w:rsidR="00457778" w:rsidRPr="00C522DE">
        <w:rPr>
          <w:rFonts w:ascii="Book Antiqua" w:hAnsi="Book Antiqua" w:cs="Arial"/>
        </w:rPr>
        <w:t>weigh the competing factors and balance them.</w:t>
      </w:r>
      <w:r w:rsidR="002E4CF4" w:rsidRPr="00C522DE">
        <w:rPr>
          <w:rFonts w:ascii="Book Antiqua" w:hAnsi="Book Antiqua" w:cs="Arial"/>
        </w:rPr>
        <w:t xml:space="preserve"> </w:t>
      </w:r>
      <w:r w:rsidR="00457778" w:rsidRPr="00C522DE">
        <w:rPr>
          <w:rFonts w:ascii="Book Antiqua" w:hAnsi="Book Antiqua" w:cs="Arial"/>
        </w:rPr>
        <w:t xml:space="preserve">The FTTJ has done that. </w:t>
      </w:r>
      <w:r w:rsidR="00663537" w:rsidRPr="00C522DE">
        <w:rPr>
          <w:rFonts w:ascii="Book Antiqua" w:hAnsi="Book Antiqua" w:cs="Arial"/>
        </w:rPr>
        <w:t xml:space="preserve">This </w:t>
      </w:r>
      <w:r w:rsidR="00457778" w:rsidRPr="00C522DE">
        <w:rPr>
          <w:rFonts w:ascii="Book Antiqua" w:hAnsi="Book Antiqua" w:cs="Arial"/>
        </w:rPr>
        <w:t xml:space="preserve">is not a case where there could only be one answer. </w:t>
      </w:r>
      <w:r w:rsidR="00D849D9" w:rsidRPr="00C522DE">
        <w:rPr>
          <w:rFonts w:ascii="Book Antiqua" w:hAnsi="Book Antiqua" w:cs="Arial"/>
        </w:rPr>
        <w:t xml:space="preserve">Perversity is not established. </w:t>
      </w:r>
    </w:p>
    <w:p w:rsidR="000418B5" w:rsidRPr="00C522DE" w:rsidRDefault="000418B5" w:rsidP="00663537">
      <w:pPr>
        <w:spacing w:before="240"/>
        <w:jc w:val="both"/>
        <w:rPr>
          <w:rFonts w:ascii="Book Antiqua" w:hAnsi="Book Antiqua" w:cs="Arial"/>
        </w:rPr>
      </w:pPr>
      <w:r w:rsidRPr="00C522DE">
        <w:rPr>
          <w:rFonts w:ascii="Book Antiqua" w:hAnsi="Book Antiqua" w:cs="Arial"/>
          <w:b/>
          <w:u w:val="single"/>
        </w:rPr>
        <w:t>Decision</w:t>
      </w:r>
    </w:p>
    <w:p w:rsidR="002E4CF4" w:rsidRPr="00C522DE" w:rsidRDefault="002E4CF4" w:rsidP="002E4CF4">
      <w:pPr>
        <w:numPr>
          <w:ilvl w:val="0"/>
          <w:numId w:val="3"/>
        </w:numPr>
        <w:tabs>
          <w:tab w:val="clear" w:pos="567"/>
        </w:tabs>
        <w:spacing w:before="240"/>
        <w:jc w:val="both"/>
        <w:rPr>
          <w:rFonts w:ascii="Book Antiqua" w:hAnsi="Book Antiqua" w:cs="Arial"/>
        </w:rPr>
      </w:pPr>
      <w:r w:rsidRPr="00C522DE">
        <w:rPr>
          <w:rFonts w:ascii="Book Antiqua" w:hAnsi="Book Antiqua" w:cs="Arial"/>
        </w:rPr>
        <w:t>The SSHD has failed to show that the decision is marred by legal error and the decision allowing the appeal stands.</w:t>
      </w:r>
    </w:p>
    <w:p w:rsidR="000418B5" w:rsidRPr="00C522DE" w:rsidRDefault="000418B5" w:rsidP="00420140">
      <w:pPr>
        <w:spacing w:before="240"/>
        <w:jc w:val="both"/>
        <w:rPr>
          <w:rFonts w:ascii="Book Antiqua" w:hAnsi="Book Antiqua" w:cs="Arial"/>
        </w:rPr>
      </w:pPr>
    </w:p>
    <w:p w:rsidR="008C2AFB" w:rsidRPr="00C522DE" w:rsidRDefault="008C2AFB" w:rsidP="008C2AFB">
      <w:pPr>
        <w:spacing w:before="240"/>
        <w:ind w:left="567"/>
        <w:jc w:val="both"/>
        <w:rPr>
          <w:rFonts w:ascii="Book Antiqua" w:hAnsi="Book Antiqua" w:cs="Arial"/>
        </w:rPr>
      </w:pPr>
    </w:p>
    <w:p w:rsidR="001F2716" w:rsidRPr="00C522DE" w:rsidRDefault="006E3C90" w:rsidP="000418B5">
      <w:pPr>
        <w:jc w:val="both"/>
        <w:rPr>
          <w:rFonts w:ascii="Book Antiqua" w:hAnsi="Book Antiqua" w:cs="Arial"/>
        </w:rPr>
      </w:pPr>
      <w:r w:rsidRPr="00C522DE">
        <w:rPr>
          <w:rFonts w:ascii="Book Antiqua" w:hAnsi="Book Antiqua" w:cs="Arial"/>
        </w:rPr>
        <w:t>Signed</w:t>
      </w:r>
      <w:r w:rsidRPr="00C522DE">
        <w:rPr>
          <w:rFonts w:ascii="Book Antiqua" w:hAnsi="Book Antiqua" w:cs="Arial"/>
        </w:rPr>
        <w:tab/>
      </w:r>
      <w:r w:rsidR="00D44875" w:rsidRPr="00C522DE">
        <w:rPr>
          <w:rFonts w:ascii="Book Antiqua" w:hAnsi="Book Antiqua" w:cs="Arial"/>
        </w:rPr>
        <w:tab/>
      </w:r>
      <w:r w:rsidR="00D44875" w:rsidRPr="00C522DE">
        <w:rPr>
          <w:rFonts w:ascii="Book Antiqua" w:hAnsi="Book Antiqua" w:cs="Arial"/>
        </w:rPr>
        <w:tab/>
      </w:r>
      <w:r w:rsidR="00D44875" w:rsidRPr="00C522DE">
        <w:rPr>
          <w:rFonts w:ascii="Book Antiqua" w:hAnsi="Book Antiqua" w:cs="Arial"/>
        </w:rPr>
        <w:tab/>
      </w:r>
      <w:r w:rsidR="00D44875" w:rsidRPr="00C522DE">
        <w:rPr>
          <w:rFonts w:ascii="Book Antiqua" w:hAnsi="Book Antiqua" w:cs="Arial"/>
        </w:rPr>
        <w:tab/>
      </w:r>
      <w:r w:rsidR="00D44875" w:rsidRPr="00C522DE">
        <w:rPr>
          <w:rFonts w:ascii="Book Antiqua" w:hAnsi="Book Antiqua" w:cs="Arial"/>
        </w:rPr>
        <w:tab/>
      </w:r>
      <w:r w:rsidR="00D44875" w:rsidRPr="00C522DE">
        <w:rPr>
          <w:rFonts w:ascii="Book Antiqua" w:hAnsi="Book Antiqua" w:cs="Arial"/>
        </w:rPr>
        <w:tab/>
      </w:r>
      <w:r w:rsidR="00D44875" w:rsidRPr="00C522DE">
        <w:rPr>
          <w:rFonts w:ascii="Book Antiqua" w:hAnsi="Book Antiqua" w:cs="Arial"/>
        </w:rPr>
        <w:tab/>
      </w:r>
      <w:r w:rsidR="001F2716" w:rsidRPr="00C522DE">
        <w:rPr>
          <w:rFonts w:ascii="Book Antiqua" w:hAnsi="Book Antiqua" w:cs="Arial"/>
        </w:rPr>
        <w:t>Date</w:t>
      </w:r>
      <w:r w:rsidR="00420140" w:rsidRPr="00C522DE">
        <w:rPr>
          <w:rFonts w:ascii="Book Antiqua" w:hAnsi="Book Antiqua" w:cs="Arial"/>
        </w:rPr>
        <w:t xml:space="preserve"> 26 July </w:t>
      </w:r>
      <w:r w:rsidR="004C4D17" w:rsidRPr="00C522DE">
        <w:rPr>
          <w:rFonts w:ascii="Book Antiqua" w:hAnsi="Book Antiqua" w:cs="Arial"/>
        </w:rPr>
        <w:t>2018</w:t>
      </w:r>
    </w:p>
    <w:p w:rsidR="005B7789" w:rsidRPr="00C522DE" w:rsidRDefault="000C0FF4" w:rsidP="000418B5">
      <w:pPr>
        <w:jc w:val="both"/>
        <w:rPr>
          <w:rFonts w:ascii="Book Antiqua" w:hAnsi="Book Antiqua" w:cs="Arial"/>
        </w:rPr>
      </w:pPr>
      <w:r w:rsidRPr="00C522DE">
        <w:rPr>
          <w:rFonts w:ascii="Book Antiqua" w:hAnsi="Book Antiqua"/>
          <w:noProof/>
        </w:rPr>
        <mc:AlternateContent>
          <mc:Choice Requires="wpi">
            <w:drawing>
              <wp:anchor distT="0" distB="0" distL="114300" distR="114300" simplePos="0" relativeHeight="251657728" behindDoc="0" locked="0" layoutInCell="1" allowOverlap="1">
                <wp:simplePos x="0" y="0"/>
                <wp:positionH relativeFrom="column">
                  <wp:posOffset>541020</wp:posOffset>
                </wp:positionH>
                <wp:positionV relativeFrom="paragraph">
                  <wp:posOffset>-423545</wp:posOffset>
                </wp:positionV>
                <wp:extent cx="1729740" cy="867410"/>
                <wp:effectExtent l="51435" t="48895" r="47625" b="45720"/>
                <wp:wrapNone/>
                <wp:docPr id="2" name="Ink 13"/>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rrowheads="1"/>
                        </w14:cNvContentPartPr>
                      </w14:nvContentPartPr>
                      <w14:xfrm>
                        <a:off x="0" y="0"/>
                        <a:ext cx="1729740" cy="867410"/>
                      </w14:xfrm>
                    </w14:contentPart>
                  </a:graphicData>
                </a:graphic>
                <wp14:sizeRelH relativeFrom="page">
                  <wp14:pctWidth>0</wp14:pctWidth>
                </wp14:sizeRelH>
                <wp14:sizeRelV relativeFrom="page">
                  <wp14:pctHeight>0</wp14:pctHeight>
                </wp14:sizeRelV>
              </wp:anchor>
            </w:drawing>
          </mc:Choice>
          <mc:Fallback>
            <w:pict>
              <v:shapetype w14:anchorId="61E46F4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42.1pt;margin-top:-33.85pt;width:137.1pt;height:69.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">
                <v:imagedata r:id="rId9" o:title=""/>
                <o:lock v:ext="edit" rotation="t" aspectratio="f"/>
              </v:shape>
            </w:pict>
          </mc:Fallback>
        </mc:AlternateContent>
      </w:r>
      <w:r w:rsidR="00255071" w:rsidRPr="00C522DE">
        <w:rPr>
          <w:rFonts w:ascii="Book Antiqua" w:hAnsi="Book Antiqua" w:cs="Arial"/>
        </w:rPr>
        <w:t xml:space="preserve">Deputy Upper Tribunal Judge </w:t>
      </w:r>
      <w:r w:rsidR="008634D2" w:rsidRPr="00C522DE">
        <w:rPr>
          <w:rFonts w:ascii="Book Antiqua" w:hAnsi="Book Antiqua" w:cs="Arial"/>
        </w:rPr>
        <w:t>Davidge</w:t>
      </w:r>
    </w:p>
    <w:p w:rsidR="005B7789" w:rsidRPr="00C522DE" w:rsidRDefault="005B7789" w:rsidP="000369F5">
      <w:pPr>
        <w:tabs>
          <w:tab w:val="left" w:pos="2520"/>
        </w:tabs>
        <w:jc w:val="both"/>
        <w:rPr>
          <w:rFonts w:ascii="Book Antiqua" w:hAnsi="Book Antiqua" w:cs="Arial"/>
        </w:rPr>
      </w:pPr>
    </w:p>
    <w:sectPr w:rsidR="005B7789" w:rsidRPr="00C522DE"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2CEC" w:rsidRDefault="00782CEC">
      <w:r>
        <w:separator/>
      </w:r>
    </w:p>
  </w:endnote>
  <w:endnote w:type="continuationSeparator" w:id="0">
    <w:p w:rsidR="00782CEC" w:rsidRDefault="00782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304" w:rsidRPr="00C522DE" w:rsidRDefault="001A1304" w:rsidP="00593795">
    <w:pPr>
      <w:pStyle w:val="Footer"/>
      <w:jc w:val="center"/>
      <w:rPr>
        <w:rFonts w:ascii="Book Antiqua" w:hAnsi="Book Antiqua" w:cs="Arial"/>
        <w:sz w:val="20"/>
        <w:szCs w:val="20"/>
      </w:rPr>
    </w:pPr>
    <w:r w:rsidRPr="00C522DE">
      <w:rPr>
        <w:rStyle w:val="PageNumber"/>
        <w:rFonts w:ascii="Book Antiqua" w:hAnsi="Book Antiqua" w:cs="Arial"/>
        <w:sz w:val="20"/>
        <w:szCs w:val="20"/>
      </w:rPr>
      <w:fldChar w:fldCharType="begin"/>
    </w:r>
    <w:r w:rsidRPr="00C522DE">
      <w:rPr>
        <w:rStyle w:val="PageNumber"/>
        <w:rFonts w:ascii="Book Antiqua" w:hAnsi="Book Antiqua" w:cs="Arial"/>
        <w:sz w:val="20"/>
        <w:szCs w:val="20"/>
      </w:rPr>
      <w:instrText xml:space="preserve"> PAGE </w:instrText>
    </w:r>
    <w:r w:rsidRPr="00C522DE">
      <w:rPr>
        <w:rStyle w:val="PageNumber"/>
        <w:rFonts w:ascii="Book Antiqua" w:hAnsi="Book Antiqua" w:cs="Arial"/>
        <w:sz w:val="20"/>
        <w:szCs w:val="20"/>
      </w:rPr>
      <w:fldChar w:fldCharType="separate"/>
    </w:r>
    <w:r w:rsidR="00233FE6">
      <w:rPr>
        <w:rStyle w:val="PageNumber"/>
        <w:rFonts w:ascii="Book Antiqua" w:hAnsi="Book Antiqua" w:cs="Arial"/>
        <w:noProof/>
        <w:sz w:val="20"/>
        <w:szCs w:val="20"/>
      </w:rPr>
      <w:t>2</w:t>
    </w:r>
    <w:r w:rsidRPr="00C522DE">
      <w:rPr>
        <w:rStyle w:val="PageNumber"/>
        <w:rFonts w:ascii="Book Antiqua" w:hAnsi="Book Antiqua"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304" w:rsidRPr="00F5664C" w:rsidRDefault="001A1304" w:rsidP="00842418">
    <w:pPr>
      <w:jc w:val="center"/>
      <w:rPr>
        <w:rFonts w:ascii="Book Antiqua" w:hAnsi="Book Antiqua" w:cs="Arial"/>
        <w:b/>
      </w:rPr>
    </w:pPr>
    <w:r w:rsidRPr="00F5664C">
      <w:rPr>
        <w:rFonts w:ascii="Book Antiqua" w:hAnsi="Book Antiqua" w:cs="Arial"/>
        <w:b/>
        <w:spacing w:val="-6"/>
      </w:rPr>
      <w:t>©</w:t>
    </w:r>
    <w:r w:rsidR="00C522D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2CEC" w:rsidRDefault="00782CEC">
      <w:r>
        <w:separator/>
      </w:r>
    </w:p>
  </w:footnote>
  <w:footnote w:type="continuationSeparator" w:id="0">
    <w:p w:rsidR="00782CEC" w:rsidRDefault="00782C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9D9" w:rsidRPr="00C522DE" w:rsidRDefault="001A1304" w:rsidP="00C522DE">
    <w:pPr>
      <w:tabs>
        <w:tab w:val="right" w:pos="9639"/>
      </w:tabs>
      <w:jc w:val="right"/>
      <w:rPr>
        <w:rFonts w:ascii="Book Antiqua" w:hAnsi="Book Antiqua" w:cs="Arial"/>
        <w:sz w:val="20"/>
        <w:szCs w:val="20"/>
      </w:rPr>
    </w:pPr>
    <w:r w:rsidRPr="00C522DE">
      <w:rPr>
        <w:rFonts w:ascii="Book Antiqua" w:hAnsi="Book Antiqua" w:cs="Arial"/>
        <w:sz w:val="20"/>
        <w:szCs w:val="20"/>
      </w:rPr>
      <w:t>Appeal Number:</w:t>
    </w:r>
    <w:r w:rsidR="0025674F" w:rsidRPr="00C522DE">
      <w:rPr>
        <w:rFonts w:ascii="Book Antiqua" w:hAnsi="Book Antiqua" w:cs="Arial"/>
        <w:caps/>
        <w:sz w:val="20"/>
        <w:szCs w:val="20"/>
      </w:rPr>
      <w:t xml:space="preserve"> </w:t>
    </w:r>
    <w:r w:rsidR="00D849D9" w:rsidRPr="00C522DE">
      <w:rPr>
        <w:rFonts w:ascii="Book Antiqua" w:hAnsi="Book Antiqua" w:cs="Arial"/>
        <w:caps/>
        <w:sz w:val="20"/>
        <w:szCs w:val="20"/>
      </w:rPr>
      <w:t>HU/24503/2016</w:t>
    </w:r>
  </w:p>
  <w:p w:rsidR="001A1304" w:rsidRDefault="001A1304" w:rsidP="0028592D">
    <w:pPr>
      <w:tabs>
        <w:tab w:val="right" w:pos="9639"/>
      </w:tabs>
      <w:rPr>
        <w:rFonts w:ascii="Book Antiqua" w:hAnsi="Book Antiqua" w:cs="Arial"/>
        <w:sz w:val="16"/>
        <w:szCs w:val="16"/>
      </w:rPr>
    </w:pPr>
  </w:p>
  <w:p w:rsidR="00CC061F" w:rsidRPr="00F5664C" w:rsidRDefault="00CC061F" w:rsidP="0028592D">
    <w:pPr>
      <w:tabs>
        <w:tab w:val="right" w:pos="9639"/>
      </w:tabs>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304" w:rsidRPr="00F5664C" w:rsidRDefault="001A1304">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A300D0C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3CD4921"/>
    <w:multiLevelType w:val="singleLevel"/>
    <w:tmpl w:val="08090001"/>
    <w:lvl w:ilvl="0">
      <w:start w:val="1"/>
      <w:numFmt w:val="bullet"/>
      <w:lvlText w:val=""/>
      <w:lvlJc w:val="left"/>
      <w:pPr>
        <w:ind w:left="720" w:hanging="360"/>
      </w:pPr>
      <w:rPr>
        <w:rFonts w:ascii="Symbol" w:hAnsi="Symbol"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3B84A51"/>
    <w:multiLevelType w:val="hybridMultilevel"/>
    <w:tmpl w:val="DC86A1E8"/>
    <w:lvl w:ilvl="0" w:tplc="53322D6C">
      <w:start w:val="1"/>
      <w:numFmt w:val="decimal"/>
      <w:lvlText w:val="%1."/>
      <w:lvlJc w:val="left"/>
      <w:pPr>
        <w:tabs>
          <w:tab w:val="num" w:pos="990"/>
        </w:tabs>
        <w:ind w:left="990" w:hanging="570"/>
      </w:pPr>
      <w:rPr>
        <w:rFonts w:hint="default"/>
      </w:rPr>
    </w:lvl>
    <w:lvl w:ilvl="1" w:tplc="8200B2AA">
      <w:start w:val="2"/>
      <w:numFmt w:val="decimal"/>
      <w:lvlText w:val="(%2)"/>
      <w:lvlJc w:val="left"/>
      <w:pPr>
        <w:tabs>
          <w:tab w:val="num" w:pos="1875"/>
        </w:tabs>
        <w:ind w:left="1875" w:hanging="555"/>
      </w:pPr>
      <w:rPr>
        <w:rFonts w:hint="default"/>
      </w:rPr>
    </w:lvl>
    <w:lvl w:ilvl="2" w:tplc="1DBE8BA8">
      <w:start w:val="20"/>
      <w:numFmt w:val="bullet"/>
      <w:lvlText w:val=""/>
      <w:lvlJc w:val="left"/>
      <w:pPr>
        <w:tabs>
          <w:tab w:val="num" w:pos="2820"/>
        </w:tabs>
        <w:ind w:left="2820" w:hanging="600"/>
      </w:pPr>
      <w:rPr>
        <w:rFonts w:ascii="Symbol" w:eastAsia="Times New Roman" w:hAnsi="Symbol" w:cs="Arial" w:hint="default"/>
      </w:rPr>
    </w:lvl>
    <w:lvl w:ilvl="3" w:tplc="EBDA9828">
      <w:start w:val="1"/>
      <w:numFmt w:val="lowerLetter"/>
      <w:lvlText w:val="(%4)"/>
      <w:lvlJc w:val="left"/>
      <w:pPr>
        <w:tabs>
          <w:tab w:val="num" w:pos="3120"/>
        </w:tabs>
        <w:ind w:left="3120" w:hanging="360"/>
      </w:pPr>
      <w:rPr>
        <w:rFonts w:hint="default"/>
      </w:rPr>
    </w:lvl>
    <w:lvl w:ilvl="4" w:tplc="08090019" w:tentative="1">
      <w:start w:val="1"/>
      <w:numFmt w:val="lowerLetter"/>
      <w:lvlText w:val="%5."/>
      <w:lvlJc w:val="left"/>
      <w:pPr>
        <w:tabs>
          <w:tab w:val="num" w:pos="3840"/>
        </w:tabs>
        <w:ind w:left="3840" w:hanging="360"/>
      </w:pPr>
    </w:lvl>
    <w:lvl w:ilvl="5" w:tplc="0809001B" w:tentative="1">
      <w:start w:val="1"/>
      <w:numFmt w:val="lowerRoman"/>
      <w:lvlText w:val="%6."/>
      <w:lvlJc w:val="right"/>
      <w:pPr>
        <w:tabs>
          <w:tab w:val="num" w:pos="4560"/>
        </w:tabs>
        <w:ind w:left="4560" w:hanging="180"/>
      </w:pPr>
    </w:lvl>
    <w:lvl w:ilvl="6" w:tplc="0809000F" w:tentative="1">
      <w:start w:val="1"/>
      <w:numFmt w:val="decimal"/>
      <w:lvlText w:val="%7."/>
      <w:lvlJc w:val="left"/>
      <w:pPr>
        <w:tabs>
          <w:tab w:val="num" w:pos="5280"/>
        </w:tabs>
        <w:ind w:left="5280" w:hanging="360"/>
      </w:pPr>
    </w:lvl>
    <w:lvl w:ilvl="7" w:tplc="08090019" w:tentative="1">
      <w:start w:val="1"/>
      <w:numFmt w:val="lowerLetter"/>
      <w:lvlText w:val="%8."/>
      <w:lvlJc w:val="left"/>
      <w:pPr>
        <w:tabs>
          <w:tab w:val="num" w:pos="6000"/>
        </w:tabs>
        <w:ind w:left="6000" w:hanging="360"/>
      </w:pPr>
    </w:lvl>
    <w:lvl w:ilvl="8" w:tplc="0809001B" w:tentative="1">
      <w:start w:val="1"/>
      <w:numFmt w:val="lowerRoman"/>
      <w:lvlText w:val="%9."/>
      <w:lvlJc w:val="right"/>
      <w:pPr>
        <w:tabs>
          <w:tab w:val="num" w:pos="6720"/>
        </w:tabs>
        <w:ind w:left="6720" w:hanging="180"/>
      </w:p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5F875A5"/>
    <w:multiLevelType w:val="multilevel"/>
    <w:tmpl w:val="B880C06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C84220A"/>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21"/>
  </w:num>
  <w:num w:numId="6">
    <w:abstractNumId w:val="11"/>
  </w:num>
  <w:num w:numId="7">
    <w:abstractNumId w:val="19"/>
  </w:num>
  <w:num w:numId="8">
    <w:abstractNumId w:val="8"/>
  </w:num>
  <w:num w:numId="9">
    <w:abstractNumId w:val="6"/>
  </w:num>
  <w:num w:numId="10">
    <w:abstractNumId w:val="17"/>
  </w:num>
  <w:num w:numId="11">
    <w:abstractNumId w:val="16"/>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9"/>
  </w:num>
  <w:num w:numId="19">
    <w:abstractNumId w:val="20"/>
  </w:num>
  <w:num w:numId="20">
    <w:abstractNumId w:val="18"/>
  </w:num>
  <w:num w:numId="21">
    <w:abstractNumId w:val="1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B06E2E2-3E1D-4F95-A92D-7D816AADD6EC}"/>
    <w:docVar w:name="dgnword-eventsink" w:val="420933288"/>
  </w:docVars>
  <w:rsids>
    <w:rsidRoot w:val="008E5946"/>
    <w:rsid w:val="00000621"/>
    <w:rsid w:val="000036C2"/>
    <w:rsid w:val="00016521"/>
    <w:rsid w:val="00027AF2"/>
    <w:rsid w:val="00030FE6"/>
    <w:rsid w:val="00033D3D"/>
    <w:rsid w:val="000358A1"/>
    <w:rsid w:val="000369F5"/>
    <w:rsid w:val="000418B5"/>
    <w:rsid w:val="00041B48"/>
    <w:rsid w:val="00057801"/>
    <w:rsid w:val="00071A7E"/>
    <w:rsid w:val="000746C0"/>
    <w:rsid w:val="00074D1D"/>
    <w:rsid w:val="00092580"/>
    <w:rsid w:val="00092ED2"/>
    <w:rsid w:val="00095A1A"/>
    <w:rsid w:val="000B050D"/>
    <w:rsid w:val="000B4CFF"/>
    <w:rsid w:val="000C0FF4"/>
    <w:rsid w:val="000C22F1"/>
    <w:rsid w:val="000D01C9"/>
    <w:rsid w:val="000D16C7"/>
    <w:rsid w:val="000D5D94"/>
    <w:rsid w:val="000D7FB4"/>
    <w:rsid w:val="000E0CD7"/>
    <w:rsid w:val="001039ED"/>
    <w:rsid w:val="00114F8B"/>
    <w:rsid w:val="001165A7"/>
    <w:rsid w:val="00133805"/>
    <w:rsid w:val="0014313F"/>
    <w:rsid w:val="00143596"/>
    <w:rsid w:val="00151BB7"/>
    <w:rsid w:val="001562B8"/>
    <w:rsid w:val="001641D4"/>
    <w:rsid w:val="001677F5"/>
    <w:rsid w:val="00167D3A"/>
    <w:rsid w:val="00193D8F"/>
    <w:rsid w:val="001A1304"/>
    <w:rsid w:val="001A1E2C"/>
    <w:rsid w:val="001A3C1C"/>
    <w:rsid w:val="001A5F11"/>
    <w:rsid w:val="001D068B"/>
    <w:rsid w:val="001E3141"/>
    <w:rsid w:val="001F2716"/>
    <w:rsid w:val="00200CD9"/>
    <w:rsid w:val="0020133A"/>
    <w:rsid w:val="00206AA3"/>
    <w:rsid w:val="00207617"/>
    <w:rsid w:val="00233FE6"/>
    <w:rsid w:val="00241085"/>
    <w:rsid w:val="00241953"/>
    <w:rsid w:val="00243E91"/>
    <w:rsid w:val="00243EED"/>
    <w:rsid w:val="00255071"/>
    <w:rsid w:val="0025674F"/>
    <w:rsid w:val="00267C20"/>
    <w:rsid w:val="00283659"/>
    <w:rsid w:val="0028592D"/>
    <w:rsid w:val="002A356D"/>
    <w:rsid w:val="002A7625"/>
    <w:rsid w:val="002B7B92"/>
    <w:rsid w:val="002C2B9A"/>
    <w:rsid w:val="002C4E73"/>
    <w:rsid w:val="002C51C1"/>
    <w:rsid w:val="002C5837"/>
    <w:rsid w:val="002C7775"/>
    <w:rsid w:val="002D0D05"/>
    <w:rsid w:val="002D68BF"/>
    <w:rsid w:val="002D7392"/>
    <w:rsid w:val="002E237A"/>
    <w:rsid w:val="002E4CF4"/>
    <w:rsid w:val="002F0C4F"/>
    <w:rsid w:val="00316243"/>
    <w:rsid w:val="00336CBF"/>
    <w:rsid w:val="003505CE"/>
    <w:rsid w:val="003546C8"/>
    <w:rsid w:val="00360B20"/>
    <w:rsid w:val="00364F3B"/>
    <w:rsid w:val="003A7CF2"/>
    <w:rsid w:val="003B231B"/>
    <w:rsid w:val="003B4FCF"/>
    <w:rsid w:val="003C5CE5"/>
    <w:rsid w:val="003D4AD8"/>
    <w:rsid w:val="003D5C1B"/>
    <w:rsid w:val="003E267B"/>
    <w:rsid w:val="003E7CD1"/>
    <w:rsid w:val="003F3EF2"/>
    <w:rsid w:val="00402B9E"/>
    <w:rsid w:val="00420140"/>
    <w:rsid w:val="00420B6F"/>
    <w:rsid w:val="00423932"/>
    <w:rsid w:val="004249CB"/>
    <w:rsid w:val="00426C18"/>
    <w:rsid w:val="004406B1"/>
    <w:rsid w:val="0044127D"/>
    <w:rsid w:val="004448DB"/>
    <w:rsid w:val="0044529C"/>
    <w:rsid w:val="00446C9A"/>
    <w:rsid w:val="00457778"/>
    <w:rsid w:val="00477193"/>
    <w:rsid w:val="00487951"/>
    <w:rsid w:val="004A1848"/>
    <w:rsid w:val="004A4B62"/>
    <w:rsid w:val="004C4D17"/>
    <w:rsid w:val="004C619C"/>
    <w:rsid w:val="004E3868"/>
    <w:rsid w:val="00503EB7"/>
    <w:rsid w:val="00507FEC"/>
    <w:rsid w:val="00510F0E"/>
    <w:rsid w:val="00511460"/>
    <w:rsid w:val="00513851"/>
    <w:rsid w:val="00531D87"/>
    <w:rsid w:val="00534E0B"/>
    <w:rsid w:val="005479E1"/>
    <w:rsid w:val="00550D3C"/>
    <w:rsid w:val="00554335"/>
    <w:rsid w:val="005570FD"/>
    <w:rsid w:val="005575EA"/>
    <w:rsid w:val="00560D59"/>
    <w:rsid w:val="00572B95"/>
    <w:rsid w:val="00574B91"/>
    <w:rsid w:val="0057790C"/>
    <w:rsid w:val="005871F7"/>
    <w:rsid w:val="00593795"/>
    <w:rsid w:val="005A1FA4"/>
    <w:rsid w:val="005A75FF"/>
    <w:rsid w:val="005B7789"/>
    <w:rsid w:val="005C2CC3"/>
    <w:rsid w:val="005D2F83"/>
    <w:rsid w:val="006011DC"/>
    <w:rsid w:val="00601366"/>
    <w:rsid w:val="00607C1A"/>
    <w:rsid w:val="006257F0"/>
    <w:rsid w:val="00626483"/>
    <w:rsid w:val="00643D30"/>
    <w:rsid w:val="00653A8A"/>
    <w:rsid w:val="0065791C"/>
    <w:rsid w:val="00657B9E"/>
    <w:rsid w:val="00663537"/>
    <w:rsid w:val="00671DCF"/>
    <w:rsid w:val="00675FAF"/>
    <w:rsid w:val="00677A78"/>
    <w:rsid w:val="00682A45"/>
    <w:rsid w:val="00685497"/>
    <w:rsid w:val="00690B8A"/>
    <w:rsid w:val="00692B2E"/>
    <w:rsid w:val="006A0298"/>
    <w:rsid w:val="006A0E46"/>
    <w:rsid w:val="006C31E5"/>
    <w:rsid w:val="006D1DFA"/>
    <w:rsid w:val="006D506B"/>
    <w:rsid w:val="006E3C90"/>
    <w:rsid w:val="00700C9C"/>
    <w:rsid w:val="007033F9"/>
    <w:rsid w:val="00704B61"/>
    <w:rsid w:val="00707DB1"/>
    <w:rsid w:val="00714803"/>
    <w:rsid w:val="007353BB"/>
    <w:rsid w:val="00742A8D"/>
    <w:rsid w:val="0074663D"/>
    <w:rsid w:val="00754CD3"/>
    <w:rsid w:val="007552A9"/>
    <w:rsid w:val="00761858"/>
    <w:rsid w:val="00767D59"/>
    <w:rsid w:val="00776E97"/>
    <w:rsid w:val="00780FD7"/>
    <w:rsid w:val="00782CEC"/>
    <w:rsid w:val="00786B92"/>
    <w:rsid w:val="007912AD"/>
    <w:rsid w:val="007A1F28"/>
    <w:rsid w:val="007B0824"/>
    <w:rsid w:val="007B2114"/>
    <w:rsid w:val="007C0CD9"/>
    <w:rsid w:val="007F51B4"/>
    <w:rsid w:val="007F5EB2"/>
    <w:rsid w:val="00802BA2"/>
    <w:rsid w:val="0081327C"/>
    <w:rsid w:val="008303B8"/>
    <w:rsid w:val="00830AEF"/>
    <w:rsid w:val="00833DCE"/>
    <w:rsid w:val="00842418"/>
    <w:rsid w:val="008634D2"/>
    <w:rsid w:val="008634DB"/>
    <w:rsid w:val="00871D34"/>
    <w:rsid w:val="008834E4"/>
    <w:rsid w:val="0088602A"/>
    <w:rsid w:val="008A4B84"/>
    <w:rsid w:val="008A7916"/>
    <w:rsid w:val="008B270C"/>
    <w:rsid w:val="008B2F31"/>
    <w:rsid w:val="008B651C"/>
    <w:rsid w:val="008C1BF0"/>
    <w:rsid w:val="008C2AFB"/>
    <w:rsid w:val="008C3D3D"/>
    <w:rsid w:val="008D4131"/>
    <w:rsid w:val="008E10D0"/>
    <w:rsid w:val="008E5946"/>
    <w:rsid w:val="008E5E25"/>
    <w:rsid w:val="008F1932"/>
    <w:rsid w:val="008F294D"/>
    <w:rsid w:val="00921062"/>
    <w:rsid w:val="0092618D"/>
    <w:rsid w:val="0093083E"/>
    <w:rsid w:val="00946A75"/>
    <w:rsid w:val="00966286"/>
    <w:rsid w:val="00966ECF"/>
    <w:rsid w:val="009727A3"/>
    <w:rsid w:val="00987774"/>
    <w:rsid w:val="00993ADB"/>
    <w:rsid w:val="00996110"/>
    <w:rsid w:val="009A04DD"/>
    <w:rsid w:val="009A11E8"/>
    <w:rsid w:val="009C1C8D"/>
    <w:rsid w:val="009C357B"/>
    <w:rsid w:val="009E4E62"/>
    <w:rsid w:val="009F5220"/>
    <w:rsid w:val="009F731E"/>
    <w:rsid w:val="009F7C4D"/>
    <w:rsid w:val="00A15234"/>
    <w:rsid w:val="00A201AB"/>
    <w:rsid w:val="00A31C8B"/>
    <w:rsid w:val="00A505EC"/>
    <w:rsid w:val="00A609AD"/>
    <w:rsid w:val="00A62DD3"/>
    <w:rsid w:val="00A75965"/>
    <w:rsid w:val="00A845DC"/>
    <w:rsid w:val="00A97232"/>
    <w:rsid w:val="00A97AEE"/>
    <w:rsid w:val="00AA3668"/>
    <w:rsid w:val="00AC530B"/>
    <w:rsid w:val="00AC5CF6"/>
    <w:rsid w:val="00AD0BBD"/>
    <w:rsid w:val="00AE09BF"/>
    <w:rsid w:val="00B1314C"/>
    <w:rsid w:val="00B144FA"/>
    <w:rsid w:val="00B16F58"/>
    <w:rsid w:val="00B2584E"/>
    <w:rsid w:val="00B2640A"/>
    <w:rsid w:val="00B30648"/>
    <w:rsid w:val="00B337AA"/>
    <w:rsid w:val="00B3524D"/>
    <w:rsid w:val="00B37A94"/>
    <w:rsid w:val="00B40F69"/>
    <w:rsid w:val="00B46616"/>
    <w:rsid w:val="00B610E3"/>
    <w:rsid w:val="00B61205"/>
    <w:rsid w:val="00B617C4"/>
    <w:rsid w:val="00B626FA"/>
    <w:rsid w:val="00B7040A"/>
    <w:rsid w:val="00B70C37"/>
    <w:rsid w:val="00B96FA0"/>
    <w:rsid w:val="00BA2A24"/>
    <w:rsid w:val="00BA401C"/>
    <w:rsid w:val="00BC03EC"/>
    <w:rsid w:val="00BD4196"/>
    <w:rsid w:val="00BE358D"/>
    <w:rsid w:val="00BE3E6F"/>
    <w:rsid w:val="00BF22CA"/>
    <w:rsid w:val="00BF6946"/>
    <w:rsid w:val="00C26032"/>
    <w:rsid w:val="00C265B0"/>
    <w:rsid w:val="00C321B5"/>
    <w:rsid w:val="00C345E1"/>
    <w:rsid w:val="00C35DB5"/>
    <w:rsid w:val="00C409C0"/>
    <w:rsid w:val="00C522DE"/>
    <w:rsid w:val="00C534FA"/>
    <w:rsid w:val="00C62598"/>
    <w:rsid w:val="00C64AB6"/>
    <w:rsid w:val="00C72AFF"/>
    <w:rsid w:val="00C73D81"/>
    <w:rsid w:val="00C81182"/>
    <w:rsid w:val="00C977BA"/>
    <w:rsid w:val="00CA199F"/>
    <w:rsid w:val="00CB64BD"/>
    <w:rsid w:val="00CB6E35"/>
    <w:rsid w:val="00CC061F"/>
    <w:rsid w:val="00CC2291"/>
    <w:rsid w:val="00CC51EA"/>
    <w:rsid w:val="00CE1A46"/>
    <w:rsid w:val="00CE26B2"/>
    <w:rsid w:val="00CE7647"/>
    <w:rsid w:val="00CF253F"/>
    <w:rsid w:val="00CF3DA8"/>
    <w:rsid w:val="00CF56B4"/>
    <w:rsid w:val="00D068C9"/>
    <w:rsid w:val="00D07FB6"/>
    <w:rsid w:val="00D12A3D"/>
    <w:rsid w:val="00D15C40"/>
    <w:rsid w:val="00D20D15"/>
    <w:rsid w:val="00D20F09"/>
    <w:rsid w:val="00D22636"/>
    <w:rsid w:val="00D40FD9"/>
    <w:rsid w:val="00D41096"/>
    <w:rsid w:val="00D44875"/>
    <w:rsid w:val="00D45764"/>
    <w:rsid w:val="00D4771E"/>
    <w:rsid w:val="00D53769"/>
    <w:rsid w:val="00D65912"/>
    <w:rsid w:val="00D849D9"/>
    <w:rsid w:val="00D85C13"/>
    <w:rsid w:val="00D91BE3"/>
    <w:rsid w:val="00D93444"/>
    <w:rsid w:val="00D94AFC"/>
    <w:rsid w:val="00DA24FE"/>
    <w:rsid w:val="00DB70AE"/>
    <w:rsid w:val="00DB7231"/>
    <w:rsid w:val="00DD5071"/>
    <w:rsid w:val="00DD5C39"/>
    <w:rsid w:val="00DE26AF"/>
    <w:rsid w:val="00DE40DE"/>
    <w:rsid w:val="00DE7DB7"/>
    <w:rsid w:val="00E00A0A"/>
    <w:rsid w:val="00E07F57"/>
    <w:rsid w:val="00E1040E"/>
    <w:rsid w:val="00E12E40"/>
    <w:rsid w:val="00E2167B"/>
    <w:rsid w:val="00E25720"/>
    <w:rsid w:val="00E33758"/>
    <w:rsid w:val="00E450CC"/>
    <w:rsid w:val="00E50BCE"/>
    <w:rsid w:val="00E61292"/>
    <w:rsid w:val="00E67F3D"/>
    <w:rsid w:val="00E76309"/>
    <w:rsid w:val="00E77C4D"/>
    <w:rsid w:val="00E81D01"/>
    <w:rsid w:val="00E90DF8"/>
    <w:rsid w:val="00E96BD1"/>
    <w:rsid w:val="00EA105F"/>
    <w:rsid w:val="00EE38CC"/>
    <w:rsid w:val="00EE45D8"/>
    <w:rsid w:val="00F004CD"/>
    <w:rsid w:val="00F0506F"/>
    <w:rsid w:val="00F051D4"/>
    <w:rsid w:val="00F056D4"/>
    <w:rsid w:val="00F06298"/>
    <w:rsid w:val="00F22A22"/>
    <w:rsid w:val="00F22EDA"/>
    <w:rsid w:val="00F27938"/>
    <w:rsid w:val="00F3224D"/>
    <w:rsid w:val="00F33E0E"/>
    <w:rsid w:val="00F3670A"/>
    <w:rsid w:val="00F5141F"/>
    <w:rsid w:val="00F5664C"/>
    <w:rsid w:val="00F63C94"/>
    <w:rsid w:val="00F71C6E"/>
    <w:rsid w:val="00F72A31"/>
    <w:rsid w:val="00F80587"/>
    <w:rsid w:val="00F96ADE"/>
    <w:rsid w:val="00FB5854"/>
    <w:rsid w:val="00FB7E80"/>
    <w:rsid w:val="00FD08E2"/>
    <w:rsid w:val="00FD7D67"/>
    <w:rsid w:val="00FE36ED"/>
    <w:rsid w:val="00FF5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styleId="CommentReference">
    <w:name w:val="annotation reference"/>
    <w:rsid w:val="00C534FA"/>
    <w:rPr>
      <w:sz w:val="16"/>
      <w:szCs w:val="16"/>
    </w:rPr>
  </w:style>
  <w:style w:type="paragraph" w:styleId="CommentText">
    <w:name w:val="annotation text"/>
    <w:basedOn w:val="Normal"/>
    <w:link w:val="CommentTextChar"/>
    <w:rsid w:val="00C534FA"/>
    <w:rPr>
      <w:sz w:val="20"/>
      <w:szCs w:val="20"/>
    </w:rPr>
  </w:style>
  <w:style w:type="character" w:customStyle="1" w:styleId="CommentTextChar">
    <w:name w:val="Comment Text Char"/>
    <w:basedOn w:val="DefaultParagraphFont"/>
    <w:link w:val="CommentText"/>
    <w:rsid w:val="00C534FA"/>
  </w:style>
  <w:style w:type="paragraph" w:styleId="CommentSubject">
    <w:name w:val="annotation subject"/>
    <w:basedOn w:val="CommentText"/>
    <w:next w:val="CommentText"/>
    <w:link w:val="CommentSubjectChar"/>
    <w:rsid w:val="00C534FA"/>
    <w:rPr>
      <w:b/>
      <w:bCs/>
    </w:rPr>
  </w:style>
  <w:style w:type="character" w:customStyle="1" w:styleId="CommentSubjectChar">
    <w:name w:val="Comment Subject Char"/>
    <w:link w:val="CommentSubject"/>
    <w:rsid w:val="00C534FA"/>
    <w:rPr>
      <w:b/>
      <w:bCs/>
    </w:rPr>
  </w:style>
  <w:style w:type="paragraph" w:styleId="ListParagraph">
    <w:name w:val="List Paragraph"/>
    <w:basedOn w:val="Normal"/>
    <w:uiPriority w:val="34"/>
    <w:qFormat/>
    <w:rsid w:val="00F71C6E"/>
    <w:pPr>
      <w:ind w:left="720"/>
    </w:pPr>
  </w:style>
  <w:style w:type="paragraph" w:customStyle="1" w:styleId="para">
    <w:name w:val="para"/>
    <w:basedOn w:val="Normal"/>
    <w:rsid w:val="003B4FCF"/>
    <w:pPr>
      <w:spacing w:before="100" w:beforeAutospacing="1" w:after="100" w:afterAutospacing="1"/>
    </w:pPr>
  </w:style>
  <w:style w:type="paragraph" w:customStyle="1" w:styleId="qt">
    <w:name w:val="qt"/>
    <w:basedOn w:val="Normal"/>
    <w:rsid w:val="003B4F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4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21T14:55:10.632"/>
    </inkml:context>
    <inkml:brush xml:id="br0">
      <inkml:brushProperty name="width" value="0.03333" units="cm"/>
      <inkml:brushProperty name="height" value="0.03333" units="cm"/>
    </inkml:brush>
  </inkml:definitions>
  <inkml:trace contextRef="#ctx0" brushRef="#br0">472 204 8296,'13'-14'4836,"1"1"-255,-14-14-1218,13 13-544,1 0-385,-14 14-640,0-13-1154,0 13-63,0-14-33,0 14-63,-27 14-33,13-1-31,-12 1-129,-1 27-96,-14 0-192,-13 26-96,1 15-32,12 13-32,-13 1-129,0 13-63,14 0 32,13-1-97,13 1 1,14-14 96,14-13-33,-1-28 97,28 1 96,-1-14 128,14-14-64,0-27 96,0 0 32,-14-14-32,1-13 0,-1 0-2050,-26-14-2498,-1 0-481,-13 1-96,-13-2-128,-14 2-32</inkml:trace>
  <inkml:trace contextRef="#ctx0" brushRef="#br0" timeOffset="816">0 1048 19506,'13'-14'5189,"28"-13"0,0-14-5221,26 0-32,14-13 160,14-14 0,-14 0 0,14 0 65,-14 0-65,1 0-128,-15 0 64,-13 13 0,-13 15 64,-14-1 64,-13 27-32,-1 1 32,-13 26 32,0 28-31,-27 13-1,0 15-64,0 12-224,-14 14-129,1 14 1,-1-14 0,1 0-64,13 1 63,-1-29 1,15-12 128,-1-1 128,14-26 128,27-28 32,1 0 0,12-42 97,14-11 95,0-16-64,14-39-160,0-1-31,-1-14-1,1 1-32,-14 13 0,-13 14 32,0 13-64,-28 42 32,1 13 64,-14 40 32,-14 28-96,1 27-32,-15 0-32,1 13-160,0 28-160,0-14 64,14 1-33,-1-15 65,14 1 32,14-14 128,-1-28 0,28 2 160,-14-29 64,14-13 32,-1-13-96,1-29 193,13-12-33,-13-27-64,-1-1-64,-13-13-32,13 13-32,-26 0 0,0 28 32,-1 13-128,-13 28-32,0 40-32,0 14 96,-13 13-96,-1 0-128,14 1 32,-14 13-32,14-14 63,0 1 1,14-14 96,0-14-64,13 0 128,0-13 160,-13-1-32,13-26 33,-1-1-65,1 0 160,1-13-160,-15 0 64,1 0-256,-14 13-3427,13-13-1762,-13 27-160,0 0-257,28 0-191,-15 0 31</inkml:trace>
  <inkml:trace contextRef="#ctx0" brushRef="#br0" timeOffset="3202">1990 435 18001,'0'27'5189,"-13"1"-64,-1 13-3460,0-1-1825,1 1 96,-1 0 96,1 0-64,-1 13 96,1-26 0,13-1-64,-14-14-3651,14 1-1282,0-14-160,0-14-160,-13-26-96,13-2-160</inkml:trace>
  <inkml:trace contextRef="#ctx0" brushRef="#br0" timeOffset="3203">1801 0 20916,'0'13'5189,"27"1"-673,13 27-4868,1 27-1,27 0 289,-14 27-64,13 28 64,-13-1-192,1 14 0,-15 14-33,-13-14 1,-27 0 0,-27 0 32,-27-27 31,-14 0 65,-13-14 192,-14 0 32,-26-40 96,-1-1 33,14-26 127,-14-15 32,27-40 65,14-28-129,27-26 0,27-15-32,27-12-63,41-15 95,39 1-160,15-1 0,40 14-32,14 14 0,14 14 64,13 12-31,-14 15 31,-13 0-224,-14 13 64,-27 27-128,-13 1-1,-41 26-31,-27 28-64,-27 13-128,-27 14 31,-27 14 1,-14 0 0,1 13 32,-15 0 31,15-13 65,-1 0-32,28-28 288,-1 1-32,27-1 96,14-27-32,14-13 64,13-14 33,14-14-33,0-27 96,12-27-128,15 0 192,-14-27-31,0 0 31,0-1-32,-13 15 0,0 13-31,-14-1-97,-14 42 32,1 14-256,-14 13-32,13 13-64,-13 14 32,0 15-161,0 12-63,0 0 96,0 1-33,14-1 65,-14 1 0,0-1 64,13-13-32,1 0 160,-14-14 96,13-13 32,1-14 0,-1-28 64,1 1 192,13-27-63,0-14-1,-13 0 0,13-1 1,0 15-65,0 0 32,0-1-128,-13 28-128,-1 27-64,1 0 0,-1 13-32,14 15-32,-13-1-96,-1 0-65,1 14 65,13 0-32,-14 0 96,1-14-65,13 0 65,-13 0-32,-1 1 192,1-28 32,-1 0 32,1 0 192,-1-28-63,1-12 95,12-1-96,-12 0 96,0 14-95,-1-14-1,1 14-96,-1 13-128,1 14-32,-14 0 0,14 14-96,-14 13-65,0 0 65,0 0-64,13 0 96,-13 1-32,14-1 64,-1 0-65,0-13 129,1-14 0,-1 0-96,14-27-2434,14-1-929,0-13 1152,-1-13 2499,-13 0 33,14 13-33,-14 0 32,-13 0-64,-1 14 2499,-13 27 864,-27 0-1121,13 14-2530,-13 13 0,0 13-64,0-12-65,1 26 65,12-13 0,14 0 64,0-14 0,27 14 96,-14-27-33,28-1 162,-14-26 287,14-1-64,-1-27 96,-13-13-31,14-14 127,-14-28-127,-14 1 31,1 0-64,-14-14-224,-27 14 0,0 13-64,-27 28-32,-14-1-128,-13 42 32,0-1-64,-1 28-32,2 13 96,12 14 32,27 13 0,28 14 0,39 14 0,29-1 0,26 1 64,27 0-32,14-1-193,0-12 33,0-2 0,-14-12 0,-13 13-64,-28 0 31,-26 14-95,-28-1 0,-13 14 95,-27 14-63,-13 14-64,-1 13 32,0-13-1,1-1 65,-14 0 32,13-13 96,14-13 64,-14-15-32,1-27 224,13-13-32,-14-41 96,14-27-32,-14-41 192,28-13-31,-1-28-65,14-14 128,27-13-95,28 0-33,12 0 0,28 0 96,27 0-31,0 13-1,-1 14 64,-12 1-31,-1-1-65,-27 27 32,-13 0-31,-28 28-97,-40 13-224,-13 28 0,-42 26-32,2 28-129,-15 13-95,0 28-32,1 13 32,26 1-33,0-1 65,28-13 0,26-14 64,15-14 64,12-13 128,1-14 0,13-27 0,-14-13 0,1-1 0,0-54-5798,-1-27-288,-13-14-128,-27-14-64,-14 1 513</inkml:trace>
  <inkml:trace contextRef="#ctx0" brushRef="#br0" timeOffset="3334">3140 272 19827,'41'-27'5797,"-1"13"-5220,1 28-577,0-1 0,-1 1-6278,1 27-160,12-14-96,2 0-65,-15 14 6247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2041</Words>
  <Characters>10132</Characters>
  <Application>Microsoft Office Word</Application>
  <DocSecurity>0</DocSecurity>
  <Lines>84</Lines>
  <Paragraphs>24</Paragraphs>
  <ScaleCrop>false</ScaleCrop>
  <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2018-08-28T14:00:00Z</dcterms:created>
  <dcterms:modified xsi:type="dcterms:W3CDTF">2018-08-28T14:00:00Z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