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9BE947" w14:textId="77777777" w:rsidR="008A6059" w:rsidRPr="0048614E" w:rsidRDefault="005E7923" w:rsidP="008A6059">
      <w:pPr>
        <w:jc w:val="center"/>
        <w:rPr>
          <w:rFonts w:ascii="Book Antiqua" w:hAnsi="Book Antiqua" w:cs="Arial"/>
          <w:caps/>
          <w:color w:val="000000"/>
          <w:sz w:val="16"/>
          <w:szCs w:val="16"/>
        </w:rPr>
      </w:pPr>
      <w:r w:rsidRPr="0048614E">
        <w:rPr>
          <w:noProof/>
          <w:sz w:val="16"/>
          <w:szCs w:val="16"/>
          <w:lang w:val="en-US" w:eastAsia="en-US"/>
        </w:rPr>
        <w:drawing>
          <wp:inline distT="0" distB="0" distL="0" distR="0" wp14:anchorId="056774BC" wp14:editId="6CF60378">
            <wp:extent cx="1042670" cy="9086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2670" cy="908685"/>
                    </a:xfrm>
                    <a:prstGeom prst="rect">
                      <a:avLst/>
                    </a:prstGeom>
                    <a:noFill/>
                    <a:ln>
                      <a:noFill/>
                    </a:ln>
                  </pic:spPr>
                </pic:pic>
              </a:graphicData>
            </a:graphic>
          </wp:inline>
        </w:drawing>
      </w:r>
    </w:p>
    <w:p w14:paraId="1C4FD2BF" w14:textId="77777777" w:rsidR="00D94AFC" w:rsidRPr="0048614E" w:rsidRDefault="00D94AFC">
      <w:pPr>
        <w:rPr>
          <w:rFonts w:ascii="Book Antiqua" w:hAnsi="Book Antiqua" w:cs="Arial"/>
          <w:color w:val="000000"/>
          <w:sz w:val="16"/>
          <w:szCs w:val="16"/>
        </w:rPr>
      </w:pPr>
    </w:p>
    <w:p w14:paraId="3D54A4E1" w14:textId="77777777" w:rsidR="008A6059" w:rsidRPr="009B7433" w:rsidRDefault="008A6059" w:rsidP="00780F86">
      <w:pPr>
        <w:tabs>
          <w:tab w:val="right" w:pos="9720"/>
        </w:tabs>
        <w:ind w:right="-82"/>
        <w:rPr>
          <w:rFonts w:ascii="Book Antiqua" w:hAnsi="Book Antiqua" w:cs="Arial"/>
          <w:b/>
          <w:color w:val="000000"/>
        </w:rPr>
      </w:pPr>
      <w:r w:rsidRPr="009B7433">
        <w:rPr>
          <w:rFonts w:ascii="Book Antiqua" w:hAnsi="Book Antiqua" w:cs="Arial"/>
          <w:b/>
          <w:color w:val="000000"/>
        </w:rPr>
        <w:t xml:space="preserve">Upper Tribunal </w:t>
      </w:r>
    </w:p>
    <w:p w14:paraId="73462E1E" w14:textId="77777777" w:rsidR="007B0824" w:rsidRDefault="008A6059" w:rsidP="00780F86">
      <w:pPr>
        <w:tabs>
          <w:tab w:val="right" w:pos="9720"/>
        </w:tabs>
        <w:ind w:right="-82"/>
        <w:rPr>
          <w:rFonts w:ascii="Book Antiqua" w:hAnsi="Book Antiqua" w:cs="Arial"/>
          <w:caps/>
          <w:color w:val="000000"/>
        </w:rPr>
      </w:pPr>
      <w:r w:rsidRPr="009B7433">
        <w:rPr>
          <w:rFonts w:ascii="Book Antiqua" w:hAnsi="Book Antiqua" w:cs="Arial"/>
          <w:b/>
          <w:color w:val="000000"/>
        </w:rPr>
        <w:t>(Immigration and Asylum Chamber)</w:t>
      </w:r>
      <w:r w:rsidR="00DB70AE" w:rsidRPr="009B7433">
        <w:rPr>
          <w:rFonts w:ascii="Book Antiqua" w:hAnsi="Book Antiqua" w:cs="Arial"/>
          <w:b/>
          <w:color w:val="000000"/>
        </w:rPr>
        <w:tab/>
      </w:r>
      <w:r w:rsidR="00B3524D" w:rsidRPr="009B7433">
        <w:rPr>
          <w:rFonts w:ascii="Book Antiqua" w:hAnsi="Book Antiqua" w:cs="Arial"/>
          <w:color w:val="000000"/>
        </w:rPr>
        <w:t>Appeal Number</w:t>
      </w:r>
      <w:r w:rsidR="00194D8E">
        <w:rPr>
          <w:rFonts w:ascii="Book Antiqua" w:hAnsi="Book Antiqua" w:cs="Arial"/>
          <w:color w:val="000000"/>
        </w:rPr>
        <w:t>s</w:t>
      </w:r>
      <w:bookmarkStart w:id="0" w:name="_Hlk523734010"/>
      <w:r w:rsidR="00D53769" w:rsidRPr="009B7433">
        <w:rPr>
          <w:rFonts w:ascii="Book Antiqua" w:hAnsi="Book Antiqua" w:cs="Arial"/>
          <w:color w:val="000000"/>
        </w:rPr>
        <w:t>:</w:t>
      </w:r>
      <w:r w:rsidR="00B3524D" w:rsidRPr="009B7433">
        <w:rPr>
          <w:rFonts w:ascii="Book Antiqua" w:hAnsi="Book Antiqua" w:cs="Arial"/>
          <w:color w:val="000000"/>
        </w:rPr>
        <w:t xml:space="preserve"> </w:t>
      </w:r>
      <w:bookmarkStart w:id="1" w:name="_GoBack"/>
      <w:r w:rsidR="00194D8E">
        <w:rPr>
          <w:rFonts w:ascii="Book Antiqua" w:hAnsi="Book Antiqua" w:cs="Arial"/>
          <w:caps/>
          <w:color w:val="000000"/>
        </w:rPr>
        <w:t>HU/24536/2016</w:t>
      </w:r>
      <w:bookmarkEnd w:id="1"/>
    </w:p>
    <w:p w14:paraId="666421B1" w14:textId="77777777" w:rsidR="00194D8E" w:rsidRPr="009B7433" w:rsidRDefault="00194D8E" w:rsidP="00780F86">
      <w:pPr>
        <w:tabs>
          <w:tab w:val="right" w:pos="9720"/>
        </w:tabs>
        <w:ind w:right="-82"/>
        <w:rPr>
          <w:rFonts w:ascii="Book Antiqua" w:hAnsi="Book Antiqua" w:cs="Arial"/>
          <w:color w:val="000000"/>
        </w:rPr>
      </w:pPr>
      <w:r>
        <w:rPr>
          <w:rFonts w:ascii="Book Antiqua" w:hAnsi="Book Antiqua" w:cs="Arial"/>
          <w:caps/>
          <w:color w:val="000000"/>
        </w:rPr>
        <w:tab/>
        <w:t>HU/23928/2016</w:t>
      </w:r>
      <w:bookmarkEnd w:id="0"/>
    </w:p>
    <w:p w14:paraId="2A6D799D" w14:textId="77777777" w:rsidR="00C345E1" w:rsidRPr="009B7433" w:rsidRDefault="00C345E1" w:rsidP="00C345E1">
      <w:pPr>
        <w:jc w:val="center"/>
        <w:rPr>
          <w:rFonts w:ascii="Book Antiqua" w:hAnsi="Book Antiqua" w:cs="Arial"/>
          <w:color w:val="000000"/>
        </w:rPr>
      </w:pPr>
    </w:p>
    <w:p w14:paraId="44DF4E9B" w14:textId="77777777" w:rsidR="00C345E1" w:rsidRPr="009B7433" w:rsidRDefault="00C345E1" w:rsidP="00C345E1">
      <w:pPr>
        <w:jc w:val="center"/>
        <w:rPr>
          <w:rFonts w:ascii="Book Antiqua" w:hAnsi="Book Antiqua" w:cs="Arial"/>
          <w:color w:val="000000"/>
        </w:rPr>
      </w:pPr>
    </w:p>
    <w:p w14:paraId="45D77097" w14:textId="77777777" w:rsidR="00C345E1" w:rsidRPr="009B7433" w:rsidRDefault="00C345E1" w:rsidP="00C345E1">
      <w:pPr>
        <w:jc w:val="center"/>
        <w:rPr>
          <w:rFonts w:ascii="Book Antiqua" w:hAnsi="Book Antiqua" w:cs="Arial"/>
          <w:b/>
          <w:color w:val="000000"/>
          <w:u w:val="single"/>
        </w:rPr>
      </w:pPr>
      <w:r w:rsidRPr="009B7433">
        <w:rPr>
          <w:rFonts w:ascii="Book Antiqua" w:hAnsi="Book Antiqua" w:cs="Arial"/>
          <w:b/>
          <w:color w:val="000000"/>
          <w:u w:val="single"/>
        </w:rPr>
        <w:t>THE IMMIGRATION ACTS</w:t>
      </w:r>
    </w:p>
    <w:p w14:paraId="75073A5A" w14:textId="77777777" w:rsidR="00C345E1" w:rsidRPr="009B7433" w:rsidRDefault="00C345E1" w:rsidP="00C345E1">
      <w:pPr>
        <w:jc w:val="center"/>
        <w:rPr>
          <w:rFonts w:ascii="Book Antiqua" w:hAnsi="Book Antiqua" w:cs="Arial"/>
          <w:b/>
          <w:u w:val="single"/>
        </w:rPr>
      </w:pPr>
    </w:p>
    <w:p w14:paraId="3156854F" w14:textId="77777777" w:rsidR="00C345E1" w:rsidRPr="009B7433"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048"/>
        <w:gridCol w:w="3960"/>
      </w:tblGrid>
      <w:tr w:rsidR="00D22636" w:rsidRPr="009B7433" w14:paraId="44320607" w14:textId="77777777" w:rsidTr="00D949B7">
        <w:tc>
          <w:tcPr>
            <w:tcW w:w="6048" w:type="dxa"/>
          </w:tcPr>
          <w:p w14:paraId="5F44EFDB" w14:textId="77777777" w:rsidR="00D22636" w:rsidRPr="009B7433" w:rsidRDefault="00D22636" w:rsidP="004A1848">
            <w:pPr>
              <w:jc w:val="both"/>
              <w:rPr>
                <w:rFonts w:ascii="Book Antiqua" w:hAnsi="Book Antiqua" w:cs="Arial"/>
                <w:b/>
              </w:rPr>
            </w:pPr>
            <w:r w:rsidRPr="009B7433">
              <w:rPr>
                <w:rFonts w:ascii="Book Antiqua" w:hAnsi="Book Antiqua" w:cs="Arial"/>
                <w:b/>
              </w:rPr>
              <w:t xml:space="preserve">Heard at </w:t>
            </w:r>
            <w:r w:rsidR="00194D8E">
              <w:rPr>
                <w:rFonts w:ascii="Book Antiqua" w:hAnsi="Book Antiqua" w:cs="Arial"/>
                <w:b/>
              </w:rPr>
              <w:t>Field House</w:t>
            </w:r>
          </w:p>
        </w:tc>
        <w:tc>
          <w:tcPr>
            <w:tcW w:w="3960" w:type="dxa"/>
          </w:tcPr>
          <w:p w14:paraId="72B27B53" w14:textId="77777777" w:rsidR="00D22636" w:rsidRPr="009B7433" w:rsidRDefault="00D949B7" w:rsidP="00093D4D">
            <w:pPr>
              <w:jc w:val="both"/>
              <w:rPr>
                <w:rFonts w:ascii="Book Antiqua" w:hAnsi="Book Antiqua" w:cs="Arial"/>
                <w:b/>
                <w:color w:val="000000"/>
              </w:rPr>
            </w:pPr>
            <w:r>
              <w:rPr>
                <w:rFonts w:ascii="Book Antiqua" w:hAnsi="Book Antiqua" w:cs="Arial"/>
                <w:b/>
                <w:color w:val="000000"/>
              </w:rPr>
              <w:t>Decision &amp; Reasons</w:t>
            </w:r>
            <w:r w:rsidR="00283659" w:rsidRPr="009B7433">
              <w:rPr>
                <w:rFonts w:ascii="Book Antiqua" w:hAnsi="Book Antiqua" w:cs="Arial"/>
                <w:b/>
                <w:color w:val="000000"/>
              </w:rPr>
              <w:t xml:space="preserve"> Promulgated</w:t>
            </w:r>
          </w:p>
        </w:tc>
      </w:tr>
      <w:tr w:rsidR="00D22636" w:rsidRPr="009B7433" w14:paraId="032C75BD" w14:textId="77777777" w:rsidTr="00D949B7">
        <w:tc>
          <w:tcPr>
            <w:tcW w:w="6048" w:type="dxa"/>
          </w:tcPr>
          <w:p w14:paraId="4E1E2384" w14:textId="77777777" w:rsidR="00D22636" w:rsidRPr="009B7433" w:rsidRDefault="00D22636" w:rsidP="004A1848">
            <w:pPr>
              <w:jc w:val="both"/>
              <w:rPr>
                <w:rFonts w:ascii="Book Antiqua" w:hAnsi="Book Antiqua" w:cs="Arial"/>
                <w:b/>
              </w:rPr>
            </w:pPr>
            <w:r w:rsidRPr="009B7433">
              <w:rPr>
                <w:rFonts w:ascii="Book Antiqua" w:hAnsi="Book Antiqua" w:cs="Arial"/>
                <w:b/>
              </w:rPr>
              <w:t xml:space="preserve">On </w:t>
            </w:r>
            <w:r w:rsidR="00194D8E">
              <w:rPr>
                <w:rFonts w:ascii="Book Antiqua" w:hAnsi="Book Antiqua" w:cs="Arial"/>
                <w:b/>
              </w:rPr>
              <w:t>14 August 2018</w:t>
            </w:r>
          </w:p>
        </w:tc>
        <w:tc>
          <w:tcPr>
            <w:tcW w:w="3960" w:type="dxa"/>
          </w:tcPr>
          <w:p w14:paraId="75456B26" w14:textId="3D1323C9" w:rsidR="00D22636" w:rsidRPr="009B7433" w:rsidRDefault="00F1099A" w:rsidP="004A1848">
            <w:pPr>
              <w:jc w:val="both"/>
              <w:rPr>
                <w:rFonts w:ascii="Book Antiqua" w:hAnsi="Book Antiqua" w:cs="Arial"/>
                <w:b/>
              </w:rPr>
            </w:pPr>
            <w:r>
              <w:rPr>
                <w:rFonts w:ascii="Book Antiqua" w:hAnsi="Book Antiqua" w:cs="Arial"/>
                <w:b/>
              </w:rPr>
              <w:t xml:space="preserve">On 3 </w:t>
            </w:r>
            <w:r w:rsidR="0048614E">
              <w:rPr>
                <w:rFonts w:ascii="Book Antiqua" w:hAnsi="Book Antiqua" w:cs="Arial"/>
                <w:b/>
              </w:rPr>
              <w:t>September</w:t>
            </w:r>
            <w:r>
              <w:rPr>
                <w:rFonts w:ascii="Book Antiqua" w:hAnsi="Book Antiqua" w:cs="Arial"/>
                <w:b/>
              </w:rPr>
              <w:t xml:space="preserve"> 2018</w:t>
            </w:r>
          </w:p>
        </w:tc>
      </w:tr>
      <w:tr w:rsidR="00D22636" w:rsidRPr="009B7433" w14:paraId="11C017BB" w14:textId="77777777" w:rsidTr="00D949B7">
        <w:tc>
          <w:tcPr>
            <w:tcW w:w="6048" w:type="dxa"/>
          </w:tcPr>
          <w:p w14:paraId="5BAD7A8C" w14:textId="77777777" w:rsidR="00D22636" w:rsidRPr="009B7433" w:rsidRDefault="00D22636" w:rsidP="004A1848">
            <w:pPr>
              <w:jc w:val="both"/>
              <w:rPr>
                <w:rFonts w:ascii="Book Antiqua" w:hAnsi="Book Antiqua" w:cs="Arial"/>
                <w:b/>
              </w:rPr>
            </w:pPr>
          </w:p>
        </w:tc>
        <w:tc>
          <w:tcPr>
            <w:tcW w:w="3960" w:type="dxa"/>
          </w:tcPr>
          <w:p w14:paraId="2943311E" w14:textId="54B0EF84" w:rsidR="00D22636" w:rsidRPr="009B7433" w:rsidRDefault="00D22636" w:rsidP="004A1848">
            <w:pPr>
              <w:jc w:val="both"/>
              <w:rPr>
                <w:rFonts w:ascii="Book Antiqua" w:hAnsi="Book Antiqua" w:cs="Arial"/>
                <w:b/>
              </w:rPr>
            </w:pPr>
          </w:p>
        </w:tc>
      </w:tr>
    </w:tbl>
    <w:p w14:paraId="6D225DB6" w14:textId="77777777" w:rsidR="00A15234" w:rsidRPr="009B7433" w:rsidRDefault="00A15234" w:rsidP="00A15234">
      <w:pPr>
        <w:jc w:val="center"/>
        <w:rPr>
          <w:rFonts w:ascii="Book Antiqua" w:hAnsi="Book Antiqua" w:cs="Arial"/>
        </w:rPr>
      </w:pPr>
    </w:p>
    <w:p w14:paraId="5A720A5F" w14:textId="77777777" w:rsidR="00A15234" w:rsidRPr="009B7433" w:rsidRDefault="00207617" w:rsidP="00A15234">
      <w:pPr>
        <w:jc w:val="center"/>
        <w:rPr>
          <w:rFonts w:ascii="Book Antiqua" w:hAnsi="Book Antiqua" w:cs="Arial"/>
          <w:b/>
        </w:rPr>
      </w:pPr>
      <w:r w:rsidRPr="009B7433">
        <w:rPr>
          <w:rFonts w:ascii="Book Antiqua" w:hAnsi="Book Antiqua" w:cs="Arial"/>
          <w:b/>
        </w:rPr>
        <w:t>Befo</w:t>
      </w:r>
      <w:r w:rsidR="00A15234" w:rsidRPr="009B7433">
        <w:rPr>
          <w:rFonts w:ascii="Book Antiqua" w:hAnsi="Book Antiqua" w:cs="Arial"/>
          <w:b/>
        </w:rPr>
        <w:t>re</w:t>
      </w:r>
    </w:p>
    <w:p w14:paraId="6404D712" w14:textId="77777777" w:rsidR="00A15234" w:rsidRPr="009B7433" w:rsidRDefault="00A15234" w:rsidP="00A15234">
      <w:pPr>
        <w:jc w:val="center"/>
        <w:rPr>
          <w:rFonts w:ascii="Book Antiqua" w:hAnsi="Book Antiqua" w:cs="Arial"/>
          <w:b/>
        </w:rPr>
      </w:pPr>
    </w:p>
    <w:p w14:paraId="28BBB158" w14:textId="77777777" w:rsidR="001B186A" w:rsidRPr="009B7433" w:rsidRDefault="000C40FF" w:rsidP="00194D8E">
      <w:pPr>
        <w:jc w:val="center"/>
        <w:rPr>
          <w:rFonts w:ascii="Book Antiqua" w:hAnsi="Book Antiqua" w:cs="Arial"/>
          <w:b/>
          <w:color w:val="000000"/>
        </w:rPr>
      </w:pPr>
      <w:r>
        <w:rPr>
          <w:rFonts w:ascii="Book Antiqua" w:hAnsi="Book Antiqua" w:cs="Arial"/>
          <w:b/>
          <w:color w:val="000000"/>
        </w:rPr>
        <w:t>DEPUTY UPPER TRIBUNAL JUDGE SAINI</w:t>
      </w:r>
    </w:p>
    <w:p w14:paraId="438F54B6" w14:textId="7927AB54" w:rsidR="00D20757" w:rsidRDefault="00D20757" w:rsidP="00A15234">
      <w:pPr>
        <w:jc w:val="center"/>
        <w:rPr>
          <w:rFonts w:ascii="Book Antiqua" w:hAnsi="Book Antiqua" w:cs="Arial"/>
          <w:b/>
        </w:rPr>
      </w:pPr>
    </w:p>
    <w:p w14:paraId="01E4C0BD" w14:textId="77777777" w:rsidR="0048614E" w:rsidRPr="009B7433" w:rsidRDefault="0048614E" w:rsidP="00A15234">
      <w:pPr>
        <w:jc w:val="center"/>
        <w:rPr>
          <w:rFonts w:ascii="Book Antiqua" w:hAnsi="Book Antiqua" w:cs="Arial"/>
          <w:b/>
        </w:rPr>
      </w:pPr>
    </w:p>
    <w:p w14:paraId="6CB1987D" w14:textId="77777777" w:rsidR="00A845DC" w:rsidRPr="009B7433" w:rsidRDefault="00A845DC" w:rsidP="00A15234">
      <w:pPr>
        <w:jc w:val="center"/>
        <w:rPr>
          <w:rFonts w:ascii="Book Antiqua" w:hAnsi="Book Antiqua" w:cs="Arial"/>
          <w:b/>
        </w:rPr>
      </w:pPr>
      <w:r w:rsidRPr="009B7433">
        <w:rPr>
          <w:rFonts w:ascii="Book Antiqua" w:hAnsi="Book Antiqua" w:cs="Arial"/>
          <w:b/>
        </w:rPr>
        <w:t>Between</w:t>
      </w:r>
    </w:p>
    <w:p w14:paraId="7433F376" w14:textId="77777777" w:rsidR="00A845DC" w:rsidRPr="009B7433" w:rsidRDefault="00A845DC" w:rsidP="00A15234">
      <w:pPr>
        <w:jc w:val="center"/>
        <w:rPr>
          <w:rFonts w:ascii="Book Antiqua" w:hAnsi="Book Antiqua" w:cs="Arial"/>
          <w:b/>
        </w:rPr>
      </w:pPr>
    </w:p>
    <w:p w14:paraId="080FE00B" w14:textId="62EC090F" w:rsidR="00A845DC" w:rsidRDefault="00D71D51" w:rsidP="00A15234">
      <w:pPr>
        <w:jc w:val="center"/>
        <w:rPr>
          <w:rFonts w:ascii="Book Antiqua" w:hAnsi="Book Antiqua" w:cs="Arial"/>
          <w:b/>
          <w:caps/>
        </w:rPr>
      </w:pPr>
      <w:r>
        <w:rPr>
          <w:rFonts w:ascii="Book Antiqua" w:hAnsi="Book Antiqua" w:cs="Arial"/>
          <w:b/>
          <w:caps/>
        </w:rPr>
        <w:t>D</w:t>
      </w:r>
      <w:r w:rsidR="00194D8E">
        <w:rPr>
          <w:rFonts w:ascii="Book Antiqua" w:hAnsi="Book Antiqua" w:cs="Arial"/>
          <w:b/>
          <w:caps/>
        </w:rPr>
        <w:t>D</w:t>
      </w:r>
    </w:p>
    <w:p w14:paraId="6412C84E" w14:textId="1CA1760F" w:rsidR="00194D8E" w:rsidRDefault="00D71D51" w:rsidP="00A15234">
      <w:pPr>
        <w:jc w:val="center"/>
        <w:rPr>
          <w:rFonts w:ascii="Book Antiqua" w:hAnsi="Book Antiqua" w:cs="Arial"/>
          <w:b/>
          <w:caps/>
        </w:rPr>
      </w:pPr>
      <w:r>
        <w:rPr>
          <w:rFonts w:ascii="Book Antiqua" w:hAnsi="Book Antiqua" w:cs="Arial"/>
          <w:b/>
          <w:caps/>
        </w:rPr>
        <w:t>D</w:t>
      </w:r>
      <w:r w:rsidR="00194D8E">
        <w:rPr>
          <w:rFonts w:ascii="Book Antiqua" w:hAnsi="Book Antiqua" w:cs="Arial"/>
          <w:b/>
          <w:caps/>
        </w:rPr>
        <w:t>D</w:t>
      </w:r>
    </w:p>
    <w:p w14:paraId="3F9B4F06" w14:textId="77777777" w:rsidR="00704B61" w:rsidRPr="0048614E" w:rsidRDefault="00D949B7" w:rsidP="00C67DBC">
      <w:pPr>
        <w:jc w:val="center"/>
        <w:rPr>
          <w:rFonts w:ascii="Book Antiqua" w:hAnsi="Book Antiqua" w:cs="Arial"/>
          <w:b/>
          <w:caps/>
          <w:sz w:val="22"/>
        </w:rPr>
      </w:pPr>
      <w:r w:rsidRPr="0048614E">
        <w:rPr>
          <w:rFonts w:ascii="Book Antiqua" w:hAnsi="Book Antiqua" w:cs="Arial"/>
          <w:b/>
          <w:caps/>
          <w:sz w:val="22"/>
        </w:rPr>
        <w:t xml:space="preserve">(ANONYMITY DIRECTION </w:t>
      </w:r>
      <w:r w:rsidR="00194D8E" w:rsidRPr="0048614E">
        <w:rPr>
          <w:rFonts w:ascii="Book Antiqua" w:hAnsi="Book Antiqua" w:cs="Arial"/>
          <w:b/>
          <w:caps/>
          <w:sz w:val="22"/>
        </w:rPr>
        <w:t>MADE</w:t>
      </w:r>
      <w:r w:rsidRPr="0048614E">
        <w:rPr>
          <w:rFonts w:ascii="Book Antiqua" w:hAnsi="Book Antiqua" w:cs="Arial"/>
          <w:b/>
          <w:caps/>
          <w:sz w:val="22"/>
        </w:rPr>
        <w:t>)</w:t>
      </w:r>
    </w:p>
    <w:p w14:paraId="4433683B" w14:textId="77777777" w:rsidR="00704B61" w:rsidRPr="009B7433" w:rsidRDefault="00704B61" w:rsidP="00704B61">
      <w:pPr>
        <w:jc w:val="right"/>
        <w:rPr>
          <w:rFonts w:ascii="Book Antiqua" w:hAnsi="Book Antiqua" w:cs="Arial"/>
          <w:u w:val="single"/>
        </w:rPr>
      </w:pPr>
      <w:r w:rsidRPr="009B7433">
        <w:rPr>
          <w:rFonts w:ascii="Book Antiqua" w:hAnsi="Book Antiqua" w:cs="Arial"/>
          <w:u w:val="single"/>
        </w:rPr>
        <w:t>Appellant</w:t>
      </w:r>
      <w:r w:rsidR="00194D8E">
        <w:rPr>
          <w:rFonts w:ascii="Book Antiqua" w:hAnsi="Book Antiqua" w:cs="Arial"/>
          <w:u w:val="single"/>
        </w:rPr>
        <w:t>s</w:t>
      </w:r>
    </w:p>
    <w:p w14:paraId="03326B1D" w14:textId="77777777" w:rsidR="00704B61" w:rsidRPr="009B7433" w:rsidRDefault="00DD5071" w:rsidP="00704B61">
      <w:pPr>
        <w:jc w:val="center"/>
        <w:rPr>
          <w:rFonts w:ascii="Book Antiqua" w:hAnsi="Book Antiqua" w:cs="Arial"/>
          <w:b/>
        </w:rPr>
      </w:pPr>
      <w:r w:rsidRPr="009B7433">
        <w:rPr>
          <w:rFonts w:ascii="Book Antiqua" w:hAnsi="Book Antiqua" w:cs="Arial"/>
          <w:b/>
        </w:rPr>
        <w:t>and</w:t>
      </w:r>
    </w:p>
    <w:p w14:paraId="4043FC8B" w14:textId="77777777" w:rsidR="00DD5071" w:rsidRPr="009B7433" w:rsidRDefault="00DD5071" w:rsidP="00704B61">
      <w:pPr>
        <w:jc w:val="center"/>
        <w:rPr>
          <w:rFonts w:ascii="Book Antiqua" w:hAnsi="Book Antiqua" w:cs="Arial"/>
          <w:b/>
        </w:rPr>
      </w:pPr>
    </w:p>
    <w:p w14:paraId="0B3C4581" w14:textId="77777777" w:rsidR="00DD5071" w:rsidRPr="009B7433" w:rsidRDefault="00DD5071" w:rsidP="00704B61">
      <w:pPr>
        <w:jc w:val="center"/>
        <w:rPr>
          <w:rFonts w:ascii="Book Antiqua" w:hAnsi="Book Antiqua" w:cs="Arial"/>
          <w:b/>
        </w:rPr>
      </w:pPr>
      <w:r w:rsidRPr="009B7433">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2" w:name="Text7"/>
      <w:r w:rsidRPr="009B7433">
        <w:rPr>
          <w:rFonts w:ascii="Book Antiqua" w:hAnsi="Book Antiqua" w:cs="Arial"/>
          <w:b/>
        </w:rPr>
        <w:instrText xml:space="preserve"> FORMTEXT </w:instrText>
      </w:r>
      <w:r w:rsidRPr="009B7433">
        <w:rPr>
          <w:rFonts w:ascii="Book Antiqua" w:hAnsi="Book Antiqua" w:cs="Arial"/>
          <w:b/>
        </w:rPr>
      </w:r>
      <w:r w:rsidRPr="009B7433">
        <w:rPr>
          <w:rFonts w:ascii="Book Antiqua" w:hAnsi="Book Antiqua" w:cs="Arial"/>
          <w:b/>
        </w:rPr>
        <w:fldChar w:fldCharType="separate"/>
      </w:r>
      <w:r w:rsidRPr="009B7433">
        <w:rPr>
          <w:rFonts w:ascii="Book Antiqua" w:hAnsi="Book Antiqua" w:cs="Arial"/>
          <w:b/>
          <w:noProof/>
        </w:rPr>
        <w:t>THE SECRETARY OF STATE FOR THE HOME DEPARTMENT</w:t>
      </w:r>
      <w:r w:rsidRPr="009B7433">
        <w:rPr>
          <w:rFonts w:ascii="Book Antiqua" w:hAnsi="Book Antiqua" w:cs="Arial"/>
          <w:b/>
        </w:rPr>
        <w:fldChar w:fldCharType="end"/>
      </w:r>
      <w:bookmarkEnd w:id="2"/>
    </w:p>
    <w:p w14:paraId="05C7F268" w14:textId="77777777" w:rsidR="00DD5071" w:rsidRPr="009B7433" w:rsidRDefault="00DD5071" w:rsidP="00DD5071">
      <w:pPr>
        <w:jc w:val="right"/>
        <w:rPr>
          <w:rFonts w:ascii="Book Antiqua" w:hAnsi="Book Antiqua" w:cs="Arial"/>
          <w:u w:val="single"/>
        </w:rPr>
      </w:pPr>
      <w:r w:rsidRPr="009B7433">
        <w:rPr>
          <w:rFonts w:ascii="Book Antiqua" w:hAnsi="Book Antiqua" w:cs="Arial"/>
          <w:u w:val="single"/>
        </w:rPr>
        <w:t>Respondent</w:t>
      </w:r>
    </w:p>
    <w:p w14:paraId="62AB39EC" w14:textId="77777777" w:rsidR="00DD5071" w:rsidRPr="009B7433" w:rsidRDefault="00DD5071" w:rsidP="00DD5071">
      <w:pPr>
        <w:rPr>
          <w:rFonts w:ascii="Book Antiqua" w:hAnsi="Book Antiqua" w:cs="Arial"/>
          <w:u w:val="single"/>
        </w:rPr>
      </w:pPr>
    </w:p>
    <w:p w14:paraId="5DDA1123" w14:textId="77777777" w:rsidR="00DD5071" w:rsidRPr="009B7433" w:rsidRDefault="00DD5071" w:rsidP="00DD5071">
      <w:pPr>
        <w:rPr>
          <w:rFonts w:ascii="Book Antiqua" w:hAnsi="Book Antiqua" w:cs="Arial"/>
          <w:u w:val="single"/>
        </w:rPr>
      </w:pPr>
    </w:p>
    <w:p w14:paraId="11D055F7" w14:textId="77777777" w:rsidR="00DD5071" w:rsidRPr="009B7433" w:rsidRDefault="00DE7DB7" w:rsidP="00DD5071">
      <w:pPr>
        <w:rPr>
          <w:rFonts w:ascii="Book Antiqua" w:hAnsi="Book Antiqua" w:cs="Arial"/>
        </w:rPr>
      </w:pPr>
      <w:r w:rsidRPr="009B7433">
        <w:rPr>
          <w:rFonts w:ascii="Book Antiqua" w:hAnsi="Book Antiqua" w:cs="Arial"/>
          <w:b/>
          <w:u w:val="single"/>
        </w:rPr>
        <w:t>Representation</w:t>
      </w:r>
      <w:r w:rsidRPr="009B7433">
        <w:rPr>
          <w:rFonts w:ascii="Book Antiqua" w:hAnsi="Book Antiqua" w:cs="Arial"/>
          <w:b/>
        </w:rPr>
        <w:t>:</w:t>
      </w:r>
    </w:p>
    <w:p w14:paraId="16E3956D" w14:textId="653ADB55" w:rsidR="00DE7DB7" w:rsidRPr="009B7433" w:rsidRDefault="00DE7DB7" w:rsidP="00DE7DB7">
      <w:pPr>
        <w:tabs>
          <w:tab w:val="left" w:pos="2520"/>
        </w:tabs>
        <w:rPr>
          <w:rFonts w:ascii="Book Antiqua" w:hAnsi="Book Antiqua" w:cs="Arial"/>
        </w:rPr>
      </w:pPr>
      <w:r w:rsidRPr="009B7433">
        <w:rPr>
          <w:rFonts w:ascii="Book Antiqua" w:hAnsi="Book Antiqua" w:cs="Arial"/>
        </w:rPr>
        <w:t>For the Appellant</w:t>
      </w:r>
      <w:r w:rsidR="00194D8E">
        <w:rPr>
          <w:rFonts w:ascii="Book Antiqua" w:hAnsi="Book Antiqua" w:cs="Arial"/>
        </w:rPr>
        <w:t>s</w:t>
      </w:r>
      <w:r w:rsidRPr="009B7433">
        <w:rPr>
          <w:rFonts w:ascii="Book Antiqua" w:hAnsi="Book Antiqua" w:cs="Arial"/>
        </w:rPr>
        <w:t>:</w:t>
      </w:r>
      <w:r w:rsidRPr="009B7433">
        <w:rPr>
          <w:rFonts w:ascii="Book Antiqua" w:hAnsi="Book Antiqua" w:cs="Arial"/>
        </w:rPr>
        <w:tab/>
      </w:r>
      <w:r w:rsidR="00194D8E">
        <w:rPr>
          <w:rFonts w:ascii="Book Antiqua" w:hAnsi="Book Antiqua" w:cs="Arial"/>
        </w:rPr>
        <w:t>Mr M Aslam</w:t>
      </w:r>
      <w:r w:rsidR="00D71D51">
        <w:rPr>
          <w:rFonts w:ascii="Book Antiqua" w:hAnsi="Book Antiqua" w:cs="Arial"/>
        </w:rPr>
        <w:t>,</w:t>
      </w:r>
      <w:r w:rsidR="00194D8E">
        <w:rPr>
          <w:rFonts w:ascii="Book Antiqua" w:hAnsi="Book Antiqua" w:cs="Arial"/>
        </w:rPr>
        <w:t xml:space="preserve"> Counsel</w:t>
      </w:r>
    </w:p>
    <w:p w14:paraId="33E823C8" w14:textId="77777777" w:rsidR="00DE7DB7" w:rsidRPr="009B7433" w:rsidRDefault="00DE7DB7" w:rsidP="00DE7DB7">
      <w:pPr>
        <w:tabs>
          <w:tab w:val="left" w:pos="2520"/>
        </w:tabs>
        <w:rPr>
          <w:rFonts w:ascii="Book Antiqua" w:hAnsi="Book Antiqua" w:cs="Arial"/>
        </w:rPr>
      </w:pPr>
      <w:r w:rsidRPr="009B7433">
        <w:rPr>
          <w:rFonts w:ascii="Book Antiqua" w:hAnsi="Book Antiqua" w:cs="Arial"/>
        </w:rPr>
        <w:t>For the Respondent:</w:t>
      </w:r>
      <w:r w:rsidRPr="009B7433">
        <w:rPr>
          <w:rFonts w:ascii="Book Antiqua" w:hAnsi="Book Antiqua" w:cs="Arial"/>
        </w:rPr>
        <w:tab/>
      </w:r>
      <w:r w:rsidR="00194D8E">
        <w:rPr>
          <w:rFonts w:ascii="Book Antiqua" w:hAnsi="Book Antiqua" w:cs="Arial"/>
        </w:rPr>
        <w:t xml:space="preserve">Mr S </w:t>
      </w:r>
      <w:proofErr w:type="spellStart"/>
      <w:r w:rsidR="00194D8E">
        <w:rPr>
          <w:rFonts w:ascii="Book Antiqua" w:hAnsi="Book Antiqua" w:cs="Arial"/>
        </w:rPr>
        <w:t>Kotas</w:t>
      </w:r>
      <w:proofErr w:type="spellEnd"/>
      <w:r w:rsidR="00194D8E">
        <w:rPr>
          <w:rFonts w:ascii="Book Antiqua" w:hAnsi="Book Antiqua" w:cs="Arial"/>
        </w:rPr>
        <w:t xml:space="preserve">, Senior Home Office Presenting Officer </w:t>
      </w:r>
    </w:p>
    <w:p w14:paraId="6BB182F0" w14:textId="77777777" w:rsidR="00DE7DB7" w:rsidRPr="009B7433" w:rsidRDefault="00DE7DB7" w:rsidP="00402B9E">
      <w:pPr>
        <w:tabs>
          <w:tab w:val="left" w:pos="2520"/>
        </w:tabs>
        <w:jc w:val="center"/>
        <w:rPr>
          <w:rFonts w:ascii="Book Antiqua" w:hAnsi="Book Antiqua" w:cs="Arial"/>
        </w:rPr>
      </w:pPr>
    </w:p>
    <w:p w14:paraId="13F91A21" w14:textId="77777777" w:rsidR="00DE7DB7" w:rsidRPr="009B7433" w:rsidRDefault="00DE7DB7" w:rsidP="000A0743">
      <w:pPr>
        <w:jc w:val="center"/>
        <w:rPr>
          <w:rFonts w:ascii="Book Antiqua" w:hAnsi="Book Antiqua" w:cs="Arial"/>
        </w:rPr>
      </w:pPr>
    </w:p>
    <w:p w14:paraId="566C1344" w14:textId="77777777" w:rsidR="00402B9E" w:rsidRPr="009B7433" w:rsidRDefault="00D949B7" w:rsidP="004D6B45">
      <w:pPr>
        <w:tabs>
          <w:tab w:val="left" w:pos="2520"/>
        </w:tabs>
        <w:jc w:val="center"/>
        <w:rPr>
          <w:rFonts w:ascii="Book Antiqua" w:hAnsi="Book Antiqua" w:cs="Arial"/>
        </w:rPr>
      </w:pPr>
      <w:r>
        <w:rPr>
          <w:rFonts w:ascii="Book Antiqua" w:hAnsi="Book Antiqua" w:cs="Arial"/>
          <w:b/>
          <w:u w:val="single"/>
        </w:rPr>
        <w:t xml:space="preserve">DECISION </w:t>
      </w:r>
      <w:r w:rsidR="00402B9E" w:rsidRPr="009B7433">
        <w:rPr>
          <w:rFonts w:ascii="Book Antiqua" w:hAnsi="Book Antiqua" w:cs="Arial"/>
          <w:b/>
          <w:u w:val="single"/>
        </w:rPr>
        <w:t>AND REASONS</w:t>
      </w:r>
    </w:p>
    <w:p w14:paraId="3367AA6E" w14:textId="424468BE" w:rsidR="009D348A" w:rsidRDefault="00194D8E" w:rsidP="009D348A">
      <w:pPr>
        <w:numPr>
          <w:ilvl w:val="0"/>
          <w:numId w:val="1"/>
        </w:numPr>
        <w:tabs>
          <w:tab w:val="clear" w:pos="567"/>
        </w:tabs>
        <w:spacing w:before="240"/>
        <w:jc w:val="both"/>
        <w:rPr>
          <w:rFonts w:ascii="Book Antiqua" w:hAnsi="Book Antiqua" w:cs="Arial"/>
        </w:rPr>
      </w:pPr>
      <w:r>
        <w:rPr>
          <w:rFonts w:ascii="Book Antiqua" w:hAnsi="Book Antiqua" w:cs="Arial"/>
        </w:rPr>
        <w:t>The Appellant</w:t>
      </w:r>
      <w:r w:rsidR="00D71D51">
        <w:rPr>
          <w:rFonts w:ascii="Book Antiqua" w:hAnsi="Book Antiqua" w:cs="Arial"/>
        </w:rPr>
        <w:t>s appeal</w:t>
      </w:r>
      <w:r>
        <w:rPr>
          <w:rFonts w:ascii="Book Antiqua" w:hAnsi="Book Antiqua" w:cs="Arial"/>
        </w:rPr>
        <w:t xml:space="preserve"> against the decision of </w:t>
      </w:r>
      <w:r w:rsidR="006F5DBF">
        <w:rPr>
          <w:rFonts w:ascii="Book Antiqua" w:hAnsi="Book Antiqua" w:cs="Arial"/>
        </w:rPr>
        <w:t xml:space="preserve">First-tier Tribunal Judge </w:t>
      </w:r>
      <w:proofErr w:type="spellStart"/>
      <w:r w:rsidR="006F5DBF">
        <w:rPr>
          <w:rFonts w:ascii="Book Antiqua" w:hAnsi="Book Antiqua" w:cs="Arial"/>
        </w:rPr>
        <w:t>Zahe</w:t>
      </w:r>
      <w:r w:rsidR="00C67DBC">
        <w:rPr>
          <w:rFonts w:ascii="Book Antiqua" w:hAnsi="Book Antiqua" w:cs="Arial"/>
        </w:rPr>
        <w:t>d</w:t>
      </w:r>
      <w:proofErr w:type="spellEnd"/>
      <w:r w:rsidR="006F5DBF">
        <w:rPr>
          <w:rFonts w:ascii="Book Antiqua" w:hAnsi="Book Antiqua" w:cs="Arial"/>
        </w:rPr>
        <w:t xml:space="preserve"> promulgated on 2</w:t>
      </w:r>
      <w:r w:rsidR="006F5DBF" w:rsidRPr="006F5DBF">
        <w:rPr>
          <w:rFonts w:ascii="Book Antiqua" w:hAnsi="Book Antiqua" w:cs="Arial"/>
          <w:vertAlign w:val="superscript"/>
        </w:rPr>
        <w:t>nd</w:t>
      </w:r>
      <w:r w:rsidR="006F5DBF">
        <w:rPr>
          <w:rFonts w:ascii="Book Antiqua" w:hAnsi="Book Antiqua" w:cs="Arial"/>
        </w:rPr>
        <w:t xml:space="preserve"> March 2018 dismissing the Appellants’ human rights appeals on the basis of paragraph 297 of the Immigration Rules and Article 8 ECHR.</w:t>
      </w:r>
      <w:r w:rsidR="00C67DBC">
        <w:rPr>
          <w:rFonts w:ascii="Book Antiqua" w:hAnsi="Book Antiqua" w:cs="Arial"/>
        </w:rPr>
        <w:t xml:space="preserve">  The Appellants appeal against </w:t>
      </w:r>
      <w:r w:rsidR="00D71D51">
        <w:rPr>
          <w:rFonts w:ascii="Book Antiqua" w:hAnsi="Book Antiqua" w:cs="Arial"/>
        </w:rPr>
        <w:t xml:space="preserve">that decision </w:t>
      </w:r>
      <w:r w:rsidR="00C67DBC">
        <w:rPr>
          <w:rFonts w:ascii="Book Antiqua" w:hAnsi="Book Antiqua" w:cs="Arial"/>
        </w:rPr>
        <w:t>with permission having been given by First-tier Tribunal Judge Hollingworth for the following reasons:</w:t>
      </w:r>
    </w:p>
    <w:p w14:paraId="6C4A6AEC" w14:textId="2A5F5A21" w:rsidR="00F634B0" w:rsidRPr="0048614E" w:rsidRDefault="00C67DBC" w:rsidP="0048614E">
      <w:pPr>
        <w:spacing w:before="120"/>
        <w:ind w:left="1134" w:right="567"/>
        <w:jc w:val="both"/>
        <w:rPr>
          <w:rFonts w:ascii="Book Antiqua" w:hAnsi="Book Antiqua" w:cs="Arial"/>
          <w:sz w:val="22"/>
        </w:rPr>
      </w:pPr>
      <w:r w:rsidRPr="0048614E">
        <w:rPr>
          <w:rFonts w:ascii="Book Antiqua" w:hAnsi="Book Antiqua" w:cs="Arial"/>
          <w:sz w:val="22"/>
        </w:rPr>
        <w:lastRenderedPageBreak/>
        <w:t>“At paragraph 15 of the decision the Judge state</w:t>
      </w:r>
      <w:r w:rsidR="00F634B0" w:rsidRPr="0048614E">
        <w:rPr>
          <w:rFonts w:ascii="Book Antiqua" w:hAnsi="Book Antiqua" w:cs="Arial"/>
          <w:sz w:val="22"/>
        </w:rPr>
        <w:t xml:space="preserve">s that the Judge found that the </w:t>
      </w:r>
      <w:r w:rsidRPr="0048614E">
        <w:rPr>
          <w:rFonts w:ascii="Book Antiqua" w:hAnsi="Book Antiqua" w:cs="Arial"/>
          <w:sz w:val="22"/>
        </w:rPr>
        <w:t xml:space="preserve">Appellants would not have succeeded in their immigration appeal as the first Appellant was over 18 at the date of application and the Sponsor did not have sole responsibility for them.  It is arguable that the footing for the Judge’s credibility findings was insufficient for the conclusions reached.  The Judge has drawn inferences upon the affidavits as stated at paragraph 11 of the decision.  At paragraph 10 of the decision the Judge has referred to </w:t>
      </w:r>
      <w:r w:rsidR="0048614E">
        <w:rPr>
          <w:rFonts w:ascii="Book Antiqua" w:hAnsi="Book Antiqua" w:cs="Arial"/>
          <w:sz w:val="22"/>
        </w:rPr>
        <w:t>[</w:t>
      </w:r>
      <w:r w:rsidRPr="0048614E">
        <w:rPr>
          <w:rFonts w:ascii="Book Antiqua" w:hAnsi="Book Antiqua" w:cs="Arial"/>
          <w:sz w:val="22"/>
        </w:rPr>
        <w:t>MD</w:t>
      </w:r>
      <w:r w:rsidR="0048614E">
        <w:rPr>
          <w:rFonts w:ascii="Book Antiqua" w:hAnsi="Book Antiqua" w:cs="Arial"/>
          <w:sz w:val="22"/>
        </w:rPr>
        <w:t>]</w:t>
      </w:r>
      <w:r w:rsidRPr="0048614E">
        <w:rPr>
          <w:rFonts w:ascii="Book Antiqua" w:hAnsi="Book Antiqua" w:cs="Arial"/>
          <w:sz w:val="22"/>
        </w:rPr>
        <w:t xml:space="preserve">, the aunt of the Appellants, stating that it was best that their father took them as their mother clearly shunned them to save their marriage.  The affidavit of </w:t>
      </w:r>
      <w:r w:rsidR="0048614E">
        <w:rPr>
          <w:rFonts w:ascii="Book Antiqua" w:hAnsi="Book Antiqua" w:cs="Arial"/>
          <w:sz w:val="22"/>
        </w:rPr>
        <w:t>[</w:t>
      </w:r>
      <w:r w:rsidRPr="0048614E">
        <w:rPr>
          <w:rFonts w:ascii="Book Antiqua" w:hAnsi="Book Antiqua" w:cs="Arial"/>
          <w:sz w:val="22"/>
        </w:rPr>
        <w:t>EM</w:t>
      </w:r>
      <w:r w:rsidR="0048614E">
        <w:rPr>
          <w:rFonts w:ascii="Book Antiqua" w:hAnsi="Book Antiqua" w:cs="Arial"/>
          <w:sz w:val="22"/>
        </w:rPr>
        <w:t>]</w:t>
      </w:r>
      <w:r w:rsidRPr="0048614E">
        <w:rPr>
          <w:rFonts w:ascii="Book Antiqua" w:hAnsi="Book Antiqua" w:cs="Arial"/>
          <w:sz w:val="22"/>
        </w:rPr>
        <w:t xml:space="preserve">, the Sponsor’s uncle, stated that their mother prioritised her new marriage over the girls to an extent of finding no time for them.  It is arguable that the inference from these affidavits as quoted was that the mother of the Appellants played no role in their lives.  The Judge found that the Appellants’ mother had not abandoned them as claimed and that inconsistency had arisen.  It is arguable that inconsistency has not in fact arisen of if it has that it is immaterial.  The Judge made findings in relation to the sending of money by the Sponsor.  Reference is made in the permission application to the factual basis put forward to the Judge in this context.  At paragraph 7 of the decision the Judge noted the Sponsor was not entitled to lawfully work in the UK until he obtained his ILR that he came on a student visa and then became an overstayer.  The evidence referred to in the permission application dates from 2007.  It is arguable that the Judge had set out an insufficient analysis of the evidence relating to the making of key decisions.  Given the state of the evidence in relation to the involvement of the mother of the Appellant it is arguable that the foundation for the conclusion reached in respect of Section 55 is unsound.  At paragraph 18 of the decision the Judge noted that the Appellants had not submitted any pictures of them with their Sponsor and the Judge found that although family life may exist with the father it was very tenuous at best.  It is arguable that the Judge has set out an insufficient analysis of the degree of dependency or emotional support or real support in relation to a finding of family life between the Sponsor and </w:t>
      </w:r>
      <w:r w:rsidR="006076F2" w:rsidRPr="0048614E">
        <w:rPr>
          <w:rFonts w:ascii="Book Antiqua" w:hAnsi="Book Antiqua" w:cs="Arial"/>
          <w:sz w:val="22"/>
        </w:rPr>
        <w:t xml:space="preserve">DD (the first Appellant) </w:t>
      </w:r>
      <w:r w:rsidRPr="0048614E">
        <w:rPr>
          <w:rFonts w:ascii="Book Antiqua" w:hAnsi="Book Antiqua" w:cs="Arial"/>
          <w:sz w:val="22"/>
        </w:rPr>
        <w:t xml:space="preserve">in view of her age at the date of application.  It is arguable that a fuller analysis was required in respect of the existence or otherwise of family life between the sponsor and </w:t>
      </w:r>
      <w:r w:rsidR="006076F2" w:rsidRPr="0048614E">
        <w:rPr>
          <w:rFonts w:ascii="Book Antiqua" w:hAnsi="Book Antiqua" w:cs="Arial"/>
          <w:sz w:val="22"/>
        </w:rPr>
        <w:t xml:space="preserve">DD </w:t>
      </w:r>
      <w:r w:rsidRPr="0048614E">
        <w:rPr>
          <w:rFonts w:ascii="Book Antiqua" w:hAnsi="Book Antiqua" w:cs="Arial"/>
          <w:sz w:val="22"/>
        </w:rPr>
        <w:t>given her age.  It is arguable that a fuller analysis was required of the application of Section 117.  It is arguable that the pro</w:t>
      </w:r>
      <w:r w:rsidR="00382C2C" w:rsidRPr="0048614E">
        <w:rPr>
          <w:rFonts w:ascii="Book Antiqua" w:hAnsi="Book Antiqua" w:cs="Arial"/>
          <w:sz w:val="22"/>
        </w:rPr>
        <w:t>portionality exercise has been</w:t>
      </w:r>
      <w:r w:rsidRPr="0048614E">
        <w:rPr>
          <w:rFonts w:ascii="Book Antiqua" w:hAnsi="Book Antiqua" w:cs="Arial"/>
          <w:sz w:val="22"/>
        </w:rPr>
        <w:t xml:space="preserve"> affected in the light of the factors advanced in the permission application.”</w:t>
      </w:r>
    </w:p>
    <w:p w14:paraId="0B353B31" w14:textId="77777777" w:rsidR="00C67DBC" w:rsidRDefault="00C67DBC" w:rsidP="00F634B0">
      <w:pPr>
        <w:pStyle w:val="ListParagraph"/>
        <w:numPr>
          <w:ilvl w:val="0"/>
          <w:numId w:val="1"/>
        </w:numPr>
        <w:spacing w:before="240"/>
        <w:jc w:val="both"/>
        <w:rPr>
          <w:rFonts w:ascii="Book Antiqua" w:hAnsi="Book Antiqua" w:cs="Arial"/>
        </w:rPr>
      </w:pPr>
      <w:r w:rsidRPr="00F634B0">
        <w:rPr>
          <w:rFonts w:ascii="Book Antiqua" w:hAnsi="Book Antiqua" w:cs="Arial"/>
        </w:rPr>
        <w:t>I was not provided with a Rule 24 response by the Respondent but was given the indication that the appeal was resisted.</w:t>
      </w:r>
    </w:p>
    <w:p w14:paraId="142C6F6A" w14:textId="56E07DC4" w:rsidR="0076752F" w:rsidRPr="0076752F" w:rsidRDefault="00791821" w:rsidP="0076752F">
      <w:pPr>
        <w:spacing w:before="240"/>
        <w:jc w:val="both"/>
        <w:rPr>
          <w:rFonts w:ascii="Book Antiqua" w:hAnsi="Book Antiqua" w:cs="Arial"/>
          <w:b/>
          <w:u w:val="single"/>
        </w:rPr>
      </w:pPr>
      <w:r>
        <w:rPr>
          <w:rFonts w:ascii="Book Antiqua" w:hAnsi="Book Antiqua" w:cs="Arial"/>
          <w:b/>
          <w:u w:val="single"/>
        </w:rPr>
        <w:t xml:space="preserve">Error of </w:t>
      </w:r>
      <w:r w:rsidR="0076752F">
        <w:rPr>
          <w:rFonts w:ascii="Book Antiqua" w:hAnsi="Book Antiqua" w:cs="Arial"/>
          <w:b/>
          <w:u w:val="single"/>
        </w:rPr>
        <w:t>Law</w:t>
      </w:r>
    </w:p>
    <w:p w14:paraId="07BAFA39" w14:textId="77777777" w:rsidR="0076752F" w:rsidRDefault="0076752F" w:rsidP="009D348A">
      <w:pPr>
        <w:numPr>
          <w:ilvl w:val="0"/>
          <w:numId w:val="1"/>
        </w:numPr>
        <w:tabs>
          <w:tab w:val="clear" w:pos="567"/>
        </w:tabs>
        <w:spacing w:before="240"/>
        <w:jc w:val="both"/>
        <w:rPr>
          <w:rFonts w:ascii="Book Antiqua" w:hAnsi="Book Antiqua" w:cs="Arial"/>
        </w:rPr>
      </w:pPr>
      <w:r>
        <w:rPr>
          <w:rFonts w:ascii="Book Antiqua" w:hAnsi="Book Antiqua" w:cs="Arial"/>
        </w:rPr>
        <w:t>Having heard submissions from both representatives I do find there was is a material error of law such that the decision should be set aside.  My reasons for so finding are as follows.</w:t>
      </w:r>
    </w:p>
    <w:p w14:paraId="36DF86F9" w14:textId="77777777" w:rsidR="00263F86" w:rsidRDefault="0076752F" w:rsidP="009D348A">
      <w:pPr>
        <w:numPr>
          <w:ilvl w:val="0"/>
          <w:numId w:val="1"/>
        </w:numPr>
        <w:tabs>
          <w:tab w:val="clear" w:pos="567"/>
        </w:tabs>
        <w:spacing w:before="240"/>
        <w:jc w:val="both"/>
        <w:rPr>
          <w:rFonts w:ascii="Book Antiqua" w:hAnsi="Book Antiqua" w:cs="Arial"/>
        </w:rPr>
      </w:pPr>
      <w:r>
        <w:rPr>
          <w:rFonts w:ascii="Book Antiqua" w:hAnsi="Book Antiqua" w:cs="Arial"/>
        </w:rPr>
        <w:t>In respect of the Grounds of Appeal</w:t>
      </w:r>
      <w:r w:rsidR="00D71D51">
        <w:rPr>
          <w:rFonts w:ascii="Book Antiqua" w:hAnsi="Book Antiqua" w:cs="Arial"/>
        </w:rPr>
        <w:t>,</w:t>
      </w:r>
      <w:r w:rsidR="00FD1709">
        <w:rPr>
          <w:rFonts w:ascii="Book Antiqua" w:hAnsi="Book Antiqua" w:cs="Arial"/>
        </w:rPr>
        <w:t xml:space="preserve"> Mr Aslam embellished them</w:t>
      </w:r>
      <w:r>
        <w:rPr>
          <w:rFonts w:ascii="Book Antiqua" w:hAnsi="Book Antiqua" w:cs="Arial"/>
        </w:rPr>
        <w:t xml:space="preserve"> by highlighting findings of fact </w:t>
      </w:r>
      <w:r w:rsidR="00FD1709">
        <w:rPr>
          <w:rFonts w:ascii="Book Antiqua" w:hAnsi="Book Antiqua" w:cs="Arial"/>
        </w:rPr>
        <w:t xml:space="preserve">which </w:t>
      </w:r>
      <w:r>
        <w:rPr>
          <w:rFonts w:ascii="Book Antiqua" w:hAnsi="Book Antiqua" w:cs="Arial"/>
        </w:rPr>
        <w:t xml:space="preserve">did not sit well </w:t>
      </w:r>
      <w:r w:rsidR="00FD1709">
        <w:rPr>
          <w:rFonts w:ascii="Book Antiqua" w:hAnsi="Book Antiqua" w:cs="Arial"/>
        </w:rPr>
        <w:t xml:space="preserve">against </w:t>
      </w:r>
      <w:r>
        <w:rPr>
          <w:rFonts w:ascii="Book Antiqua" w:hAnsi="Book Antiqua" w:cs="Arial"/>
        </w:rPr>
        <w:t xml:space="preserve">the evidence that was before the First-tier Tribunal Judge, in particular Mr Aslam pointed to the fact that the Sponsor’s witness statement reflected that the children (I use that term collectively to refer to both the adult Appellant </w:t>
      </w:r>
      <w:r w:rsidR="00FD1709">
        <w:rPr>
          <w:rFonts w:ascii="Book Antiqua" w:hAnsi="Book Antiqua" w:cs="Arial"/>
        </w:rPr>
        <w:t xml:space="preserve">as well as </w:t>
      </w:r>
      <w:r>
        <w:rPr>
          <w:rFonts w:ascii="Book Antiqua" w:hAnsi="Book Antiqua" w:cs="Arial"/>
        </w:rPr>
        <w:t>the minor child</w:t>
      </w:r>
      <w:r w:rsidR="00FD1709">
        <w:rPr>
          <w:rFonts w:ascii="Book Antiqua" w:hAnsi="Book Antiqua" w:cs="Arial"/>
        </w:rPr>
        <w:t xml:space="preserve"> given that the adult child of the </w:t>
      </w:r>
      <w:r w:rsidR="00FD1709">
        <w:rPr>
          <w:rFonts w:ascii="Book Antiqua" w:hAnsi="Book Antiqua" w:cs="Arial"/>
        </w:rPr>
        <w:lastRenderedPageBreak/>
        <w:t>Sponsor has turned 18 relatively recently</w:t>
      </w:r>
      <w:r>
        <w:rPr>
          <w:rFonts w:ascii="Book Antiqua" w:hAnsi="Book Antiqua" w:cs="Arial"/>
        </w:rPr>
        <w:t xml:space="preserve">) had not lived with their mother since at least after the divorce whereby they subsequently lived </w:t>
      </w:r>
      <w:r w:rsidR="009961FE">
        <w:rPr>
          <w:rFonts w:ascii="Book Antiqua" w:hAnsi="Book Antiqua" w:cs="Arial"/>
        </w:rPr>
        <w:t xml:space="preserve">with the Sponsor’s mother </w:t>
      </w:r>
      <w:r w:rsidR="00FD1709">
        <w:rPr>
          <w:rFonts w:ascii="Book Antiqua" w:hAnsi="Book Antiqua" w:cs="Arial"/>
        </w:rPr>
        <w:t>(</w:t>
      </w:r>
      <w:r w:rsidR="009961FE">
        <w:rPr>
          <w:rFonts w:ascii="Book Antiqua" w:hAnsi="Book Antiqua" w:cs="Arial"/>
        </w:rPr>
        <w:t>until presumably 2013 when she passed away</w:t>
      </w:r>
      <w:r w:rsidR="00FD1709">
        <w:rPr>
          <w:rFonts w:ascii="Book Antiqua" w:hAnsi="Book Antiqua" w:cs="Arial"/>
        </w:rPr>
        <w:t>)</w:t>
      </w:r>
      <w:r w:rsidR="009961FE">
        <w:rPr>
          <w:rFonts w:ascii="Book Antiqua" w:hAnsi="Book Antiqua" w:cs="Arial"/>
        </w:rPr>
        <w:t xml:space="preserve"> and thereafter were overseen by the Sponsor’s cousin until she moved away in 2015 to get married.  In comparison the judge’s decision at paragraph 6 reflects that the Appellants lived with their mother “at his mother’s house” which does not sit well </w:t>
      </w:r>
      <w:r w:rsidR="00FD1709">
        <w:rPr>
          <w:rFonts w:ascii="Book Antiqua" w:hAnsi="Book Antiqua" w:cs="Arial"/>
        </w:rPr>
        <w:t xml:space="preserve">against </w:t>
      </w:r>
      <w:r w:rsidR="009961FE">
        <w:rPr>
          <w:rFonts w:ascii="Book Antiqua" w:hAnsi="Book Antiqua" w:cs="Arial"/>
        </w:rPr>
        <w:t>the stat</w:t>
      </w:r>
      <w:r w:rsidR="00FD1709">
        <w:rPr>
          <w:rFonts w:ascii="Book Antiqua" w:hAnsi="Book Antiqua" w:cs="Arial"/>
        </w:rPr>
        <w:t>ement from the Sponsor that the children</w:t>
      </w:r>
      <w:r w:rsidR="009961FE">
        <w:rPr>
          <w:rFonts w:ascii="Book Antiqua" w:hAnsi="Book Antiqua" w:cs="Arial"/>
        </w:rPr>
        <w:t xml:space="preserve"> lived with </w:t>
      </w:r>
      <w:r w:rsidR="00FD1709">
        <w:rPr>
          <w:rFonts w:ascii="Book Antiqua" w:hAnsi="Book Antiqua" w:cs="Arial"/>
        </w:rPr>
        <w:t xml:space="preserve">his </w:t>
      </w:r>
      <w:r w:rsidR="009961FE">
        <w:rPr>
          <w:rFonts w:ascii="Book Antiqua" w:hAnsi="Book Antiqua" w:cs="Arial"/>
        </w:rPr>
        <w:t>mother alone and not with their own biological mother</w:t>
      </w:r>
      <w:r w:rsidR="00FD1709">
        <w:rPr>
          <w:rFonts w:ascii="Book Antiqua" w:hAnsi="Book Antiqua" w:cs="Arial"/>
        </w:rPr>
        <w:t xml:space="preserve"> at all</w:t>
      </w:r>
      <w:r w:rsidR="009961FE">
        <w:rPr>
          <w:rFonts w:ascii="Book Antiqua" w:hAnsi="Book Antiqua" w:cs="Arial"/>
        </w:rPr>
        <w:t xml:space="preserve">.  </w:t>
      </w:r>
    </w:p>
    <w:p w14:paraId="2B1DFF7A" w14:textId="3849C03F" w:rsidR="0076752F" w:rsidRDefault="009961FE" w:rsidP="009D348A">
      <w:pPr>
        <w:numPr>
          <w:ilvl w:val="0"/>
          <w:numId w:val="1"/>
        </w:numPr>
        <w:tabs>
          <w:tab w:val="clear" w:pos="567"/>
        </w:tabs>
        <w:spacing w:before="240"/>
        <w:jc w:val="both"/>
        <w:rPr>
          <w:rFonts w:ascii="Book Antiqua" w:hAnsi="Book Antiqua" w:cs="Arial"/>
        </w:rPr>
      </w:pPr>
      <w:r>
        <w:rPr>
          <w:rFonts w:ascii="Book Antiqua" w:hAnsi="Book Antiqua" w:cs="Arial"/>
        </w:rPr>
        <w:t xml:space="preserve">Further to that the judge made a subsequent statement at paragraph 18 that the children have lived with their mother “throughout their lives”.  Mr </w:t>
      </w:r>
      <w:proofErr w:type="spellStart"/>
      <w:r>
        <w:rPr>
          <w:rFonts w:ascii="Book Antiqua" w:hAnsi="Book Antiqua" w:cs="Arial"/>
        </w:rPr>
        <w:t>Kotas</w:t>
      </w:r>
      <w:proofErr w:type="spellEnd"/>
      <w:r>
        <w:rPr>
          <w:rFonts w:ascii="Book Antiqua" w:hAnsi="Book Antiqua" w:cs="Arial"/>
        </w:rPr>
        <w:t xml:space="preserve"> made the </w:t>
      </w:r>
      <w:r w:rsidR="00FD1709">
        <w:rPr>
          <w:rFonts w:ascii="Book Antiqua" w:hAnsi="Book Antiqua" w:cs="Arial"/>
        </w:rPr>
        <w:t>insightful submission that this c</w:t>
      </w:r>
      <w:r>
        <w:rPr>
          <w:rFonts w:ascii="Book Antiqua" w:hAnsi="Book Antiqua" w:cs="Arial"/>
        </w:rPr>
        <w:t xml:space="preserve">ould have been implicit from the judge’s assessment of the </w:t>
      </w:r>
      <w:r w:rsidR="00FD1709">
        <w:rPr>
          <w:rFonts w:ascii="Book Antiqua" w:hAnsi="Book Antiqua" w:cs="Arial"/>
        </w:rPr>
        <w:t xml:space="preserve">adverse </w:t>
      </w:r>
      <w:r>
        <w:rPr>
          <w:rFonts w:ascii="Book Antiqua" w:hAnsi="Book Antiqua" w:cs="Arial"/>
        </w:rPr>
        <w:t xml:space="preserve">sole responsibility assessment </w:t>
      </w:r>
      <w:r w:rsidR="00FD1709">
        <w:rPr>
          <w:rFonts w:ascii="Book Antiqua" w:hAnsi="Book Antiqua" w:cs="Arial"/>
        </w:rPr>
        <w:t>the implication of which is that the children’s</w:t>
      </w:r>
      <w:r>
        <w:rPr>
          <w:rFonts w:ascii="Book Antiqua" w:hAnsi="Book Antiqua" w:cs="Arial"/>
        </w:rPr>
        <w:t xml:space="preserve"> mother must still retain responsibility.  However</w:t>
      </w:r>
      <w:r w:rsidR="00FD1709">
        <w:rPr>
          <w:rFonts w:ascii="Book Antiqua" w:hAnsi="Book Antiqua" w:cs="Arial"/>
        </w:rPr>
        <w:t>, even if that were so,</w:t>
      </w:r>
      <w:r>
        <w:rPr>
          <w:rFonts w:ascii="Book Antiqua" w:hAnsi="Book Antiqua" w:cs="Arial"/>
        </w:rPr>
        <w:t xml:space="preserve"> without the judge stating in clear terms and giving explicit reasons why he rejects the Sponsor’s evidence that the children were not living with first their grandmother and then being overseen by their aunt and were not living with their mother since after the divorce as</w:t>
      </w:r>
      <w:r w:rsidR="00D62F7B">
        <w:rPr>
          <w:rFonts w:ascii="Book Antiqua" w:hAnsi="Book Antiqua" w:cs="Arial"/>
        </w:rPr>
        <w:t xml:space="preserve"> all the evidence pointed</w:t>
      </w:r>
      <w:r w:rsidR="00FD1709">
        <w:rPr>
          <w:rFonts w:ascii="Book Antiqua" w:hAnsi="Book Antiqua" w:cs="Arial"/>
        </w:rPr>
        <w:t>,</w:t>
      </w:r>
      <w:r w:rsidR="00D62F7B">
        <w:rPr>
          <w:rFonts w:ascii="Book Antiqua" w:hAnsi="Book Antiqua" w:cs="Arial"/>
        </w:rPr>
        <w:t xml:space="preserve"> to i</w:t>
      </w:r>
      <w:r w:rsidR="00263F86">
        <w:rPr>
          <w:rFonts w:ascii="Book Antiqua" w:hAnsi="Book Antiqua" w:cs="Arial"/>
        </w:rPr>
        <w:t xml:space="preserve">n my view such a finding would not be adequately reasoned and represent </w:t>
      </w:r>
      <w:r>
        <w:rPr>
          <w:rFonts w:ascii="Book Antiqua" w:hAnsi="Book Antiqua" w:cs="Arial"/>
        </w:rPr>
        <w:t xml:space="preserve">a material </w:t>
      </w:r>
      <w:r w:rsidR="00263F86">
        <w:rPr>
          <w:rFonts w:ascii="Book Antiqua" w:hAnsi="Book Antiqua" w:cs="Arial"/>
        </w:rPr>
        <w:t>error of law</w:t>
      </w:r>
      <w:r>
        <w:rPr>
          <w:rFonts w:ascii="Book Antiqua" w:hAnsi="Book Antiqua" w:cs="Arial"/>
        </w:rPr>
        <w:t xml:space="preserve">. </w:t>
      </w:r>
    </w:p>
    <w:p w14:paraId="6E52B241" w14:textId="77777777" w:rsidR="00263F86" w:rsidRDefault="009961FE" w:rsidP="009D348A">
      <w:pPr>
        <w:numPr>
          <w:ilvl w:val="0"/>
          <w:numId w:val="1"/>
        </w:numPr>
        <w:tabs>
          <w:tab w:val="clear" w:pos="567"/>
        </w:tabs>
        <w:spacing w:before="240"/>
        <w:jc w:val="both"/>
        <w:rPr>
          <w:rFonts w:ascii="Book Antiqua" w:hAnsi="Book Antiqua" w:cs="Arial"/>
        </w:rPr>
      </w:pPr>
      <w:r>
        <w:rPr>
          <w:rFonts w:ascii="Book Antiqua" w:hAnsi="Book Antiqua" w:cs="Arial"/>
        </w:rPr>
        <w:t xml:space="preserve">Mr Aslam also pointed also to other mistakes of fact such as that the Sponsor had attained his indefinite leave to remain after ten years’ lawful leave and was not an overstayer and </w:t>
      </w:r>
      <w:r w:rsidR="00263F86">
        <w:rPr>
          <w:rFonts w:ascii="Book Antiqua" w:hAnsi="Book Antiqua" w:cs="Arial"/>
        </w:rPr>
        <w:t xml:space="preserve">had </w:t>
      </w:r>
      <w:r>
        <w:rPr>
          <w:rFonts w:ascii="Book Antiqua" w:hAnsi="Book Antiqua" w:cs="Arial"/>
        </w:rPr>
        <w:t xml:space="preserve">worked </w:t>
      </w:r>
      <w:r w:rsidR="00194155">
        <w:rPr>
          <w:rFonts w:ascii="Book Antiqua" w:hAnsi="Book Antiqua" w:cs="Arial"/>
        </w:rPr>
        <w:t xml:space="preserve">lawfully throughout his time in the United Kingdom which </w:t>
      </w:r>
      <w:r w:rsidR="00263F86">
        <w:rPr>
          <w:rFonts w:ascii="Book Antiqua" w:hAnsi="Book Antiqua" w:cs="Arial"/>
        </w:rPr>
        <w:t xml:space="preserve">again did not sit well against </w:t>
      </w:r>
      <w:r w:rsidR="00194155">
        <w:rPr>
          <w:rFonts w:ascii="Book Antiqua" w:hAnsi="Book Antiqua" w:cs="Arial"/>
        </w:rPr>
        <w:t>paragraph 7 of the decision which states that the Sponsor was not entitled to lawfully work in the UK until he obtained his ILR as he came on a student visa and then became an overstayer.</w:t>
      </w:r>
      <w:r w:rsidR="00350DB3">
        <w:rPr>
          <w:rFonts w:ascii="Book Antiqua" w:hAnsi="Book Antiqua" w:cs="Arial"/>
        </w:rPr>
        <w:t xml:space="preserve">  </w:t>
      </w:r>
      <w:r w:rsidR="00263F86">
        <w:rPr>
          <w:rFonts w:ascii="Book Antiqua" w:hAnsi="Book Antiqua" w:cs="Arial"/>
        </w:rPr>
        <w:t xml:space="preserve">Mr </w:t>
      </w:r>
      <w:proofErr w:type="spellStart"/>
      <w:r w:rsidR="00263F86">
        <w:rPr>
          <w:rFonts w:ascii="Book Antiqua" w:hAnsi="Book Antiqua" w:cs="Arial"/>
        </w:rPr>
        <w:t>Kotas</w:t>
      </w:r>
      <w:proofErr w:type="spellEnd"/>
      <w:r w:rsidR="00263F86">
        <w:rPr>
          <w:rFonts w:ascii="Book Antiqua" w:hAnsi="Book Antiqua" w:cs="Arial"/>
        </w:rPr>
        <w:t xml:space="preserve"> did not attempt to defend these findings as being lawfully reasoned and open to the judge to find. </w:t>
      </w:r>
    </w:p>
    <w:p w14:paraId="38DEA996" w14:textId="6F16C1BE" w:rsidR="009961FE" w:rsidRDefault="00350DB3" w:rsidP="009D348A">
      <w:pPr>
        <w:numPr>
          <w:ilvl w:val="0"/>
          <w:numId w:val="1"/>
        </w:numPr>
        <w:tabs>
          <w:tab w:val="clear" w:pos="567"/>
        </w:tabs>
        <w:spacing w:before="240"/>
        <w:jc w:val="both"/>
        <w:rPr>
          <w:rFonts w:ascii="Book Antiqua" w:hAnsi="Book Antiqua" w:cs="Arial"/>
        </w:rPr>
      </w:pPr>
      <w:r>
        <w:rPr>
          <w:rFonts w:ascii="Book Antiqua" w:hAnsi="Book Antiqua" w:cs="Arial"/>
        </w:rPr>
        <w:t>Further to that Mr Aslam also pointed to page</w:t>
      </w:r>
      <w:r w:rsidR="00263F86">
        <w:rPr>
          <w:rFonts w:ascii="Book Antiqua" w:hAnsi="Book Antiqua" w:cs="Arial"/>
        </w:rPr>
        <w:t>s 29 and 30 of the Appellant’s B</w:t>
      </w:r>
      <w:r>
        <w:rPr>
          <w:rFonts w:ascii="Book Antiqua" w:hAnsi="Book Antiqua" w:cs="Arial"/>
        </w:rPr>
        <w:t xml:space="preserve">undle whereby various affidavits </w:t>
      </w:r>
      <w:r w:rsidR="00263F86">
        <w:rPr>
          <w:rFonts w:ascii="Book Antiqua" w:hAnsi="Book Antiqua" w:cs="Arial"/>
        </w:rPr>
        <w:t>confirmed that the Appellants lived</w:t>
      </w:r>
      <w:r>
        <w:rPr>
          <w:rFonts w:ascii="Book Antiqua" w:hAnsi="Book Antiqua" w:cs="Arial"/>
        </w:rPr>
        <w:t xml:space="preserve"> “alone” as opposed to with their mother and also </w:t>
      </w:r>
      <w:r w:rsidR="00263F86">
        <w:rPr>
          <w:rFonts w:ascii="Book Antiqua" w:hAnsi="Book Antiqua" w:cs="Arial"/>
        </w:rPr>
        <w:t xml:space="preserve">confirmed </w:t>
      </w:r>
      <w:r>
        <w:rPr>
          <w:rFonts w:ascii="Book Antiqua" w:hAnsi="Book Antiqua" w:cs="Arial"/>
        </w:rPr>
        <w:t xml:space="preserve">that the Appellants were being “shunned” by their biological mother.  This added to my concern that the judge had not taken all of the evidence into account before potentially (if that is </w:t>
      </w:r>
      <w:r w:rsidR="00263F86">
        <w:rPr>
          <w:rFonts w:ascii="Book Antiqua" w:hAnsi="Book Antiqua" w:cs="Arial"/>
        </w:rPr>
        <w:t xml:space="preserve">what </w:t>
      </w:r>
      <w:r>
        <w:rPr>
          <w:rFonts w:ascii="Book Antiqua" w:hAnsi="Book Antiqua" w:cs="Arial"/>
        </w:rPr>
        <w:t>happened here) rejecting the Sponsor’s account and the evidence on the papers that the Appellants had lived apart from their biological mother since the divorce in 2000.</w:t>
      </w:r>
    </w:p>
    <w:p w14:paraId="511CB728" w14:textId="3EBB7BE1" w:rsidR="00873DFD" w:rsidRDefault="00873DFD" w:rsidP="009D348A">
      <w:pPr>
        <w:numPr>
          <w:ilvl w:val="0"/>
          <w:numId w:val="1"/>
        </w:numPr>
        <w:tabs>
          <w:tab w:val="clear" w:pos="567"/>
        </w:tabs>
        <w:spacing w:before="240"/>
        <w:jc w:val="both"/>
        <w:rPr>
          <w:rFonts w:ascii="Book Antiqua" w:hAnsi="Book Antiqua" w:cs="Arial"/>
        </w:rPr>
      </w:pPr>
      <w:r>
        <w:rPr>
          <w:rFonts w:ascii="Book Antiqua" w:hAnsi="Book Antiqua" w:cs="Arial"/>
        </w:rPr>
        <w:t>I was less impressed with the grounds concerning sole responsibility</w:t>
      </w:r>
      <w:r w:rsidR="00CE68F7">
        <w:rPr>
          <w:rFonts w:ascii="Book Antiqua" w:hAnsi="Book Antiqua" w:cs="Arial"/>
        </w:rPr>
        <w:t xml:space="preserve">. </w:t>
      </w:r>
      <w:r>
        <w:rPr>
          <w:rFonts w:ascii="Book Antiqua" w:hAnsi="Book Antiqua" w:cs="Arial"/>
        </w:rPr>
        <w:t xml:space="preserve"> Mr </w:t>
      </w:r>
      <w:proofErr w:type="spellStart"/>
      <w:r>
        <w:rPr>
          <w:rFonts w:ascii="Book Antiqua" w:hAnsi="Book Antiqua" w:cs="Arial"/>
        </w:rPr>
        <w:t>Kotas</w:t>
      </w:r>
      <w:proofErr w:type="spellEnd"/>
      <w:r>
        <w:rPr>
          <w:rFonts w:ascii="Book Antiqua" w:hAnsi="Book Antiqua" w:cs="Arial"/>
        </w:rPr>
        <w:t xml:space="preserve"> made the </w:t>
      </w:r>
      <w:r w:rsidR="0012215A">
        <w:rPr>
          <w:rFonts w:ascii="Book Antiqua" w:hAnsi="Book Antiqua" w:cs="Arial"/>
        </w:rPr>
        <w:t>valid</w:t>
      </w:r>
      <w:r>
        <w:rPr>
          <w:rFonts w:ascii="Book Antiqua" w:hAnsi="Book Antiqua" w:cs="Arial"/>
        </w:rPr>
        <w:t xml:space="preserve"> observation that the judge had made findings in respect of the Sponsor not knowing the name of the schools that the Appellants attend and </w:t>
      </w:r>
      <w:r w:rsidR="0012215A">
        <w:rPr>
          <w:rFonts w:ascii="Book Antiqua" w:hAnsi="Book Antiqua" w:cs="Arial"/>
        </w:rPr>
        <w:t xml:space="preserve">whilst </w:t>
      </w:r>
      <w:r>
        <w:rPr>
          <w:rFonts w:ascii="Book Antiqua" w:hAnsi="Book Antiqua" w:cs="Arial"/>
        </w:rPr>
        <w:t xml:space="preserve">that would not defeat </w:t>
      </w:r>
      <w:r w:rsidR="0012215A">
        <w:rPr>
          <w:rFonts w:ascii="Book Antiqua" w:hAnsi="Book Antiqua" w:cs="Arial"/>
        </w:rPr>
        <w:t xml:space="preserve">the </w:t>
      </w:r>
      <w:r>
        <w:rPr>
          <w:rFonts w:ascii="Book Antiqua" w:hAnsi="Book Antiqua" w:cs="Arial"/>
        </w:rPr>
        <w:t xml:space="preserve">sole responsibility </w:t>
      </w:r>
      <w:r w:rsidR="0012215A">
        <w:rPr>
          <w:rFonts w:ascii="Book Antiqua" w:hAnsi="Book Antiqua" w:cs="Arial"/>
        </w:rPr>
        <w:t xml:space="preserve">issue, </w:t>
      </w:r>
      <w:r>
        <w:rPr>
          <w:rFonts w:ascii="Book Antiqua" w:hAnsi="Book Antiqua" w:cs="Arial"/>
        </w:rPr>
        <w:t xml:space="preserve">in </w:t>
      </w:r>
      <w:r w:rsidR="0012215A">
        <w:rPr>
          <w:rFonts w:ascii="Book Antiqua" w:hAnsi="Book Antiqua" w:cs="Arial"/>
        </w:rPr>
        <w:t xml:space="preserve">and </w:t>
      </w:r>
      <w:r>
        <w:rPr>
          <w:rFonts w:ascii="Book Antiqua" w:hAnsi="Book Antiqua" w:cs="Arial"/>
        </w:rPr>
        <w:t>of itself</w:t>
      </w:r>
      <w:r w:rsidR="0012215A">
        <w:rPr>
          <w:rFonts w:ascii="Book Antiqua" w:hAnsi="Book Antiqua" w:cs="Arial"/>
        </w:rPr>
        <w:t>,</w:t>
      </w:r>
      <w:r>
        <w:rPr>
          <w:rFonts w:ascii="Book Antiqua" w:hAnsi="Book Antiqua" w:cs="Arial"/>
        </w:rPr>
        <w:t xml:space="preserve"> </w:t>
      </w:r>
      <w:r w:rsidR="0012215A">
        <w:rPr>
          <w:rFonts w:ascii="Book Antiqua" w:hAnsi="Book Antiqua" w:cs="Arial"/>
        </w:rPr>
        <w:t xml:space="preserve">it does point to a lesser knowledge of their day-to-day lives being familiar to the Sponsor than one would expect </w:t>
      </w:r>
      <w:r>
        <w:rPr>
          <w:rFonts w:ascii="Book Antiqua" w:hAnsi="Book Antiqua" w:cs="Arial"/>
        </w:rPr>
        <w:t>given t</w:t>
      </w:r>
      <w:r w:rsidR="0012215A">
        <w:rPr>
          <w:rFonts w:ascii="Book Antiqua" w:hAnsi="Book Antiqua" w:cs="Arial"/>
        </w:rPr>
        <w:t>here was daily contact between the children and Sponsor</w:t>
      </w:r>
      <w:r>
        <w:rPr>
          <w:rFonts w:ascii="Book Antiqua" w:hAnsi="Book Antiqua" w:cs="Arial"/>
        </w:rPr>
        <w:t xml:space="preserve">.  </w:t>
      </w:r>
      <w:proofErr w:type="gramStart"/>
      <w:r>
        <w:rPr>
          <w:rFonts w:ascii="Book Antiqua" w:hAnsi="Book Antiqua" w:cs="Arial"/>
        </w:rPr>
        <w:t>However</w:t>
      </w:r>
      <w:proofErr w:type="gramEnd"/>
      <w:r>
        <w:rPr>
          <w:rFonts w:ascii="Book Antiqua" w:hAnsi="Book Antiqua" w:cs="Arial"/>
        </w:rPr>
        <w:t xml:space="preserve"> in that same breath I also note that the judge has not paid consideration to Article 8 through the lens of the </w:t>
      </w:r>
      <w:proofErr w:type="spellStart"/>
      <w:r w:rsidRPr="00873DFD">
        <w:rPr>
          <w:rFonts w:ascii="Book Antiqua" w:hAnsi="Book Antiqua" w:cs="Arial"/>
          <w:i/>
        </w:rPr>
        <w:t>Razgar</w:t>
      </w:r>
      <w:proofErr w:type="spellEnd"/>
      <w:r>
        <w:rPr>
          <w:rFonts w:ascii="Book Antiqua" w:hAnsi="Book Antiqua" w:cs="Arial"/>
        </w:rPr>
        <w:t xml:space="preserve"> proportionality approach.  I note for example that in paragraph 19 the judge says that any interference is proportion</w:t>
      </w:r>
      <w:r w:rsidR="00CD5647">
        <w:rPr>
          <w:rFonts w:ascii="Book Antiqua" w:hAnsi="Book Antiqua" w:cs="Arial"/>
        </w:rPr>
        <w:t>ate with a legitimate aim of</w:t>
      </w:r>
      <w:r>
        <w:rPr>
          <w:rFonts w:ascii="Book Antiqua" w:hAnsi="Book Antiqua" w:cs="Arial"/>
        </w:rPr>
        <w:t xml:space="preserve"> immigration control because this is not a removal case.  That is </w:t>
      </w:r>
      <w:r w:rsidR="00046988">
        <w:rPr>
          <w:rFonts w:ascii="Book Antiqua" w:hAnsi="Book Antiqua" w:cs="Arial"/>
        </w:rPr>
        <w:t xml:space="preserve">unsatisfactory </w:t>
      </w:r>
      <w:r>
        <w:rPr>
          <w:rFonts w:ascii="Book Antiqua" w:hAnsi="Book Antiqua" w:cs="Arial"/>
        </w:rPr>
        <w:t xml:space="preserve">as there is at least one child involved in this appeal </w:t>
      </w:r>
      <w:r w:rsidR="00046988">
        <w:rPr>
          <w:rFonts w:ascii="Book Antiqua" w:hAnsi="Book Antiqua" w:cs="Arial"/>
        </w:rPr>
        <w:t xml:space="preserve">and </w:t>
      </w:r>
      <w:r>
        <w:rPr>
          <w:rFonts w:ascii="Book Antiqua" w:hAnsi="Book Antiqua" w:cs="Arial"/>
        </w:rPr>
        <w:t>there</w:t>
      </w:r>
      <w:r w:rsidR="00046988">
        <w:rPr>
          <w:rFonts w:ascii="Book Antiqua" w:hAnsi="Book Antiqua" w:cs="Arial"/>
        </w:rPr>
        <w:t>fore there</w:t>
      </w:r>
      <w:r>
        <w:rPr>
          <w:rFonts w:ascii="Book Antiqua" w:hAnsi="Book Antiqua" w:cs="Arial"/>
        </w:rPr>
        <w:t xml:space="preserve"> needs to be </w:t>
      </w:r>
      <w:r>
        <w:rPr>
          <w:rFonts w:ascii="Book Antiqua" w:hAnsi="Book Antiqua" w:cs="Arial"/>
        </w:rPr>
        <w:lastRenderedPageBreak/>
        <w:t>consideration of whether the child’s exclusion would be undesirable</w:t>
      </w:r>
      <w:r w:rsidR="00046988">
        <w:rPr>
          <w:rFonts w:ascii="Book Antiqua" w:hAnsi="Book Antiqua" w:cs="Arial"/>
        </w:rPr>
        <w:t>,</w:t>
      </w:r>
      <w:r>
        <w:rPr>
          <w:rFonts w:ascii="Book Antiqua" w:hAnsi="Book Antiqua" w:cs="Arial"/>
        </w:rPr>
        <w:t xml:space="preserve"> which would need to take place under the lens of Article 8 outside the Rules</w:t>
      </w:r>
      <w:r w:rsidR="00046988">
        <w:rPr>
          <w:rFonts w:ascii="Book Antiqua" w:hAnsi="Book Antiqua" w:cs="Arial"/>
        </w:rPr>
        <w:t>. N</w:t>
      </w:r>
      <w:r>
        <w:rPr>
          <w:rFonts w:ascii="Book Antiqua" w:hAnsi="Book Antiqua" w:cs="Arial"/>
        </w:rPr>
        <w:t>otwithstanding that</w:t>
      </w:r>
      <w:r w:rsidR="00046988">
        <w:rPr>
          <w:rFonts w:ascii="Book Antiqua" w:hAnsi="Book Antiqua" w:cs="Arial"/>
        </w:rPr>
        <w:t>,</w:t>
      </w:r>
      <w:r>
        <w:rPr>
          <w:rFonts w:ascii="Book Antiqua" w:hAnsi="Book Antiqua" w:cs="Arial"/>
        </w:rPr>
        <w:t xml:space="preserve"> the judge also noted at paragraphs 2 and 15 of the decision that the first Appellant was no longer a child and was over 18 at the date of application and consequently the Immigration Rule</w:t>
      </w:r>
      <w:r w:rsidR="00737F17">
        <w:rPr>
          <w:rFonts w:ascii="Book Antiqua" w:hAnsi="Book Antiqua" w:cs="Arial"/>
        </w:rPr>
        <w:t>s could have no relevance to an</w:t>
      </w:r>
      <w:r>
        <w:rPr>
          <w:rFonts w:ascii="Book Antiqua" w:hAnsi="Book Antiqua" w:cs="Arial"/>
        </w:rPr>
        <w:t xml:space="preserve"> assessment of her Article 8 </w:t>
      </w:r>
      <w:r w:rsidR="00737F17">
        <w:rPr>
          <w:rFonts w:ascii="Book Antiqua" w:hAnsi="Book Antiqua" w:cs="Arial"/>
        </w:rPr>
        <w:t>family life with her Sponsor</w:t>
      </w:r>
      <w:r w:rsidR="00046988">
        <w:rPr>
          <w:rFonts w:ascii="Book Antiqua" w:hAnsi="Book Antiqua" w:cs="Arial"/>
        </w:rPr>
        <w:t>.</w:t>
      </w:r>
      <w:r w:rsidR="00737F17">
        <w:rPr>
          <w:rFonts w:ascii="Book Antiqua" w:hAnsi="Book Antiqua" w:cs="Arial"/>
        </w:rPr>
        <w:t xml:space="preserve"> </w:t>
      </w:r>
      <w:r w:rsidR="00046988">
        <w:rPr>
          <w:rFonts w:ascii="Book Antiqua" w:hAnsi="Book Antiqua" w:cs="Arial"/>
        </w:rPr>
        <w:t xml:space="preserve"> </w:t>
      </w:r>
      <w:proofErr w:type="gramStart"/>
      <w:r w:rsidR="00046988">
        <w:rPr>
          <w:rFonts w:ascii="Book Antiqua" w:hAnsi="Book Antiqua" w:cs="Arial"/>
        </w:rPr>
        <w:t>T</w:t>
      </w:r>
      <w:r w:rsidR="00737F17">
        <w:rPr>
          <w:rFonts w:ascii="Book Antiqua" w:hAnsi="Book Antiqua" w:cs="Arial"/>
        </w:rPr>
        <w:t>herefore</w:t>
      </w:r>
      <w:proofErr w:type="gramEnd"/>
      <w:r w:rsidR="00737F17">
        <w:rPr>
          <w:rFonts w:ascii="Book Antiqua" w:hAnsi="Book Antiqua" w:cs="Arial"/>
        </w:rPr>
        <w:t xml:space="preserve"> </w:t>
      </w:r>
      <w:r w:rsidR="00046988">
        <w:rPr>
          <w:rFonts w:ascii="Book Antiqua" w:hAnsi="Book Antiqua" w:cs="Arial"/>
        </w:rPr>
        <w:t>the adult child’s</w:t>
      </w:r>
      <w:r w:rsidR="00737F17">
        <w:rPr>
          <w:rFonts w:ascii="Book Antiqua" w:hAnsi="Book Antiqua" w:cs="Arial"/>
        </w:rPr>
        <w:t xml:space="preserve"> appeal fell to be determined outside the Rules entirely</w:t>
      </w:r>
      <w:r w:rsidR="00046988">
        <w:rPr>
          <w:rFonts w:ascii="Book Antiqua" w:hAnsi="Book Antiqua" w:cs="Arial"/>
        </w:rPr>
        <w:t xml:space="preserve"> and not be virtue of sole responsibility</w:t>
      </w:r>
      <w:r w:rsidR="00737F17">
        <w:rPr>
          <w:rFonts w:ascii="Book Antiqua" w:hAnsi="Book Antiqua" w:cs="Arial"/>
        </w:rPr>
        <w:t>.</w:t>
      </w:r>
    </w:p>
    <w:p w14:paraId="55AB674D" w14:textId="77777777" w:rsidR="006F5DBF" w:rsidRPr="009B7433" w:rsidRDefault="00CA18E3" w:rsidP="009D348A">
      <w:pPr>
        <w:numPr>
          <w:ilvl w:val="0"/>
          <w:numId w:val="1"/>
        </w:numPr>
        <w:tabs>
          <w:tab w:val="clear" w:pos="567"/>
        </w:tabs>
        <w:spacing w:before="240"/>
        <w:jc w:val="both"/>
        <w:rPr>
          <w:rFonts w:ascii="Book Antiqua" w:hAnsi="Book Antiqua" w:cs="Arial"/>
        </w:rPr>
      </w:pPr>
      <w:r>
        <w:rPr>
          <w:rFonts w:ascii="Book Antiqua" w:hAnsi="Book Antiqua" w:cs="Arial"/>
        </w:rPr>
        <w:t>In light of the above findings I set aside the decision of the First-tier Tribunal in its entirety.</w:t>
      </w:r>
    </w:p>
    <w:p w14:paraId="2BA6D2C9" w14:textId="637DD8EC" w:rsidR="00D949B7" w:rsidRPr="00D949B7" w:rsidRDefault="00D949B7" w:rsidP="009D348A">
      <w:pPr>
        <w:spacing w:before="240"/>
        <w:jc w:val="both"/>
        <w:rPr>
          <w:rFonts w:ascii="Book Antiqua" w:hAnsi="Book Antiqua" w:cs="Arial"/>
          <w:b/>
          <w:u w:val="single"/>
        </w:rPr>
      </w:pPr>
      <w:r w:rsidRPr="00D949B7">
        <w:rPr>
          <w:rFonts w:ascii="Book Antiqua" w:hAnsi="Book Antiqua" w:cs="Arial"/>
          <w:b/>
          <w:u w:val="single"/>
        </w:rPr>
        <w:t>Notice of Decision</w:t>
      </w:r>
    </w:p>
    <w:p w14:paraId="74406A63" w14:textId="77777777" w:rsidR="00D949B7" w:rsidRPr="00F634B0" w:rsidRDefault="00D949B7" w:rsidP="0048614E">
      <w:pPr>
        <w:pStyle w:val="ListParagraph"/>
        <w:numPr>
          <w:ilvl w:val="0"/>
          <w:numId w:val="1"/>
        </w:numPr>
        <w:spacing w:before="240"/>
        <w:contextualSpacing w:val="0"/>
        <w:jc w:val="both"/>
        <w:rPr>
          <w:rFonts w:ascii="Book Antiqua" w:hAnsi="Book Antiqua" w:cs="Arial"/>
        </w:rPr>
      </w:pPr>
      <w:r w:rsidRPr="00F634B0">
        <w:rPr>
          <w:rFonts w:ascii="Book Antiqua" w:hAnsi="Book Antiqua" w:cs="Arial"/>
        </w:rPr>
        <w:t>The appeal</w:t>
      </w:r>
      <w:r w:rsidR="00CA18E3" w:rsidRPr="00F634B0">
        <w:rPr>
          <w:rFonts w:ascii="Book Antiqua" w:hAnsi="Book Antiqua" w:cs="Arial"/>
        </w:rPr>
        <w:t xml:space="preserve"> to the Upper Tribunal</w:t>
      </w:r>
      <w:r w:rsidRPr="00F634B0">
        <w:rPr>
          <w:rFonts w:ascii="Book Antiqua" w:hAnsi="Book Antiqua" w:cs="Arial"/>
        </w:rPr>
        <w:t xml:space="preserve"> is </w:t>
      </w:r>
      <w:r w:rsidR="00CA18E3" w:rsidRPr="00F634B0">
        <w:rPr>
          <w:rFonts w:ascii="Book Antiqua" w:hAnsi="Book Antiqua" w:cs="Arial"/>
        </w:rPr>
        <w:t>allowed.</w:t>
      </w:r>
    </w:p>
    <w:p w14:paraId="02056D25" w14:textId="77777777" w:rsidR="00CA18E3" w:rsidRPr="00F634B0" w:rsidRDefault="00CA18E3" w:rsidP="0048614E">
      <w:pPr>
        <w:pStyle w:val="ListParagraph"/>
        <w:numPr>
          <w:ilvl w:val="0"/>
          <w:numId w:val="1"/>
        </w:numPr>
        <w:spacing w:before="240"/>
        <w:contextualSpacing w:val="0"/>
        <w:jc w:val="both"/>
        <w:rPr>
          <w:rFonts w:ascii="Book Antiqua" w:hAnsi="Book Antiqua" w:cs="Arial"/>
        </w:rPr>
      </w:pPr>
      <w:r w:rsidRPr="00F634B0">
        <w:rPr>
          <w:rFonts w:ascii="Book Antiqua" w:hAnsi="Book Antiqua" w:cs="Arial"/>
        </w:rPr>
        <w:t>The appeal is to be remitted to the First-tier Tribunal to be heard by a differently constituted Bench.</w:t>
      </w:r>
    </w:p>
    <w:p w14:paraId="12C86CA4" w14:textId="7119A472" w:rsidR="00CA18E3" w:rsidRDefault="00CA18E3" w:rsidP="0048614E">
      <w:pPr>
        <w:spacing w:before="240"/>
        <w:jc w:val="both"/>
        <w:rPr>
          <w:rFonts w:ascii="Book Antiqua" w:hAnsi="Book Antiqua" w:cs="Arial"/>
          <w:b/>
          <w:u w:val="single"/>
        </w:rPr>
      </w:pPr>
      <w:r>
        <w:rPr>
          <w:rFonts w:ascii="Book Antiqua" w:hAnsi="Book Antiqua" w:cs="Arial"/>
          <w:b/>
          <w:u w:val="single"/>
        </w:rPr>
        <w:t>Directions</w:t>
      </w:r>
    </w:p>
    <w:p w14:paraId="73D29BCB" w14:textId="77777777" w:rsidR="00F634B0" w:rsidRDefault="00D41C69" w:rsidP="0048614E">
      <w:pPr>
        <w:pStyle w:val="ListParagraph"/>
        <w:numPr>
          <w:ilvl w:val="0"/>
          <w:numId w:val="1"/>
        </w:numPr>
        <w:spacing w:before="240"/>
        <w:contextualSpacing w:val="0"/>
        <w:jc w:val="both"/>
        <w:rPr>
          <w:rFonts w:ascii="Book Antiqua" w:hAnsi="Book Antiqua" w:cs="Arial"/>
        </w:rPr>
      </w:pPr>
      <w:r w:rsidRPr="00F634B0">
        <w:rPr>
          <w:rFonts w:ascii="Book Antiqua" w:hAnsi="Book Antiqua" w:cs="Arial"/>
        </w:rPr>
        <w:t>I make the following directions for the further administration of this appeal upon remittal.</w:t>
      </w:r>
    </w:p>
    <w:p w14:paraId="00AE41E4" w14:textId="77777777" w:rsidR="00F634B0" w:rsidRDefault="00D41C69" w:rsidP="0048614E">
      <w:pPr>
        <w:pStyle w:val="ListParagraph"/>
        <w:numPr>
          <w:ilvl w:val="1"/>
          <w:numId w:val="1"/>
        </w:numPr>
        <w:spacing w:before="120"/>
        <w:contextualSpacing w:val="0"/>
        <w:jc w:val="both"/>
        <w:rPr>
          <w:rFonts w:ascii="Book Antiqua" w:hAnsi="Book Antiqua" w:cs="Arial"/>
        </w:rPr>
      </w:pPr>
      <w:r w:rsidRPr="00F634B0">
        <w:rPr>
          <w:rFonts w:ascii="Book Antiqua" w:hAnsi="Book Antiqua" w:cs="Arial"/>
        </w:rPr>
        <w:t xml:space="preserve">The appeal is to be remitted to Taylor House for </w:t>
      </w:r>
      <w:r w:rsidR="00F634B0" w:rsidRPr="00F634B0">
        <w:rPr>
          <w:rFonts w:ascii="Book Antiqua" w:hAnsi="Book Antiqua" w:cs="Arial"/>
        </w:rPr>
        <w:t>re-</w:t>
      </w:r>
      <w:r w:rsidRPr="00F634B0">
        <w:rPr>
          <w:rFonts w:ascii="Book Antiqua" w:hAnsi="Book Antiqua" w:cs="Arial"/>
        </w:rPr>
        <w:t xml:space="preserve">hearing.  </w:t>
      </w:r>
    </w:p>
    <w:p w14:paraId="1C982A34" w14:textId="77777777" w:rsidR="00F634B0" w:rsidRDefault="00D41C69" w:rsidP="0048614E">
      <w:pPr>
        <w:pStyle w:val="ListParagraph"/>
        <w:numPr>
          <w:ilvl w:val="1"/>
          <w:numId w:val="1"/>
        </w:numPr>
        <w:spacing w:before="120"/>
        <w:contextualSpacing w:val="0"/>
        <w:jc w:val="both"/>
        <w:rPr>
          <w:rFonts w:ascii="Book Antiqua" w:hAnsi="Book Antiqua" w:cs="Arial"/>
        </w:rPr>
      </w:pPr>
      <w:r w:rsidRPr="00F634B0">
        <w:rPr>
          <w:rFonts w:ascii="Book Antiqua" w:hAnsi="Book Antiqua" w:cs="Arial"/>
        </w:rPr>
        <w:t>No interpreter is required and the only witness that is said to give evidence will be the Sponsor</w:t>
      </w:r>
      <w:r w:rsidR="00F634B0">
        <w:rPr>
          <w:rFonts w:ascii="Book Antiqua" w:hAnsi="Book Antiqua" w:cs="Arial"/>
        </w:rPr>
        <w:t>.</w:t>
      </w:r>
      <w:r w:rsidRPr="00F634B0">
        <w:rPr>
          <w:rFonts w:ascii="Book Antiqua" w:hAnsi="Book Antiqua" w:cs="Arial"/>
        </w:rPr>
        <w:t xml:space="preserve"> </w:t>
      </w:r>
    </w:p>
    <w:p w14:paraId="7024703B" w14:textId="77777777" w:rsidR="00F634B0" w:rsidRDefault="00F634B0" w:rsidP="0048614E">
      <w:pPr>
        <w:pStyle w:val="ListParagraph"/>
        <w:numPr>
          <w:ilvl w:val="1"/>
          <w:numId w:val="1"/>
        </w:numPr>
        <w:spacing w:before="120"/>
        <w:contextualSpacing w:val="0"/>
        <w:jc w:val="both"/>
        <w:rPr>
          <w:rFonts w:ascii="Book Antiqua" w:hAnsi="Book Antiqua" w:cs="Arial"/>
        </w:rPr>
      </w:pPr>
      <w:r>
        <w:rPr>
          <w:rFonts w:ascii="Book Antiqua" w:hAnsi="Book Antiqua" w:cs="Arial"/>
        </w:rPr>
        <w:t>A</w:t>
      </w:r>
      <w:r w:rsidR="00D41C69" w:rsidRPr="00F634B0">
        <w:rPr>
          <w:rFonts w:ascii="Book Antiqua" w:hAnsi="Book Antiqua" w:cs="Arial"/>
        </w:rPr>
        <w:t xml:space="preserve"> time estimate of two hours has been given</w:t>
      </w:r>
      <w:r>
        <w:rPr>
          <w:rFonts w:ascii="Book Antiqua" w:hAnsi="Book Antiqua" w:cs="Arial"/>
        </w:rPr>
        <w:t>.</w:t>
      </w:r>
      <w:r w:rsidR="00D41C69" w:rsidRPr="00F634B0">
        <w:rPr>
          <w:rFonts w:ascii="Book Antiqua" w:hAnsi="Book Antiqua" w:cs="Arial"/>
        </w:rPr>
        <w:t xml:space="preserve"> </w:t>
      </w:r>
    </w:p>
    <w:p w14:paraId="2317E9E1" w14:textId="3917F1DD" w:rsidR="00D949B7" w:rsidRPr="00F634B0" w:rsidRDefault="00D71D51" w:rsidP="0048614E">
      <w:pPr>
        <w:pStyle w:val="ListParagraph"/>
        <w:numPr>
          <w:ilvl w:val="1"/>
          <w:numId w:val="1"/>
        </w:numPr>
        <w:spacing w:before="120"/>
        <w:contextualSpacing w:val="0"/>
        <w:jc w:val="both"/>
        <w:rPr>
          <w:rFonts w:ascii="Book Antiqua" w:hAnsi="Book Antiqua" w:cs="Arial"/>
        </w:rPr>
      </w:pPr>
      <w:r>
        <w:rPr>
          <w:rFonts w:ascii="Book Antiqua" w:hAnsi="Book Antiqua" w:cs="Arial"/>
        </w:rPr>
        <w:t xml:space="preserve">An </w:t>
      </w:r>
      <w:r w:rsidR="00D41C69" w:rsidRPr="00F634B0">
        <w:rPr>
          <w:rFonts w:ascii="Book Antiqua" w:hAnsi="Book Antiqua" w:cs="Arial"/>
        </w:rPr>
        <w:t xml:space="preserve">anonymity direction </w:t>
      </w:r>
      <w:r>
        <w:rPr>
          <w:rFonts w:ascii="Book Antiqua" w:hAnsi="Book Antiqua" w:cs="Arial"/>
        </w:rPr>
        <w:t xml:space="preserve">is made </w:t>
      </w:r>
      <w:r w:rsidR="00D41C69" w:rsidRPr="00F634B0">
        <w:rPr>
          <w:rFonts w:ascii="Book Antiqua" w:hAnsi="Book Antiqua" w:cs="Arial"/>
        </w:rPr>
        <w:t>given that there is a child involved in this appeal and given that the content</w:t>
      </w:r>
      <w:r w:rsidR="00CD5647" w:rsidRPr="00F634B0">
        <w:rPr>
          <w:rFonts w:ascii="Book Antiqua" w:hAnsi="Book Antiqua" w:cs="Arial"/>
        </w:rPr>
        <w:t>s</w:t>
      </w:r>
      <w:r w:rsidR="00D41C69" w:rsidRPr="00F634B0">
        <w:rPr>
          <w:rFonts w:ascii="Book Antiqua" w:hAnsi="Book Antiqua" w:cs="Arial"/>
        </w:rPr>
        <w:t xml:space="preserve"> of this decision will be published online.</w:t>
      </w:r>
    </w:p>
    <w:p w14:paraId="6F72E80A" w14:textId="68354E35" w:rsidR="00D949B7" w:rsidRPr="00D949B7" w:rsidRDefault="00D949B7" w:rsidP="0048614E">
      <w:pPr>
        <w:spacing w:before="240"/>
        <w:jc w:val="both"/>
        <w:rPr>
          <w:rFonts w:ascii="Book Antiqua" w:hAnsi="Book Antiqua" w:cs="Arial"/>
        </w:rPr>
      </w:pPr>
      <w:r w:rsidRPr="00D949B7">
        <w:rPr>
          <w:rFonts w:ascii="Book Antiqua" w:hAnsi="Book Antiqua" w:cs="Arial"/>
          <w:b/>
          <w:u w:val="single"/>
        </w:rPr>
        <w:t>Direction Regarding Anonymity – Rule 14 of the Tribunal Procedure (Upper Tribunal) Rules 2008</w:t>
      </w:r>
    </w:p>
    <w:p w14:paraId="03A03BF1" w14:textId="77777777" w:rsidR="00D949B7" w:rsidRPr="00687601" w:rsidRDefault="00D949B7" w:rsidP="0048614E">
      <w:pPr>
        <w:spacing w:before="240"/>
        <w:jc w:val="both"/>
        <w:rPr>
          <w:rFonts w:ascii="Book Antiqua" w:hAnsi="Book Antiqua" w:cs="Arial"/>
        </w:rPr>
      </w:pPr>
      <w:r w:rsidRPr="00D949B7">
        <w:rPr>
          <w:rFonts w:ascii="Book Antiqua" w:hAnsi="Book Antiqua" w:cs="Arial"/>
        </w:rPr>
        <w:t xml:space="preserve">Unless and </w:t>
      </w:r>
      <w:r w:rsidRPr="00D949B7">
        <w:rPr>
          <w:rFonts w:ascii="Book Antiqua" w:hAnsi="Book Antiqua"/>
        </w:rPr>
        <w:t xml:space="preserve">until a Tribunal or court directs otherwise, the </w:t>
      </w:r>
      <w:r w:rsidR="000C40FF">
        <w:rPr>
          <w:rFonts w:ascii="Book Antiqua" w:hAnsi="Book Antiqua"/>
        </w:rPr>
        <w:t>A</w:t>
      </w:r>
      <w:r w:rsidRPr="00D949B7">
        <w:rPr>
          <w:rFonts w:ascii="Book Antiqua" w:hAnsi="Book Antiqua"/>
        </w:rPr>
        <w:t xml:space="preserve">ppellant is granted anonymity.  No report of these proceedings shall directly or indirectly identify him or any member of their family.  This direction applies both to the </w:t>
      </w:r>
      <w:r w:rsidR="000C40FF">
        <w:rPr>
          <w:rFonts w:ascii="Book Antiqua" w:hAnsi="Book Antiqua"/>
        </w:rPr>
        <w:t>A</w:t>
      </w:r>
      <w:r w:rsidRPr="00D949B7">
        <w:rPr>
          <w:rFonts w:ascii="Book Antiqua" w:hAnsi="Book Antiqua"/>
        </w:rPr>
        <w:t xml:space="preserve">ppellant and to the </w:t>
      </w:r>
      <w:r w:rsidR="000C40FF">
        <w:rPr>
          <w:rFonts w:ascii="Book Antiqua" w:hAnsi="Book Antiqua"/>
        </w:rPr>
        <w:t>R</w:t>
      </w:r>
      <w:r w:rsidRPr="00D949B7">
        <w:rPr>
          <w:rFonts w:ascii="Book Antiqua" w:hAnsi="Book Antiqua"/>
        </w:rPr>
        <w:t>espondent.  Failure to comply with this direction could lead to contempt of court proceedings.</w:t>
      </w:r>
    </w:p>
    <w:p w14:paraId="0CA8EF30" w14:textId="77777777" w:rsidR="00D949B7" w:rsidRDefault="00D949B7" w:rsidP="00D949B7">
      <w:pPr>
        <w:jc w:val="both"/>
        <w:rPr>
          <w:rFonts w:ascii="Book Antiqua" w:hAnsi="Book Antiqua" w:cs="Arial"/>
        </w:rPr>
      </w:pPr>
    </w:p>
    <w:p w14:paraId="2486FE21" w14:textId="77777777" w:rsidR="00046988" w:rsidRDefault="00046988" w:rsidP="00D949B7">
      <w:pPr>
        <w:jc w:val="both"/>
        <w:rPr>
          <w:rFonts w:ascii="Book Antiqua" w:hAnsi="Book Antiqua" w:cs="Arial"/>
        </w:rPr>
      </w:pPr>
    </w:p>
    <w:p w14:paraId="4C9ADF72" w14:textId="6895D2E0" w:rsidR="00D949B7" w:rsidRPr="009B7433" w:rsidRDefault="00D949B7" w:rsidP="000A0743">
      <w:pPr>
        <w:jc w:val="both"/>
        <w:rPr>
          <w:rFonts w:ascii="Book Antiqua" w:hAnsi="Book Antiqua" w:cs="Arial"/>
        </w:rPr>
      </w:pPr>
      <w:r w:rsidRPr="009B7433">
        <w:rPr>
          <w:rFonts w:ascii="Book Antiqua" w:hAnsi="Book Antiqua" w:cs="Arial"/>
        </w:rPr>
        <w:t>Signed</w:t>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t>Date</w:t>
      </w:r>
      <w:r w:rsidR="00F1099A">
        <w:rPr>
          <w:rFonts w:ascii="Book Antiqua" w:hAnsi="Book Antiqua" w:cs="Arial"/>
        </w:rPr>
        <w:t xml:space="preserve"> 31 August 2018</w:t>
      </w:r>
    </w:p>
    <w:p w14:paraId="6C7B074E" w14:textId="77777777" w:rsidR="00D949B7" w:rsidRPr="009B7433" w:rsidRDefault="00D949B7" w:rsidP="000A0743">
      <w:pPr>
        <w:jc w:val="both"/>
        <w:rPr>
          <w:rFonts w:ascii="Book Antiqua" w:hAnsi="Book Antiqua" w:cs="Arial"/>
        </w:rPr>
      </w:pPr>
    </w:p>
    <w:p w14:paraId="55FFFA42" w14:textId="77777777" w:rsidR="008A6059" w:rsidRPr="009B7433" w:rsidRDefault="000C40FF" w:rsidP="000A0743">
      <w:pPr>
        <w:jc w:val="both"/>
        <w:rPr>
          <w:rFonts w:ascii="Book Antiqua" w:hAnsi="Book Antiqua" w:cs="Arial"/>
          <w:color w:val="000000"/>
        </w:rPr>
      </w:pPr>
      <w:r>
        <w:rPr>
          <w:rFonts w:ascii="Book Antiqua" w:hAnsi="Book Antiqua" w:cs="Arial"/>
          <w:color w:val="000000"/>
        </w:rPr>
        <w:t>Deputy Upper Tribunal Judge Saini</w:t>
      </w:r>
    </w:p>
    <w:sectPr w:rsidR="008A6059" w:rsidRPr="009B7433" w:rsidSect="00776E97">
      <w:headerReference w:type="default" r:id="rId8"/>
      <w:footerReference w:type="default" r:id="rId9"/>
      <w:footerReference w:type="first" r:id="rId10"/>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26D563" w14:textId="77777777" w:rsidR="0012215A" w:rsidRDefault="0012215A">
      <w:r>
        <w:separator/>
      </w:r>
    </w:p>
  </w:endnote>
  <w:endnote w:type="continuationSeparator" w:id="0">
    <w:p w14:paraId="18993902" w14:textId="77777777" w:rsidR="0012215A" w:rsidRDefault="001221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0"/>
        <w:szCs w:val="20"/>
      </w:rPr>
      <w:id w:val="592436185"/>
      <w:docPartObj>
        <w:docPartGallery w:val="Page Numbers (Bottom of Page)"/>
        <w:docPartUnique/>
      </w:docPartObj>
    </w:sdtPr>
    <w:sdtEndPr>
      <w:rPr>
        <w:noProof/>
      </w:rPr>
    </w:sdtEndPr>
    <w:sdtContent>
      <w:p w14:paraId="61D1DA7C" w14:textId="48D387DE" w:rsidR="00253389" w:rsidRPr="0048614E" w:rsidRDefault="00253389">
        <w:pPr>
          <w:pStyle w:val="Footer"/>
          <w:jc w:val="center"/>
          <w:rPr>
            <w:sz w:val="20"/>
            <w:szCs w:val="20"/>
          </w:rPr>
        </w:pPr>
        <w:r w:rsidRPr="0048614E">
          <w:rPr>
            <w:sz w:val="20"/>
            <w:szCs w:val="20"/>
          </w:rPr>
          <w:fldChar w:fldCharType="begin"/>
        </w:r>
        <w:r w:rsidRPr="0048614E">
          <w:rPr>
            <w:sz w:val="20"/>
            <w:szCs w:val="20"/>
          </w:rPr>
          <w:instrText xml:space="preserve"> PAGE   \* MERGEFORMAT </w:instrText>
        </w:r>
        <w:r w:rsidRPr="0048614E">
          <w:rPr>
            <w:sz w:val="20"/>
            <w:szCs w:val="20"/>
          </w:rPr>
          <w:fldChar w:fldCharType="separate"/>
        </w:r>
        <w:r w:rsidR="00F35D4B">
          <w:rPr>
            <w:noProof/>
            <w:sz w:val="20"/>
            <w:szCs w:val="20"/>
          </w:rPr>
          <w:t>4</w:t>
        </w:r>
        <w:r w:rsidRPr="0048614E">
          <w:rPr>
            <w:noProof/>
            <w:sz w:val="20"/>
            <w:szCs w:val="20"/>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943AEA" w14:textId="44CE2B4D" w:rsidR="00253389" w:rsidRPr="0048614E" w:rsidRDefault="00253389" w:rsidP="00253389">
    <w:pPr>
      <w:pStyle w:val="Footer"/>
      <w:jc w:val="center"/>
      <w:rPr>
        <w:b/>
      </w:rPr>
    </w:pPr>
    <w:r w:rsidRPr="0048614E">
      <w:rPr>
        <w:b/>
      </w:rPr>
      <w:t>©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F47D67" w14:textId="77777777" w:rsidR="0012215A" w:rsidRDefault="0012215A">
      <w:r>
        <w:separator/>
      </w:r>
    </w:p>
  </w:footnote>
  <w:footnote w:type="continuationSeparator" w:id="0">
    <w:p w14:paraId="237C2FD5" w14:textId="77777777" w:rsidR="0012215A" w:rsidRDefault="001221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61C8E9" w14:textId="07972251" w:rsidR="00253389" w:rsidRPr="00253389" w:rsidRDefault="00253389" w:rsidP="0048614E">
    <w:pPr>
      <w:pStyle w:val="Header"/>
      <w:jc w:val="right"/>
      <w:rPr>
        <w:sz w:val="20"/>
        <w:szCs w:val="20"/>
      </w:rPr>
    </w:pPr>
    <w:r w:rsidRPr="00253389">
      <w:rPr>
        <w:sz w:val="20"/>
        <w:szCs w:val="20"/>
      </w:rPr>
      <w:t>HU/24536/2016</w:t>
    </w:r>
  </w:p>
  <w:p w14:paraId="523DEBBB" w14:textId="04EC5E7E" w:rsidR="00253389" w:rsidRPr="00253389" w:rsidRDefault="00253389" w:rsidP="0048614E">
    <w:pPr>
      <w:pStyle w:val="Header"/>
      <w:jc w:val="right"/>
      <w:rPr>
        <w:sz w:val="20"/>
        <w:szCs w:val="20"/>
      </w:rPr>
    </w:pPr>
    <w:r w:rsidRPr="00253389">
      <w:rPr>
        <w:sz w:val="20"/>
        <w:szCs w:val="20"/>
      </w:rPr>
      <w:t>HU/23928/2016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1100F"/>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81E71D2"/>
    <w:multiLevelType w:val="multilevel"/>
    <w:tmpl w:val="DBEEB33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A2650E7"/>
    <w:multiLevelType w:val="multilevel"/>
    <w:tmpl w:val="DBEEB33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2867347F"/>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33592588"/>
    <w:multiLevelType w:val="hybridMultilevel"/>
    <w:tmpl w:val="123269A2"/>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 w15:restartNumberingAfterBreak="0">
    <w:nsid w:val="40EB3CA5"/>
    <w:multiLevelType w:val="multilevel"/>
    <w:tmpl w:val="DBEEB33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55100D65"/>
    <w:multiLevelType w:val="multilevel"/>
    <w:tmpl w:val="DBEEB33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 w15:restartNumberingAfterBreak="0">
    <w:nsid w:val="6FAA2A5D"/>
    <w:multiLevelType w:val="multilevel"/>
    <w:tmpl w:val="16786E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7ACB1666"/>
    <w:multiLevelType w:val="multilevel"/>
    <w:tmpl w:val="DBEEB33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8"/>
  </w:num>
  <w:num w:numId="2">
    <w:abstractNumId w:val="7"/>
  </w:num>
  <w:num w:numId="3">
    <w:abstractNumId w:val="4"/>
  </w:num>
  <w:num w:numId="4">
    <w:abstractNumId w:val="0"/>
  </w:num>
  <w:num w:numId="5">
    <w:abstractNumId w:val="2"/>
  </w:num>
  <w:num w:numId="6">
    <w:abstractNumId w:val="5"/>
  </w:num>
  <w:num w:numId="7">
    <w:abstractNumId w:val="6"/>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7923"/>
    <w:rsid w:val="00000621"/>
    <w:rsid w:val="000036C2"/>
    <w:rsid w:val="00016C1A"/>
    <w:rsid w:val="00033588"/>
    <w:rsid w:val="00033D3D"/>
    <w:rsid w:val="00046988"/>
    <w:rsid w:val="0004776F"/>
    <w:rsid w:val="00052895"/>
    <w:rsid w:val="00062F02"/>
    <w:rsid w:val="00071A7E"/>
    <w:rsid w:val="000746C0"/>
    <w:rsid w:val="00074D1D"/>
    <w:rsid w:val="00092580"/>
    <w:rsid w:val="00093D4D"/>
    <w:rsid w:val="000A0743"/>
    <w:rsid w:val="000C40FF"/>
    <w:rsid w:val="000D4A18"/>
    <w:rsid w:val="000D5D94"/>
    <w:rsid w:val="000F1A0E"/>
    <w:rsid w:val="001165A7"/>
    <w:rsid w:val="0012215A"/>
    <w:rsid w:val="0016508E"/>
    <w:rsid w:val="00167D3A"/>
    <w:rsid w:val="00173F50"/>
    <w:rsid w:val="00185986"/>
    <w:rsid w:val="00194155"/>
    <w:rsid w:val="00194D8E"/>
    <w:rsid w:val="001A3082"/>
    <w:rsid w:val="001B186A"/>
    <w:rsid w:val="001B2F75"/>
    <w:rsid w:val="001C6F5F"/>
    <w:rsid w:val="001D6167"/>
    <w:rsid w:val="001F2716"/>
    <w:rsid w:val="001F3AC0"/>
    <w:rsid w:val="00207617"/>
    <w:rsid w:val="0023134B"/>
    <w:rsid w:val="00253389"/>
    <w:rsid w:val="00263F86"/>
    <w:rsid w:val="00283659"/>
    <w:rsid w:val="002A0A74"/>
    <w:rsid w:val="002C6BD4"/>
    <w:rsid w:val="002D68BF"/>
    <w:rsid w:val="002E4541"/>
    <w:rsid w:val="002F6B98"/>
    <w:rsid w:val="00336CBF"/>
    <w:rsid w:val="00343FE3"/>
    <w:rsid w:val="00350DB3"/>
    <w:rsid w:val="003546C8"/>
    <w:rsid w:val="0037777D"/>
    <w:rsid w:val="003825D4"/>
    <w:rsid w:val="00382C2C"/>
    <w:rsid w:val="003A7CF2"/>
    <w:rsid w:val="003C5CE5"/>
    <w:rsid w:val="003D25F1"/>
    <w:rsid w:val="003D6FAD"/>
    <w:rsid w:val="003E267B"/>
    <w:rsid w:val="003E7CD1"/>
    <w:rsid w:val="00402B9E"/>
    <w:rsid w:val="004249CB"/>
    <w:rsid w:val="0044127D"/>
    <w:rsid w:val="004448DB"/>
    <w:rsid w:val="00446C9A"/>
    <w:rsid w:val="00452F2B"/>
    <w:rsid w:val="00475A56"/>
    <w:rsid w:val="00477193"/>
    <w:rsid w:val="0048614E"/>
    <w:rsid w:val="004A1848"/>
    <w:rsid w:val="004A2D15"/>
    <w:rsid w:val="004A534C"/>
    <w:rsid w:val="004A6F4A"/>
    <w:rsid w:val="004B04B6"/>
    <w:rsid w:val="004B70D7"/>
    <w:rsid w:val="004D6B45"/>
    <w:rsid w:val="004E4717"/>
    <w:rsid w:val="004E6DA7"/>
    <w:rsid w:val="004F2676"/>
    <w:rsid w:val="00502673"/>
    <w:rsid w:val="00507FEC"/>
    <w:rsid w:val="00510F0E"/>
    <w:rsid w:val="005479E1"/>
    <w:rsid w:val="00553028"/>
    <w:rsid w:val="00553E0A"/>
    <w:rsid w:val="005570FD"/>
    <w:rsid w:val="005575EA"/>
    <w:rsid w:val="00567998"/>
    <w:rsid w:val="0057790C"/>
    <w:rsid w:val="00593795"/>
    <w:rsid w:val="005A75FF"/>
    <w:rsid w:val="005D10AB"/>
    <w:rsid w:val="005E7923"/>
    <w:rsid w:val="00601D8F"/>
    <w:rsid w:val="00605582"/>
    <w:rsid w:val="006076F2"/>
    <w:rsid w:val="00611F34"/>
    <w:rsid w:val="00621FE8"/>
    <w:rsid w:val="006434B6"/>
    <w:rsid w:val="00653E97"/>
    <w:rsid w:val="006667DB"/>
    <w:rsid w:val="00684A74"/>
    <w:rsid w:val="0068620A"/>
    <w:rsid w:val="00690B8A"/>
    <w:rsid w:val="006F2CF1"/>
    <w:rsid w:val="006F5DBF"/>
    <w:rsid w:val="007038ED"/>
    <w:rsid w:val="00703BC3"/>
    <w:rsid w:val="00704B61"/>
    <w:rsid w:val="00715A64"/>
    <w:rsid w:val="00733DF3"/>
    <w:rsid w:val="00737F17"/>
    <w:rsid w:val="00740C1F"/>
    <w:rsid w:val="007552A9"/>
    <w:rsid w:val="0075658A"/>
    <w:rsid w:val="00761858"/>
    <w:rsid w:val="0076752F"/>
    <w:rsid w:val="00767D59"/>
    <w:rsid w:val="00776E97"/>
    <w:rsid w:val="00780F86"/>
    <w:rsid w:val="007845C5"/>
    <w:rsid w:val="007912AD"/>
    <w:rsid w:val="00791821"/>
    <w:rsid w:val="007B0824"/>
    <w:rsid w:val="007B5D3C"/>
    <w:rsid w:val="007B7BFD"/>
    <w:rsid w:val="00815011"/>
    <w:rsid w:val="00821B72"/>
    <w:rsid w:val="0082229E"/>
    <w:rsid w:val="00823EF2"/>
    <w:rsid w:val="008303B8"/>
    <w:rsid w:val="00833DCE"/>
    <w:rsid w:val="00833E86"/>
    <w:rsid w:val="00871D34"/>
    <w:rsid w:val="00873DFD"/>
    <w:rsid w:val="008800A7"/>
    <w:rsid w:val="008A25EC"/>
    <w:rsid w:val="008A6059"/>
    <w:rsid w:val="008B270C"/>
    <w:rsid w:val="008B5078"/>
    <w:rsid w:val="008C3D3D"/>
    <w:rsid w:val="008D4131"/>
    <w:rsid w:val="008F1932"/>
    <w:rsid w:val="0090151B"/>
    <w:rsid w:val="00902FAE"/>
    <w:rsid w:val="009042A9"/>
    <w:rsid w:val="00921062"/>
    <w:rsid w:val="009722BC"/>
    <w:rsid w:val="009727A3"/>
    <w:rsid w:val="00987774"/>
    <w:rsid w:val="009961FE"/>
    <w:rsid w:val="009A11E8"/>
    <w:rsid w:val="009B7433"/>
    <w:rsid w:val="009C57C8"/>
    <w:rsid w:val="009D348A"/>
    <w:rsid w:val="009F5220"/>
    <w:rsid w:val="00A07919"/>
    <w:rsid w:val="00A15234"/>
    <w:rsid w:val="00A172F5"/>
    <w:rsid w:val="00A201AB"/>
    <w:rsid w:val="00A31C8B"/>
    <w:rsid w:val="00A509FA"/>
    <w:rsid w:val="00A74B2D"/>
    <w:rsid w:val="00A845DC"/>
    <w:rsid w:val="00AE3A24"/>
    <w:rsid w:val="00B26AA2"/>
    <w:rsid w:val="00B3524D"/>
    <w:rsid w:val="00B40F69"/>
    <w:rsid w:val="00B46616"/>
    <w:rsid w:val="00B528BB"/>
    <w:rsid w:val="00B7040A"/>
    <w:rsid w:val="00B83391"/>
    <w:rsid w:val="00B95326"/>
    <w:rsid w:val="00BD4196"/>
    <w:rsid w:val="00BF22CA"/>
    <w:rsid w:val="00BF23BB"/>
    <w:rsid w:val="00C26032"/>
    <w:rsid w:val="00C345E1"/>
    <w:rsid w:val="00C43BFD"/>
    <w:rsid w:val="00C6048A"/>
    <w:rsid w:val="00C67DBC"/>
    <w:rsid w:val="00C779D1"/>
    <w:rsid w:val="00CA18E3"/>
    <w:rsid w:val="00CB6E35"/>
    <w:rsid w:val="00CD5647"/>
    <w:rsid w:val="00CE09B1"/>
    <w:rsid w:val="00CE1A46"/>
    <w:rsid w:val="00CE68F7"/>
    <w:rsid w:val="00D05EA6"/>
    <w:rsid w:val="00D20757"/>
    <w:rsid w:val="00D22636"/>
    <w:rsid w:val="00D24FA4"/>
    <w:rsid w:val="00D40FD9"/>
    <w:rsid w:val="00D41C69"/>
    <w:rsid w:val="00D53769"/>
    <w:rsid w:val="00D62F7B"/>
    <w:rsid w:val="00D6602D"/>
    <w:rsid w:val="00D71D51"/>
    <w:rsid w:val="00D82818"/>
    <w:rsid w:val="00D8510D"/>
    <w:rsid w:val="00D85C13"/>
    <w:rsid w:val="00D9111A"/>
    <w:rsid w:val="00D91BE3"/>
    <w:rsid w:val="00D949B7"/>
    <w:rsid w:val="00D94AFC"/>
    <w:rsid w:val="00DB70AE"/>
    <w:rsid w:val="00DD5071"/>
    <w:rsid w:val="00DD5C39"/>
    <w:rsid w:val="00DE7DB7"/>
    <w:rsid w:val="00E00A0A"/>
    <w:rsid w:val="00E066DE"/>
    <w:rsid w:val="00E07F57"/>
    <w:rsid w:val="00E30683"/>
    <w:rsid w:val="00E42107"/>
    <w:rsid w:val="00E453D8"/>
    <w:rsid w:val="00E50BCE"/>
    <w:rsid w:val="00E574BF"/>
    <w:rsid w:val="00E61292"/>
    <w:rsid w:val="00E77C4D"/>
    <w:rsid w:val="00E81D01"/>
    <w:rsid w:val="00EB485A"/>
    <w:rsid w:val="00EE45D8"/>
    <w:rsid w:val="00F1099A"/>
    <w:rsid w:val="00F22EDA"/>
    <w:rsid w:val="00F35D4B"/>
    <w:rsid w:val="00F470D6"/>
    <w:rsid w:val="00F5589A"/>
    <w:rsid w:val="00F634B0"/>
    <w:rsid w:val="00FC40FA"/>
    <w:rsid w:val="00FD170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3"/>
    <o:shapelayout v:ext="edit">
      <o:idmap v:ext="edit" data="1"/>
    </o:shapelayout>
  </w:shapeDefaults>
  <w:decimalSymbol w:val="."/>
  <w:listSeparator w:val=","/>
  <w14:docId w14:val="266A0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link w:val="FooterChar"/>
    <w:uiPriority w:val="99"/>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 w:type="paragraph" w:styleId="ListParagraph">
    <w:name w:val="List Paragraph"/>
    <w:basedOn w:val="Normal"/>
    <w:uiPriority w:val="34"/>
    <w:qFormat/>
    <w:rsid w:val="00F634B0"/>
    <w:pPr>
      <w:ind w:left="720"/>
      <w:contextualSpacing/>
    </w:pPr>
  </w:style>
  <w:style w:type="character" w:customStyle="1" w:styleId="FooterChar">
    <w:name w:val="Footer Char"/>
    <w:basedOn w:val="DefaultParagraphFont"/>
    <w:link w:val="Footer"/>
    <w:uiPriority w:val="99"/>
    <w:rsid w:val="00253389"/>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1661</Words>
  <Characters>8141</Characters>
  <Application>Microsoft Office Word</Application>
  <DocSecurity>0</DocSecurity>
  <Lines>67</Lines>
  <Paragraphs>19</Paragraphs>
  <ScaleCrop>false</ScaleCrop>
  <Company/>
  <LinksUpToDate>false</LinksUpToDate>
  <CharactersWithSpaces>9783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2018-09-17T14:13:00Z</dcterms:created>
  <dcterms:modified xsi:type="dcterms:W3CDTF">2018-09-17T14:13:00Z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