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3F055" w14:textId="77777777" w:rsidR="00E500B2" w:rsidRPr="00B57D66" w:rsidRDefault="00EE3599" w:rsidP="00E500B2">
      <w:pPr>
        <w:jc w:val="center"/>
        <w:rPr>
          <w:rFonts w:ascii="Book Antiqua" w:hAnsi="Book Antiqua" w:cs="Arial"/>
          <w:caps/>
          <w:color w:val="000000"/>
          <w:sz w:val="16"/>
          <w:szCs w:val="16"/>
        </w:rPr>
      </w:pPr>
      <w:r>
        <w:rPr>
          <w:noProof/>
        </w:rPr>
        <w:drawing>
          <wp:inline distT="0" distB="0" distL="0" distR="0" wp14:anchorId="429AF480" wp14:editId="4DA2B661">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14:paraId="6377D45A" w14:textId="77777777" w:rsidR="00D94AFC" w:rsidRPr="00B57D66" w:rsidRDefault="00D94AFC">
      <w:pPr>
        <w:rPr>
          <w:rFonts w:ascii="Book Antiqua" w:hAnsi="Book Antiqua" w:cs="Arial"/>
          <w:color w:val="000000"/>
          <w:sz w:val="16"/>
          <w:szCs w:val="16"/>
        </w:rPr>
      </w:pPr>
    </w:p>
    <w:p w14:paraId="1DECB372"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1CACE21A"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bookmarkStart w:id="0" w:name="_Hlk518893098"/>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1" w:name="_GoBack"/>
      <w:r w:rsidR="006B641D">
        <w:rPr>
          <w:rFonts w:ascii="Book Antiqua" w:hAnsi="Book Antiqua" w:cs="Arial"/>
          <w:caps/>
          <w:color w:val="000000"/>
        </w:rPr>
        <w:t>HU/25367/2016</w:t>
      </w:r>
      <w:bookmarkEnd w:id="0"/>
      <w:bookmarkEnd w:id="1"/>
    </w:p>
    <w:p w14:paraId="2F6AB013" w14:textId="77777777" w:rsidR="00C345E1" w:rsidRPr="00B57D66" w:rsidRDefault="00C345E1" w:rsidP="00C345E1">
      <w:pPr>
        <w:jc w:val="center"/>
        <w:rPr>
          <w:rFonts w:ascii="Book Antiqua" w:hAnsi="Book Antiqua" w:cs="Arial"/>
          <w:color w:val="000000"/>
        </w:rPr>
      </w:pPr>
    </w:p>
    <w:p w14:paraId="2AF19E52" w14:textId="77777777" w:rsidR="00C345E1" w:rsidRPr="00B57D66" w:rsidRDefault="00C345E1" w:rsidP="00C345E1">
      <w:pPr>
        <w:jc w:val="center"/>
        <w:rPr>
          <w:rFonts w:ascii="Book Antiqua" w:hAnsi="Book Antiqua" w:cs="Arial"/>
          <w:color w:val="000000"/>
        </w:rPr>
      </w:pPr>
    </w:p>
    <w:p w14:paraId="12538C54"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2A3B3282" w14:textId="77777777" w:rsidR="00C345E1" w:rsidRPr="00B57D66" w:rsidRDefault="00C345E1" w:rsidP="00C345E1">
      <w:pPr>
        <w:jc w:val="center"/>
        <w:rPr>
          <w:rFonts w:ascii="Book Antiqua" w:hAnsi="Book Antiqua" w:cs="Arial"/>
          <w:b/>
          <w:u w:val="single"/>
        </w:rPr>
      </w:pPr>
    </w:p>
    <w:p w14:paraId="3C0D5D59"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76B83" w14:paraId="489403B0" w14:textId="77777777" w:rsidTr="00276B83">
        <w:tc>
          <w:tcPr>
            <w:tcW w:w="6048" w:type="dxa"/>
            <w:shd w:val="clear" w:color="auto" w:fill="auto"/>
          </w:tcPr>
          <w:p w14:paraId="67C2FB0B" w14:textId="77777777" w:rsidR="00D22636" w:rsidRPr="00276B83" w:rsidRDefault="00D22636" w:rsidP="00276B83">
            <w:pPr>
              <w:jc w:val="both"/>
              <w:rPr>
                <w:rFonts w:ascii="Book Antiqua" w:hAnsi="Book Antiqua" w:cs="Arial"/>
                <w:b/>
              </w:rPr>
            </w:pPr>
            <w:r w:rsidRPr="00276B83">
              <w:rPr>
                <w:rFonts w:ascii="Book Antiqua" w:hAnsi="Book Antiqua" w:cs="Arial"/>
                <w:b/>
              </w:rPr>
              <w:t xml:space="preserve">Heard at </w:t>
            </w:r>
            <w:r w:rsidR="006B641D" w:rsidRPr="00276B83">
              <w:rPr>
                <w:rFonts w:ascii="Book Antiqua" w:hAnsi="Book Antiqua" w:cs="Arial"/>
                <w:b/>
              </w:rPr>
              <w:t>Field House</w:t>
            </w:r>
          </w:p>
        </w:tc>
        <w:tc>
          <w:tcPr>
            <w:tcW w:w="3960" w:type="dxa"/>
            <w:shd w:val="clear" w:color="auto" w:fill="auto"/>
          </w:tcPr>
          <w:p w14:paraId="3E25BB6C" w14:textId="77777777" w:rsidR="00D22636" w:rsidRPr="00276B83" w:rsidRDefault="00173CC6" w:rsidP="00276B83">
            <w:pPr>
              <w:jc w:val="both"/>
              <w:rPr>
                <w:rFonts w:ascii="Book Antiqua" w:hAnsi="Book Antiqua" w:cs="Arial"/>
                <w:b/>
                <w:color w:val="000000"/>
              </w:rPr>
            </w:pPr>
            <w:r w:rsidRPr="00276B83">
              <w:rPr>
                <w:rFonts w:ascii="Book Antiqua" w:hAnsi="Book Antiqua" w:cs="Arial"/>
                <w:b/>
                <w:color w:val="000000"/>
              </w:rPr>
              <w:t>Decision &amp; Reasons</w:t>
            </w:r>
            <w:r w:rsidR="00283659" w:rsidRPr="00276B83">
              <w:rPr>
                <w:rFonts w:ascii="Book Antiqua" w:hAnsi="Book Antiqua" w:cs="Arial"/>
                <w:b/>
                <w:color w:val="000000"/>
              </w:rPr>
              <w:t xml:space="preserve"> Promulgated</w:t>
            </w:r>
          </w:p>
        </w:tc>
      </w:tr>
      <w:tr w:rsidR="00D22636" w:rsidRPr="00276B83" w14:paraId="35BD7B67" w14:textId="77777777" w:rsidTr="00276B83">
        <w:tc>
          <w:tcPr>
            <w:tcW w:w="6048" w:type="dxa"/>
            <w:shd w:val="clear" w:color="auto" w:fill="auto"/>
          </w:tcPr>
          <w:p w14:paraId="715E4E87" w14:textId="77777777" w:rsidR="00D22636" w:rsidRPr="00276B83" w:rsidRDefault="00D22636" w:rsidP="00276B83">
            <w:pPr>
              <w:jc w:val="both"/>
              <w:rPr>
                <w:rFonts w:ascii="Book Antiqua" w:hAnsi="Book Antiqua" w:cs="Arial"/>
                <w:b/>
              </w:rPr>
            </w:pPr>
            <w:r w:rsidRPr="00276B83">
              <w:rPr>
                <w:rFonts w:ascii="Book Antiqua" w:hAnsi="Book Antiqua" w:cs="Arial"/>
                <w:b/>
              </w:rPr>
              <w:t xml:space="preserve">On </w:t>
            </w:r>
            <w:r w:rsidR="006B641D" w:rsidRPr="00276B83">
              <w:rPr>
                <w:rFonts w:ascii="Book Antiqua" w:hAnsi="Book Antiqua" w:cs="Arial"/>
                <w:b/>
              </w:rPr>
              <w:t>25 June 2018</w:t>
            </w:r>
          </w:p>
        </w:tc>
        <w:tc>
          <w:tcPr>
            <w:tcW w:w="3960" w:type="dxa"/>
            <w:shd w:val="clear" w:color="auto" w:fill="auto"/>
          </w:tcPr>
          <w:p w14:paraId="49F777D8" w14:textId="77777777" w:rsidR="00D22636" w:rsidRPr="00276B83" w:rsidRDefault="004D7BA5" w:rsidP="00276B83">
            <w:pPr>
              <w:jc w:val="both"/>
              <w:rPr>
                <w:rFonts w:ascii="Book Antiqua" w:hAnsi="Book Antiqua" w:cs="Arial"/>
                <w:b/>
              </w:rPr>
            </w:pPr>
            <w:r>
              <w:rPr>
                <w:rFonts w:ascii="Book Antiqua" w:hAnsi="Book Antiqua" w:cs="Arial"/>
                <w:b/>
              </w:rPr>
              <w:t>On 09 July 2018</w:t>
            </w:r>
          </w:p>
        </w:tc>
      </w:tr>
    </w:tbl>
    <w:p w14:paraId="4133E167" w14:textId="6D02B408" w:rsidR="00A15234" w:rsidRDefault="00A15234" w:rsidP="00A15234">
      <w:pPr>
        <w:jc w:val="center"/>
        <w:rPr>
          <w:rFonts w:ascii="Book Antiqua" w:hAnsi="Book Antiqua" w:cs="Arial"/>
        </w:rPr>
      </w:pPr>
    </w:p>
    <w:p w14:paraId="1BC183DB" w14:textId="77777777" w:rsidR="00713D43" w:rsidRPr="00B57D66" w:rsidRDefault="00713D43" w:rsidP="00A15234">
      <w:pPr>
        <w:jc w:val="center"/>
        <w:rPr>
          <w:rFonts w:ascii="Book Antiqua" w:hAnsi="Book Antiqua" w:cs="Arial"/>
        </w:rPr>
      </w:pPr>
    </w:p>
    <w:p w14:paraId="7E5B1517"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07450A0C" w14:textId="77777777" w:rsidR="00A15234" w:rsidRPr="00B57D66" w:rsidRDefault="00A15234" w:rsidP="00A15234">
      <w:pPr>
        <w:jc w:val="center"/>
        <w:rPr>
          <w:rFonts w:ascii="Book Antiqua" w:hAnsi="Book Antiqua" w:cs="Arial"/>
          <w:b/>
        </w:rPr>
      </w:pPr>
    </w:p>
    <w:p w14:paraId="7E9F170B"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3843F30A"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21CF8BCB" w14:textId="69EC203A" w:rsidR="00D20757" w:rsidRDefault="00D20757" w:rsidP="00A15234">
      <w:pPr>
        <w:jc w:val="center"/>
        <w:rPr>
          <w:rFonts w:ascii="Book Antiqua" w:hAnsi="Book Antiqua" w:cs="Arial"/>
          <w:b/>
        </w:rPr>
      </w:pPr>
    </w:p>
    <w:p w14:paraId="229D4FB4" w14:textId="77777777" w:rsidR="00713D43" w:rsidRPr="00B57D66" w:rsidRDefault="00713D43" w:rsidP="00A15234">
      <w:pPr>
        <w:jc w:val="center"/>
        <w:rPr>
          <w:rFonts w:ascii="Book Antiqua" w:hAnsi="Book Antiqua" w:cs="Arial"/>
          <w:b/>
        </w:rPr>
      </w:pPr>
    </w:p>
    <w:p w14:paraId="3232B753"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5EAFB70E" w14:textId="77777777" w:rsidR="00A845DC" w:rsidRPr="00B57D66" w:rsidRDefault="00A845DC" w:rsidP="00A15234">
      <w:pPr>
        <w:jc w:val="center"/>
        <w:rPr>
          <w:rFonts w:ascii="Book Antiqua" w:hAnsi="Book Antiqua" w:cs="Arial"/>
          <w:b/>
        </w:rPr>
      </w:pPr>
    </w:p>
    <w:p w14:paraId="160E6E01" w14:textId="77777777" w:rsidR="00A845DC" w:rsidRDefault="006B641D" w:rsidP="00A15234">
      <w:pPr>
        <w:jc w:val="center"/>
        <w:rPr>
          <w:rFonts w:ascii="Book Antiqua" w:hAnsi="Book Antiqua" w:cs="Arial"/>
          <w:b/>
          <w:caps/>
        </w:rPr>
      </w:pPr>
      <w:r>
        <w:rPr>
          <w:rFonts w:ascii="Book Antiqua" w:hAnsi="Book Antiqua" w:cs="Arial"/>
          <w:b/>
          <w:caps/>
        </w:rPr>
        <w:t xml:space="preserve">Secretary of State for the Home Department </w:t>
      </w:r>
    </w:p>
    <w:p w14:paraId="616A3ED8"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43F9D96F"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63173F8E" w14:textId="77777777" w:rsidR="00DD5071" w:rsidRPr="00B57D66" w:rsidRDefault="00DD5071" w:rsidP="00704B61">
      <w:pPr>
        <w:jc w:val="center"/>
        <w:rPr>
          <w:rFonts w:ascii="Book Antiqua" w:hAnsi="Book Antiqua" w:cs="Arial"/>
          <w:b/>
        </w:rPr>
      </w:pPr>
    </w:p>
    <w:p w14:paraId="0DEE0853" w14:textId="77777777" w:rsidR="00DD5071" w:rsidRPr="00B57D66" w:rsidRDefault="006B641D" w:rsidP="00704B61">
      <w:pPr>
        <w:jc w:val="center"/>
        <w:rPr>
          <w:rFonts w:ascii="Book Antiqua" w:hAnsi="Book Antiqua" w:cs="Arial"/>
          <w:b/>
        </w:rPr>
      </w:pPr>
      <w:r>
        <w:rPr>
          <w:rFonts w:ascii="Book Antiqua" w:hAnsi="Book Antiqua" w:cs="Arial"/>
          <w:b/>
        </w:rPr>
        <w:t>MR MANOJ THAPA</w:t>
      </w:r>
    </w:p>
    <w:p w14:paraId="7FC2148A" w14:textId="77777777" w:rsidR="006B641D" w:rsidRPr="00713D43" w:rsidRDefault="006B641D" w:rsidP="006B641D">
      <w:pPr>
        <w:jc w:val="center"/>
        <w:rPr>
          <w:rFonts w:ascii="Book Antiqua" w:hAnsi="Book Antiqua" w:cs="Arial"/>
          <w:b/>
          <w:caps/>
          <w:sz w:val="22"/>
        </w:rPr>
      </w:pPr>
      <w:r w:rsidRPr="00713D43">
        <w:rPr>
          <w:rFonts w:ascii="Book Antiqua" w:hAnsi="Book Antiqua" w:cs="Arial"/>
          <w:b/>
          <w:caps/>
          <w:sz w:val="22"/>
        </w:rPr>
        <w:t xml:space="preserve">(ANONYMITY DIRECTION </w:t>
      </w:r>
      <w:r w:rsidR="0017215E" w:rsidRPr="00713D43">
        <w:rPr>
          <w:rFonts w:ascii="Book Antiqua" w:hAnsi="Book Antiqua" w:cs="Arial"/>
          <w:b/>
          <w:caps/>
          <w:sz w:val="22"/>
        </w:rPr>
        <w:t>NOT MADE</w:t>
      </w:r>
      <w:r w:rsidRPr="00713D43">
        <w:rPr>
          <w:rFonts w:ascii="Book Antiqua" w:hAnsi="Book Antiqua" w:cs="Arial"/>
          <w:b/>
          <w:caps/>
          <w:sz w:val="22"/>
        </w:rPr>
        <w:t>)</w:t>
      </w:r>
    </w:p>
    <w:p w14:paraId="7C9FC458"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183C65BF" w14:textId="77777777" w:rsidR="00DD5071" w:rsidRPr="00B57D66" w:rsidRDefault="00DD5071" w:rsidP="00DD5071">
      <w:pPr>
        <w:rPr>
          <w:rFonts w:ascii="Book Antiqua" w:hAnsi="Book Antiqua" w:cs="Arial"/>
          <w:u w:val="single"/>
        </w:rPr>
      </w:pPr>
    </w:p>
    <w:p w14:paraId="60181AF0" w14:textId="77777777" w:rsidR="00DD5071" w:rsidRPr="00B57D66" w:rsidRDefault="00DD5071" w:rsidP="00DD5071">
      <w:pPr>
        <w:rPr>
          <w:rFonts w:ascii="Book Antiqua" w:hAnsi="Book Antiqua" w:cs="Arial"/>
          <w:u w:val="single"/>
        </w:rPr>
      </w:pPr>
    </w:p>
    <w:p w14:paraId="17CE5F21"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7CA1755D"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6B641D">
        <w:rPr>
          <w:rFonts w:ascii="Book Antiqua" w:hAnsi="Book Antiqua" w:cs="Arial"/>
        </w:rPr>
        <w:t xml:space="preserve">Mr N Bramble, Home Office Presenting Officer </w:t>
      </w:r>
    </w:p>
    <w:p w14:paraId="59207EC6"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6B641D">
        <w:rPr>
          <w:rFonts w:ascii="Book Antiqua" w:hAnsi="Book Antiqua" w:cs="Arial"/>
        </w:rPr>
        <w:t>Ms A O’Callaghan, instructed by N.C. Brothers &amp; Co Solicitors</w:t>
      </w:r>
    </w:p>
    <w:p w14:paraId="4EAC53DC" w14:textId="77777777" w:rsidR="00DE7DB7" w:rsidRPr="00B57D66" w:rsidRDefault="00DE7DB7" w:rsidP="00402B9E">
      <w:pPr>
        <w:tabs>
          <w:tab w:val="left" w:pos="2520"/>
        </w:tabs>
        <w:jc w:val="center"/>
        <w:rPr>
          <w:rFonts w:ascii="Book Antiqua" w:hAnsi="Book Antiqua" w:cs="Arial"/>
        </w:rPr>
      </w:pPr>
    </w:p>
    <w:p w14:paraId="441A0845" w14:textId="77777777" w:rsidR="00DE7DB7" w:rsidRPr="00B57D66" w:rsidRDefault="00DE7DB7" w:rsidP="00402B9E">
      <w:pPr>
        <w:tabs>
          <w:tab w:val="left" w:pos="2520"/>
        </w:tabs>
        <w:jc w:val="center"/>
        <w:rPr>
          <w:rFonts w:ascii="Book Antiqua" w:hAnsi="Book Antiqua" w:cs="Arial"/>
        </w:rPr>
      </w:pPr>
    </w:p>
    <w:p w14:paraId="35BC27BE"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4C754962" w14:textId="77777777" w:rsidR="004B5AEF" w:rsidRDefault="004B5AEF" w:rsidP="00BF23BB">
      <w:pPr>
        <w:tabs>
          <w:tab w:val="left" w:pos="567"/>
        </w:tabs>
        <w:ind w:left="567" w:hanging="567"/>
        <w:jc w:val="both"/>
        <w:rPr>
          <w:rFonts w:ascii="Book Antiqua" w:hAnsi="Book Antiqua" w:cs="Arial"/>
        </w:rPr>
      </w:pPr>
    </w:p>
    <w:p w14:paraId="4A8D0047"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6B641D">
        <w:rPr>
          <w:rFonts w:ascii="Book Antiqua" w:hAnsi="Book Antiqua" w:cs="Arial"/>
        </w:rPr>
        <w:t xml:space="preserve">In a decision sent on 4 December 2017 Judge </w:t>
      </w:r>
      <w:proofErr w:type="spellStart"/>
      <w:r w:rsidR="006B641D">
        <w:rPr>
          <w:rFonts w:ascii="Book Antiqua" w:hAnsi="Book Antiqua" w:cs="Arial"/>
        </w:rPr>
        <w:t>Adio</w:t>
      </w:r>
      <w:proofErr w:type="spellEnd"/>
      <w:r w:rsidR="006B641D">
        <w:rPr>
          <w:rFonts w:ascii="Book Antiqua" w:hAnsi="Book Antiqua" w:cs="Arial"/>
        </w:rPr>
        <w:t xml:space="preserve"> of the First-tier Tribunal (</w:t>
      </w:r>
      <w:proofErr w:type="spellStart"/>
      <w:r w:rsidR="006B641D">
        <w:rPr>
          <w:rFonts w:ascii="Book Antiqua" w:hAnsi="Book Antiqua" w:cs="Arial"/>
        </w:rPr>
        <w:t>FtT</w:t>
      </w:r>
      <w:proofErr w:type="spellEnd"/>
      <w:r w:rsidR="006B641D">
        <w:rPr>
          <w:rFonts w:ascii="Book Antiqua" w:hAnsi="Book Antiqua" w:cs="Arial"/>
        </w:rPr>
        <w:t>) allowed on human rights grounds the appeal of the respondent (hereafter the claimant) against the decision made by the appellant (hereafter the Entry Clearance Officer or ECO) to refuse entry clearance as an adult dependent relative.</w:t>
      </w:r>
    </w:p>
    <w:p w14:paraId="1E508F2B" w14:textId="77777777" w:rsidR="006B641D" w:rsidRDefault="006B641D" w:rsidP="00BF23BB">
      <w:pPr>
        <w:tabs>
          <w:tab w:val="left" w:pos="567"/>
        </w:tabs>
        <w:ind w:left="567" w:hanging="567"/>
        <w:jc w:val="both"/>
        <w:rPr>
          <w:rFonts w:ascii="Book Antiqua" w:hAnsi="Book Antiqua" w:cs="Arial"/>
        </w:rPr>
      </w:pPr>
    </w:p>
    <w:p w14:paraId="13912344" w14:textId="08075ED2" w:rsidR="006B641D" w:rsidRDefault="0017215E"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ECO was</w:t>
      </w:r>
      <w:r w:rsidR="006B641D">
        <w:rPr>
          <w:rFonts w:ascii="Book Antiqua" w:hAnsi="Book Antiqua" w:cs="Arial"/>
        </w:rPr>
        <w:t xml:space="preserve"> granted permission </w:t>
      </w:r>
      <w:r>
        <w:rPr>
          <w:rFonts w:ascii="Book Antiqua" w:hAnsi="Book Antiqua" w:cs="Arial"/>
        </w:rPr>
        <w:t xml:space="preserve">to challenge Judge </w:t>
      </w:r>
      <w:proofErr w:type="spellStart"/>
      <w:r>
        <w:rPr>
          <w:rFonts w:ascii="Book Antiqua" w:hAnsi="Book Antiqua" w:cs="Arial"/>
        </w:rPr>
        <w:t>Adio’s</w:t>
      </w:r>
      <w:proofErr w:type="spellEnd"/>
      <w:r>
        <w:rPr>
          <w:rFonts w:ascii="Book Antiqua" w:hAnsi="Book Antiqua" w:cs="Arial"/>
        </w:rPr>
        <w:t xml:space="preserve"> decision </w:t>
      </w:r>
      <w:r w:rsidR="006B641D">
        <w:rPr>
          <w:rFonts w:ascii="Book Antiqua" w:hAnsi="Book Antiqua" w:cs="Arial"/>
        </w:rPr>
        <w:t>on one ground</w:t>
      </w:r>
      <w:r>
        <w:rPr>
          <w:rFonts w:ascii="Book Antiqua" w:hAnsi="Book Antiqua" w:cs="Arial"/>
        </w:rPr>
        <w:t xml:space="preserve"> only</w:t>
      </w:r>
      <w:r w:rsidR="006B641D">
        <w:rPr>
          <w:rFonts w:ascii="Book Antiqua" w:hAnsi="Book Antiqua" w:cs="Arial"/>
        </w:rPr>
        <w:t xml:space="preserve">.  The first limb of that ground was that the judge failed to identify anything </w:t>
      </w:r>
      <w:r w:rsidR="006B641D">
        <w:rPr>
          <w:rFonts w:ascii="Book Antiqua" w:hAnsi="Book Antiqua" w:cs="Arial"/>
        </w:rPr>
        <w:lastRenderedPageBreak/>
        <w:t xml:space="preserve">exceptional about the claimant’s circumstances which would make the separation from his family “insurmountable” in light of the guidance given by the Upper Tribunal and higher courts on the meaning of “insurmountable obstacles”, in particular </w:t>
      </w:r>
      <w:proofErr w:type="spellStart"/>
      <w:r w:rsidR="006B641D">
        <w:rPr>
          <w:rFonts w:ascii="Book Antiqua" w:hAnsi="Book Antiqua" w:cs="Arial"/>
          <w:b/>
          <w:u w:val="single"/>
        </w:rPr>
        <w:t>Agyarko</w:t>
      </w:r>
      <w:proofErr w:type="spellEnd"/>
      <w:r w:rsidR="006B641D">
        <w:rPr>
          <w:rFonts w:ascii="Book Antiqua" w:hAnsi="Book Antiqua" w:cs="Arial"/>
          <w:b/>
        </w:rPr>
        <w:t xml:space="preserve"> [</w:t>
      </w:r>
      <w:r w:rsidR="006B641D" w:rsidRPr="0017215E">
        <w:rPr>
          <w:rFonts w:ascii="Book Antiqua" w:hAnsi="Book Antiqua" w:cs="Arial"/>
        </w:rPr>
        <w:t>2015]</w:t>
      </w:r>
      <w:r w:rsidR="006B641D">
        <w:rPr>
          <w:rFonts w:ascii="Book Antiqua" w:hAnsi="Book Antiqua" w:cs="Arial"/>
          <w:b/>
        </w:rPr>
        <w:t xml:space="preserve"> </w:t>
      </w:r>
      <w:r w:rsidR="006B641D" w:rsidRPr="0017215E">
        <w:rPr>
          <w:rFonts w:ascii="Book Antiqua" w:hAnsi="Book Antiqua" w:cs="Arial"/>
        </w:rPr>
        <w:t xml:space="preserve">EWCA </w:t>
      </w:r>
      <w:proofErr w:type="spellStart"/>
      <w:r w:rsidR="006B641D" w:rsidRPr="0017215E">
        <w:rPr>
          <w:rFonts w:ascii="Book Antiqua" w:hAnsi="Book Antiqua" w:cs="Arial"/>
        </w:rPr>
        <w:t>Civ</w:t>
      </w:r>
      <w:proofErr w:type="spellEnd"/>
      <w:r w:rsidR="006B641D" w:rsidRPr="0017215E">
        <w:rPr>
          <w:rFonts w:ascii="Book Antiqua" w:hAnsi="Book Antiqua" w:cs="Arial"/>
        </w:rPr>
        <w:t xml:space="preserve"> 440</w:t>
      </w:r>
      <w:r w:rsidR="006B641D">
        <w:rPr>
          <w:rFonts w:ascii="Book Antiqua" w:hAnsi="Book Antiqua" w:cs="Arial"/>
        </w:rPr>
        <w:t xml:space="preserve">.  The second limb of the ECO’s </w:t>
      </w:r>
      <w:r>
        <w:rPr>
          <w:rFonts w:ascii="Book Antiqua" w:hAnsi="Book Antiqua" w:cs="Arial"/>
        </w:rPr>
        <w:t>one</w:t>
      </w:r>
      <w:r w:rsidR="006B641D">
        <w:rPr>
          <w:rFonts w:ascii="Book Antiqua" w:hAnsi="Book Antiqua" w:cs="Arial"/>
        </w:rPr>
        <w:t xml:space="preserve"> ground was to contend that the judge failed to attach substantial weight to the </w:t>
      </w:r>
      <w:r w:rsidR="00EE47E5">
        <w:rPr>
          <w:rFonts w:ascii="Book Antiqua" w:hAnsi="Book Antiqua" w:cs="Arial"/>
        </w:rPr>
        <w:t>public interest factors in play in this case, in particular that there was a lack of evidence that the claimant spoke English, or that he would not be a burden on the taxpayer given that the judge found the claimant would need treatment in the UK even though the evidence did not indicate he could afford private treatment.</w:t>
      </w:r>
    </w:p>
    <w:p w14:paraId="4202957C" w14:textId="77777777" w:rsidR="00EE47E5" w:rsidRDefault="00EE47E5" w:rsidP="00BF23BB">
      <w:pPr>
        <w:tabs>
          <w:tab w:val="left" w:pos="567"/>
        </w:tabs>
        <w:ind w:left="567" w:hanging="567"/>
        <w:jc w:val="both"/>
        <w:rPr>
          <w:rFonts w:ascii="Book Antiqua" w:hAnsi="Book Antiqua" w:cs="Arial"/>
        </w:rPr>
      </w:pPr>
    </w:p>
    <w:p w14:paraId="782D8F35" w14:textId="77777777" w:rsidR="00EE47E5" w:rsidRDefault="00EE47E5"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claimant’s Rule 24 Response and skeleton argument submitted that the claimant was not required to undertake an insurmountable obstacles assessment under the dependent relative Rules.  Further, the judge was entitled to find that the sponsor would be able to maintain the claimant without recourse to public funds and “the impact of his disability on public funds is not a consideration under s</w:t>
      </w:r>
      <w:r w:rsidR="002F36A3">
        <w:rPr>
          <w:rFonts w:ascii="Book Antiqua" w:hAnsi="Book Antiqua" w:cs="Arial"/>
        </w:rPr>
        <w:t>.</w:t>
      </w:r>
      <w:r>
        <w:rPr>
          <w:rFonts w:ascii="Book Antiqua" w:hAnsi="Book Antiqua" w:cs="Arial"/>
        </w:rPr>
        <w:t xml:space="preserve">117B of the NIAA 2002”.  </w:t>
      </w:r>
    </w:p>
    <w:p w14:paraId="06DBEA4E" w14:textId="77777777" w:rsidR="00EE47E5" w:rsidRDefault="00EE47E5" w:rsidP="00BF23BB">
      <w:pPr>
        <w:tabs>
          <w:tab w:val="left" w:pos="567"/>
        </w:tabs>
        <w:ind w:left="567" w:hanging="567"/>
        <w:jc w:val="both"/>
        <w:rPr>
          <w:rFonts w:ascii="Book Antiqua" w:hAnsi="Book Antiqua" w:cs="Arial"/>
        </w:rPr>
      </w:pPr>
    </w:p>
    <w:p w14:paraId="3DB8642A" w14:textId="77777777" w:rsidR="00EE47E5" w:rsidRDefault="00EE47E5"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Mr Bramble said he accepted that the grounds were wrong to raise the issue of “insurmountable obstacles”.  He m</w:t>
      </w:r>
      <w:r w:rsidR="0017215E">
        <w:rPr>
          <w:rFonts w:ascii="Book Antiqua" w:hAnsi="Book Antiqua" w:cs="Arial"/>
        </w:rPr>
        <w:t>ain</w:t>
      </w:r>
      <w:r>
        <w:rPr>
          <w:rFonts w:ascii="Book Antiqua" w:hAnsi="Book Antiqua" w:cs="Arial"/>
        </w:rPr>
        <w:t>t</w:t>
      </w:r>
      <w:r w:rsidR="0017215E">
        <w:rPr>
          <w:rFonts w:ascii="Book Antiqua" w:hAnsi="Book Antiqua" w:cs="Arial"/>
        </w:rPr>
        <w:t>ai</w:t>
      </w:r>
      <w:r>
        <w:rPr>
          <w:rFonts w:ascii="Book Antiqua" w:hAnsi="Book Antiqua" w:cs="Arial"/>
        </w:rPr>
        <w:t xml:space="preserve">ned </w:t>
      </w:r>
      <w:r w:rsidR="0017215E">
        <w:rPr>
          <w:rFonts w:ascii="Book Antiqua" w:hAnsi="Book Antiqua" w:cs="Arial"/>
        </w:rPr>
        <w:t xml:space="preserve">however </w:t>
      </w:r>
      <w:r>
        <w:rPr>
          <w:rFonts w:ascii="Book Antiqua" w:hAnsi="Book Antiqua" w:cs="Arial"/>
        </w:rPr>
        <w:t>that the judge had failed to adequately address public interest factors weighing against the claimant.</w:t>
      </w:r>
    </w:p>
    <w:p w14:paraId="65E77114" w14:textId="77777777" w:rsidR="00EE47E5" w:rsidRDefault="00EE47E5" w:rsidP="00BF23BB">
      <w:pPr>
        <w:tabs>
          <w:tab w:val="left" w:pos="567"/>
        </w:tabs>
        <w:ind w:left="567" w:hanging="567"/>
        <w:jc w:val="both"/>
        <w:rPr>
          <w:rFonts w:ascii="Book Antiqua" w:hAnsi="Book Antiqua" w:cs="Arial"/>
        </w:rPr>
      </w:pPr>
    </w:p>
    <w:p w14:paraId="7AE9F397" w14:textId="77777777" w:rsidR="00EE47E5" w:rsidRDefault="00EE47E5"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Given Mr Bramble’s contention that there is no “insurmountable obstacles” test in respect of entry clearance applications by adult dependent relatives, I need not address that limb of the ECO’s grounds.</w:t>
      </w:r>
    </w:p>
    <w:p w14:paraId="7C32D433" w14:textId="77777777" w:rsidR="00EE47E5" w:rsidRDefault="00EE47E5" w:rsidP="00BF23BB">
      <w:pPr>
        <w:tabs>
          <w:tab w:val="left" w:pos="567"/>
        </w:tabs>
        <w:ind w:left="567" w:hanging="567"/>
        <w:jc w:val="both"/>
        <w:rPr>
          <w:rFonts w:ascii="Book Antiqua" w:hAnsi="Book Antiqua" w:cs="Arial"/>
        </w:rPr>
      </w:pPr>
    </w:p>
    <w:p w14:paraId="45039B8B" w14:textId="77777777" w:rsidR="00EE47E5" w:rsidRDefault="00EE47E5"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Three features of the judge’s treatment of the claimant’s appeal are noteworthy.  First, he did not find that the claimant met the full requirements of the Immigration Rules, paras E-ECDR.2.4 and 2.5 in particular.  The judge explains why at para 22:</w:t>
      </w:r>
    </w:p>
    <w:p w14:paraId="736529CF" w14:textId="77777777" w:rsidR="00EE47E5" w:rsidRPr="00713D43" w:rsidRDefault="00EE47E5" w:rsidP="00713D43">
      <w:pPr>
        <w:spacing w:before="120" w:after="120"/>
        <w:ind w:left="1134" w:right="567"/>
        <w:jc w:val="both"/>
        <w:rPr>
          <w:rFonts w:ascii="Book Antiqua" w:hAnsi="Book Antiqua" w:cs="Arial"/>
          <w:sz w:val="22"/>
        </w:rPr>
      </w:pPr>
      <w:r w:rsidRPr="00713D43">
        <w:rPr>
          <w:rFonts w:ascii="Book Antiqua" w:hAnsi="Book Antiqua" w:cs="Arial"/>
          <w:sz w:val="22"/>
        </w:rPr>
        <w:t>“The requirements of paragraph 35 under Appendix FM-SE are strict.  The contents of the letter do not totally fulfil the requirement laid out at paragraph 35 of Appendix FM-SE.  There is also no indication why the private arrangement cannot be continued in Nepal.  Due to the absence of independent medical evidence I find that the appeal cannot succeed under Appendix FM of the Immigration Rules with particular reference to paragraph Entry Clearance Officer-DR 1.1.  With reference to Appendix FM-SE of the Immigration Rules, I find that an undertaking was submitted by the Sponsor and I find that the Appellant’s parents have shown that they are able to maintain and accommodate him without recourse to public funds.  The Sponsor has submitted his payslip for 2017 this shows that he earns over £39,000 per annum (also working part-time).</w:t>
      </w:r>
    </w:p>
    <w:p w14:paraId="62CC8BB3" w14:textId="77777777" w:rsidR="00EE47E5" w:rsidRDefault="00EE47E5"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Second, as the judge makes clear within the same paragraph, </w:t>
      </w:r>
      <w:r w:rsidR="0017215E">
        <w:rPr>
          <w:rFonts w:ascii="Book Antiqua" w:hAnsi="Book Antiqua" w:cs="Arial"/>
        </w:rPr>
        <w:t>he was nevertheless satisfied (</w:t>
      </w:r>
      <w:proofErr w:type="spellStart"/>
      <w:r w:rsidR="0017215E">
        <w:rPr>
          <w:rFonts w:ascii="Book Antiqua" w:hAnsi="Book Antiqua" w:cs="Arial"/>
        </w:rPr>
        <w:t>i</w:t>
      </w:r>
      <w:proofErr w:type="spellEnd"/>
      <w:r>
        <w:rPr>
          <w:rFonts w:ascii="Book Antiqua" w:hAnsi="Book Antiqua" w:cs="Arial"/>
        </w:rPr>
        <w:t xml:space="preserve">) that the claimant’s parents had </w:t>
      </w:r>
      <w:r w:rsidR="00CD299B">
        <w:rPr>
          <w:rFonts w:ascii="Book Antiqua" w:hAnsi="Book Antiqua" w:cs="Arial"/>
        </w:rPr>
        <w:t>shown that they were able to maintain and accommodate him without recourse to public funds; and (</w:t>
      </w:r>
      <w:r w:rsidR="0017215E">
        <w:rPr>
          <w:rFonts w:ascii="Book Antiqua" w:hAnsi="Book Antiqua" w:cs="Arial"/>
        </w:rPr>
        <w:t>ii</w:t>
      </w:r>
      <w:r w:rsidR="00CD299B">
        <w:rPr>
          <w:rFonts w:ascii="Book Antiqua" w:hAnsi="Book Antiqua" w:cs="Arial"/>
        </w:rPr>
        <w:t>) that an undertaking had now been given by the sponsor pursuant to para 35 of the Rules (it had not been supplied at the date of application or decision).</w:t>
      </w:r>
    </w:p>
    <w:p w14:paraId="5C1835D5" w14:textId="77777777" w:rsidR="00CD299B" w:rsidRDefault="00CD299B" w:rsidP="00BF23BB">
      <w:pPr>
        <w:tabs>
          <w:tab w:val="left" w:pos="567"/>
        </w:tabs>
        <w:ind w:left="567" w:hanging="567"/>
        <w:jc w:val="both"/>
        <w:rPr>
          <w:rFonts w:ascii="Book Antiqua" w:hAnsi="Book Antiqua" w:cs="Arial"/>
        </w:rPr>
      </w:pPr>
    </w:p>
    <w:p w14:paraId="27D6041F" w14:textId="77777777" w:rsidR="00CD299B" w:rsidRDefault="00CD299B" w:rsidP="00BF23BB">
      <w:pPr>
        <w:tabs>
          <w:tab w:val="left" w:pos="567"/>
        </w:tabs>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 xml:space="preserve">Third, the judge conceded that the claimant only failed to meet the requirements of the Rules “because of the lack of specified evidence” (para 27).  </w:t>
      </w:r>
    </w:p>
    <w:p w14:paraId="5868E7A3" w14:textId="77777777" w:rsidR="00CD299B" w:rsidRDefault="00CD299B" w:rsidP="00BF23BB">
      <w:pPr>
        <w:tabs>
          <w:tab w:val="left" w:pos="567"/>
        </w:tabs>
        <w:ind w:left="567" w:hanging="567"/>
        <w:jc w:val="both"/>
        <w:rPr>
          <w:rFonts w:ascii="Book Antiqua" w:hAnsi="Book Antiqua" w:cs="Arial"/>
        </w:rPr>
      </w:pPr>
    </w:p>
    <w:p w14:paraId="4B8B31E7" w14:textId="77777777" w:rsidR="00CD299B" w:rsidRDefault="00CD299B"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consequence of the judge’s conclusion that the claimant did not meet the Rules was that the judge had to approach the public interest considerations against the background that the Rules broadly reflect the public interest: see </w:t>
      </w:r>
      <w:r>
        <w:rPr>
          <w:rFonts w:ascii="Book Antiqua" w:hAnsi="Book Antiqua" w:cs="Arial"/>
          <w:b/>
          <w:u w:val="single"/>
        </w:rPr>
        <w:t>Hesha</w:t>
      </w:r>
      <w:r w:rsidR="002F36A3">
        <w:rPr>
          <w:rFonts w:ascii="Book Antiqua" w:hAnsi="Book Antiqua" w:cs="Arial"/>
          <w:b/>
          <w:u w:val="single"/>
        </w:rPr>
        <w:t>m</w:t>
      </w:r>
      <w:r>
        <w:rPr>
          <w:rFonts w:ascii="Book Antiqua" w:hAnsi="Book Antiqua" w:cs="Arial"/>
          <w:b/>
          <w:u w:val="single"/>
        </w:rPr>
        <w:t xml:space="preserve"> Ali</w:t>
      </w:r>
      <w:r w:rsidR="002F36A3">
        <w:rPr>
          <w:rFonts w:ascii="Book Antiqua" w:hAnsi="Book Antiqua" w:cs="Arial"/>
          <w:b/>
        </w:rPr>
        <w:t xml:space="preserve"> </w:t>
      </w:r>
      <w:r w:rsidR="002F36A3" w:rsidRPr="0017215E">
        <w:rPr>
          <w:rFonts w:ascii="Book Antiqua" w:hAnsi="Book Antiqua" w:cs="Arial"/>
        </w:rPr>
        <w:t>[2016] UKSC 60</w:t>
      </w:r>
      <w:r w:rsidRPr="0017215E">
        <w:rPr>
          <w:rFonts w:ascii="Book Antiqua" w:hAnsi="Book Antiqua" w:cs="Arial"/>
        </w:rPr>
        <w:t>.</w:t>
      </w:r>
      <w:r>
        <w:rPr>
          <w:rFonts w:ascii="Book Antiqua" w:hAnsi="Book Antiqua" w:cs="Arial"/>
        </w:rPr>
        <w:t xml:space="preserve">  At the same time, the judge was entitled to weigh in the proportionality assessment that the claimant met the requirements of the Rules save in respect of the para 35 sponsorship undertaking.  Viewed in this light, it is difficult to see that the judge’s proportionality assessment failed to conduct a balancing exercise within the range of reasonable responses.  Having found that the claimant enjoyed family life and that the decision constituted an interference with that family life, the judge duly noted a number of public interest factors weighing against the claimant, including the public interest in the maintenance of immigration control</w:t>
      </w:r>
      <w:r w:rsidR="0017215E">
        <w:rPr>
          <w:rFonts w:ascii="Book Antiqua" w:hAnsi="Book Antiqua" w:cs="Arial"/>
        </w:rPr>
        <w:t xml:space="preserve"> and</w:t>
      </w:r>
      <w:r>
        <w:rPr>
          <w:rFonts w:ascii="Book Antiqua" w:hAnsi="Book Antiqua" w:cs="Arial"/>
        </w:rPr>
        <w:t xml:space="preserve"> the claimant’s lack of English language skills.  The judge then set out factors in favour of the claimant or that negated some of the public interest considerations, in particular that because of his disability it would be discriminatory to hold his lack of English language skills against him; that he would not be a drain on public funds, that if the claimant did not join his parents there would be an emotional and mental impact on the sponsor.  At paras 27 and 28 the judge observed:</w:t>
      </w:r>
    </w:p>
    <w:p w14:paraId="2BF85C16" w14:textId="77777777" w:rsidR="00CD299B" w:rsidRPr="000741B0" w:rsidRDefault="000D7DFD" w:rsidP="000741B0">
      <w:pPr>
        <w:spacing w:before="120" w:after="120"/>
        <w:ind w:left="1701" w:right="567" w:hanging="567"/>
        <w:jc w:val="both"/>
        <w:rPr>
          <w:rFonts w:ascii="Book Antiqua" w:hAnsi="Book Antiqua" w:cs="Arial"/>
          <w:sz w:val="22"/>
        </w:rPr>
      </w:pPr>
      <w:r w:rsidRPr="000741B0">
        <w:rPr>
          <w:rFonts w:ascii="Book Antiqua" w:hAnsi="Book Antiqua" w:cs="Arial"/>
          <w:sz w:val="22"/>
        </w:rPr>
        <w:t>“27.</w:t>
      </w:r>
      <w:r w:rsidRPr="000741B0">
        <w:rPr>
          <w:rFonts w:ascii="Book Antiqua" w:hAnsi="Book Antiqua" w:cs="Arial"/>
          <w:sz w:val="22"/>
        </w:rPr>
        <w:tab/>
        <w:t xml:space="preserve">There is also no one who can look after him on a long-term basis.  And whilst the Appellant does not strictly satisfy the requirements of the Immigration Rules on adult dependent relatives because of the lack of specified evidence this does not detract from the emotional trauma and impact it will have on the family life if he is left to live without the rest of his family, namely his parents and his younger brother who he has lived with all his life apart from his father who had come to the UK a bit earlier.  </w:t>
      </w:r>
      <w:proofErr w:type="gramStart"/>
      <w:r w:rsidRPr="000741B0">
        <w:rPr>
          <w:rFonts w:ascii="Book Antiqua" w:hAnsi="Book Antiqua" w:cs="Arial"/>
          <w:sz w:val="22"/>
        </w:rPr>
        <w:t>However</w:t>
      </w:r>
      <w:proofErr w:type="gramEnd"/>
      <w:r w:rsidRPr="000741B0">
        <w:rPr>
          <w:rFonts w:ascii="Book Antiqua" w:hAnsi="Book Antiqua" w:cs="Arial"/>
          <w:sz w:val="22"/>
        </w:rPr>
        <w:t xml:space="preserve"> his father was working very hard to reunite the family together.  In view of the impact that separation will have on the Appellant’s parents and the </w:t>
      </w:r>
      <w:r w:rsidR="00A71DE2" w:rsidRPr="000741B0">
        <w:rPr>
          <w:rFonts w:ascii="Book Antiqua" w:hAnsi="Book Antiqua" w:cs="Arial"/>
          <w:sz w:val="22"/>
        </w:rPr>
        <w:t>younger brother as well as the Appellant himself I find that the Respondent’s decision is not a proportionate one.</w:t>
      </w:r>
    </w:p>
    <w:p w14:paraId="599A1F63" w14:textId="77777777" w:rsidR="00A71DE2" w:rsidRPr="000741B0" w:rsidRDefault="00A71DE2" w:rsidP="000741B0">
      <w:pPr>
        <w:spacing w:before="120" w:after="120"/>
        <w:ind w:left="1701" w:right="567" w:hanging="567"/>
        <w:jc w:val="both"/>
        <w:rPr>
          <w:rFonts w:ascii="Book Antiqua" w:hAnsi="Book Antiqua" w:cs="Arial"/>
          <w:sz w:val="22"/>
        </w:rPr>
      </w:pPr>
      <w:r w:rsidRPr="000741B0">
        <w:rPr>
          <w:rFonts w:ascii="Book Antiqua" w:hAnsi="Book Antiqua" w:cs="Arial"/>
          <w:sz w:val="22"/>
        </w:rPr>
        <w:t>28.</w:t>
      </w:r>
      <w:r w:rsidRPr="000741B0">
        <w:rPr>
          <w:rFonts w:ascii="Book Antiqua" w:hAnsi="Book Antiqua" w:cs="Arial"/>
          <w:sz w:val="22"/>
        </w:rPr>
        <w:tab/>
        <w:t xml:space="preserve">I find that the required daily tasks that the Appellant needs help with from his parents and brother and due to his </w:t>
      </w:r>
      <w:proofErr w:type="gramStart"/>
      <w:r w:rsidRPr="000741B0">
        <w:rPr>
          <w:rFonts w:ascii="Book Antiqua" w:hAnsi="Book Antiqua" w:cs="Arial"/>
          <w:sz w:val="22"/>
        </w:rPr>
        <w:t>disability</w:t>
      </w:r>
      <w:proofErr w:type="gramEnd"/>
      <w:r w:rsidRPr="000741B0">
        <w:rPr>
          <w:rFonts w:ascii="Book Antiqua" w:hAnsi="Book Antiqua" w:cs="Arial"/>
          <w:sz w:val="22"/>
        </w:rPr>
        <w:t xml:space="preserve"> it is disproportionate for him to continue to reside without them in Nepal.  To require the Appellant’s mother and brother to go back to Nepal to stay with him will be to undermine the family life that the Appellant’s mother and brother also have with the Appellant’s father in the UK.  The only proportionate decision will be for the Appellant to join the rest of the family in the UK.”</w:t>
      </w:r>
    </w:p>
    <w:p w14:paraId="5835AB2C" w14:textId="77777777" w:rsidR="00CD299B" w:rsidRDefault="00CD299B" w:rsidP="00BF23BB">
      <w:pPr>
        <w:tabs>
          <w:tab w:val="left" w:pos="567"/>
        </w:tabs>
        <w:ind w:left="567" w:hanging="567"/>
        <w:jc w:val="both"/>
        <w:rPr>
          <w:rFonts w:ascii="Book Antiqua" w:hAnsi="Book Antiqua" w:cs="Arial"/>
        </w:rPr>
      </w:pPr>
      <w:r>
        <w:rPr>
          <w:rFonts w:ascii="Book Antiqua" w:hAnsi="Book Antiqua" w:cs="Arial"/>
        </w:rPr>
        <w:t>10.</w:t>
      </w:r>
      <w:r w:rsidR="00584E40">
        <w:rPr>
          <w:rFonts w:ascii="Book Antiqua" w:hAnsi="Book Antiqua" w:cs="Arial"/>
        </w:rPr>
        <w:tab/>
        <w:t>In respect of the judge’s conduct of the balancing exercise</w:t>
      </w:r>
      <w:r w:rsidR="0017215E">
        <w:rPr>
          <w:rFonts w:ascii="Book Antiqua" w:hAnsi="Book Antiqua" w:cs="Arial"/>
        </w:rPr>
        <w:t>,</w:t>
      </w:r>
      <w:r w:rsidR="00584E40">
        <w:rPr>
          <w:rFonts w:ascii="Book Antiqua" w:hAnsi="Book Antiqua" w:cs="Arial"/>
        </w:rPr>
        <w:t xml:space="preserve"> the respondent’s grounds do not take issue with any of it or of the weightings the judge attached to various considerations save in respect of the finding that the claimant would not be a drain on the public purse.  This was an odd submission to begin with since the ECO’s grounds do not in terms challenge the judge’s clear finding at para 22 that his parents could maintain and accommodate him “without recourse to public funds”.  Nevertheless, in view of the claimant’s disability and the accepted fact that he needed medical treatment in Nepal (see para 11) and that he needed treatment not available in Nepal, </w:t>
      </w:r>
      <w:r w:rsidR="00584E40">
        <w:rPr>
          <w:rFonts w:ascii="Book Antiqua" w:hAnsi="Book Antiqua" w:cs="Arial"/>
        </w:rPr>
        <w:lastRenderedPageBreak/>
        <w:t>it was reasonably foreseeable that if granted entry to the UK the claimant might well need to seek and obtain medical treatment.</w:t>
      </w:r>
    </w:p>
    <w:p w14:paraId="1DF4AA9A" w14:textId="77777777" w:rsidR="00584E40" w:rsidRDefault="00584E40" w:rsidP="00BF23BB">
      <w:pPr>
        <w:tabs>
          <w:tab w:val="left" w:pos="567"/>
        </w:tabs>
        <w:ind w:left="567" w:hanging="567"/>
        <w:jc w:val="both"/>
        <w:rPr>
          <w:rFonts w:ascii="Book Antiqua" w:hAnsi="Book Antiqua" w:cs="Arial"/>
        </w:rPr>
      </w:pPr>
    </w:p>
    <w:p w14:paraId="4E4193D6" w14:textId="77777777" w:rsidR="00584E40" w:rsidRDefault="00584E40"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There are two safeguards placed by the Rules to prevent costs to the public purse</w:t>
      </w:r>
      <w:r w:rsidR="0017215E">
        <w:rPr>
          <w:rFonts w:ascii="Book Antiqua" w:hAnsi="Book Antiqua" w:cs="Arial"/>
        </w:rPr>
        <w:t xml:space="preserve"> in this context</w:t>
      </w:r>
      <w:r>
        <w:rPr>
          <w:rFonts w:ascii="Book Antiqua" w:hAnsi="Book Antiqua" w:cs="Arial"/>
        </w:rPr>
        <w:t>.  First, in respect of personal care, para 35 of the Rules requires a sponsor</w:t>
      </w:r>
      <w:r w:rsidR="002F36A3">
        <w:rPr>
          <w:rFonts w:ascii="Book Antiqua" w:hAnsi="Book Antiqua" w:cs="Arial"/>
        </w:rPr>
        <w:t>’s</w:t>
      </w:r>
      <w:r>
        <w:rPr>
          <w:rFonts w:ascii="Book Antiqua" w:hAnsi="Book Antiqua" w:cs="Arial"/>
        </w:rPr>
        <w:t xml:space="preserve"> undertaking, and although not given at the date of application or decision the judge was satisfied it has since been given.  Second, the Rules make provision for a health surcharge and the ECO refusal decision noted that “[y]</w:t>
      </w:r>
      <w:proofErr w:type="spellStart"/>
      <w:r>
        <w:rPr>
          <w:rFonts w:ascii="Book Antiqua" w:hAnsi="Book Antiqua" w:cs="Arial"/>
        </w:rPr>
        <w:t>ou</w:t>
      </w:r>
      <w:proofErr w:type="spellEnd"/>
      <w:r>
        <w:rPr>
          <w:rFonts w:ascii="Book Antiqua" w:hAnsi="Book Antiqua" w:cs="Arial"/>
        </w:rPr>
        <w:t xml:space="preserve"> should note that you may be required to make a fresh Health Surcharge payment with any fresh application or </w:t>
      </w:r>
      <w:r>
        <w:rPr>
          <w:rFonts w:ascii="Book Antiqua" w:hAnsi="Book Antiqua" w:cs="Arial"/>
          <w:u w:val="single"/>
        </w:rPr>
        <w:t>if any appeal against this decision is successful</w:t>
      </w:r>
      <w:r>
        <w:rPr>
          <w:rFonts w:ascii="Book Antiqua" w:hAnsi="Book Antiqua" w:cs="Arial"/>
        </w:rPr>
        <w:t xml:space="preserve">” [emphasis added].  In light of those </w:t>
      </w:r>
      <w:r w:rsidR="0017215E">
        <w:rPr>
          <w:rFonts w:ascii="Book Antiqua" w:hAnsi="Book Antiqua" w:cs="Arial"/>
        </w:rPr>
        <w:t xml:space="preserve">safeguards </w:t>
      </w:r>
      <w:r>
        <w:rPr>
          <w:rFonts w:ascii="Book Antiqua" w:hAnsi="Book Antiqua" w:cs="Arial"/>
        </w:rPr>
        <w:t>the judge’s assessment at para 24 that “he will not... be a burden on the taxpayer” was both rational and reasonable.</w:t>
      </w:r>
    </w:p>
    <w:p w14:paraId="44D153EE" w14:textId="77777777" w:rsidR="002F36A3" w:rsidRDefault="002F36A3" w:rsidP="00BF23BB">
      <w:pPr>
        <w:tabs>
          <w:tab w:val="left" w:pos="567"/>
        </w:tabs>
        <w:ind w:left="567" w:hanging="567"/>
        <w:jc w:val="both"/>
        <w:rPr>
          <w:rFonts w:ascii="Book Antiqua" w:hAnsi="Book Antiqua" w:cs="Arial"/>
        </w:rPr>
      </w:pPr>
    </w:p>
    <w:p w14:paraId="2D8DAD79" w14:textId="77777777" w:rsidR="002F36A3" w:rsidRPr="002F36A3" w:rsidRDefault="002F36A3" w:rsidP="00BF23BB">
      <w:pPr>
        <w:tabs>
          <w:tab w:val="left" w:pos="567"/>
        </w:tabs>
        <w:ind w:left="567" w:hanging="567"/>
        <w:jc w:val="both"/>
        <w:rPr>
          <w:rFonts w:ascii="Book Antiqua" w:hAnsi="Book Antiqua" w:cs="Arial"/>
          <w:b/>
          <w:u w:val="single"/>
        </w:rPr>
      </w:pPr>
      <w:r>
        <w:rPr>
          <w:rFonts w:ascii="Book Antiqua" w:hAnsi="Book Antiqua" w:cs="Arial"/>
          <w:b/>
          <w:u w:val="single"/>
        </w:rPr>
        <w:t>Notice of Decision</w:t>
      </w:r>
    </w:p>
    <w:p w14:paraId="2F44D6E5" w14:textId="77777777" w:rsidR="00584E40" w:rsidRDefault="00584E40" w:rsidP="00BF23BB">
      <w:pPr>
        <w:tabs>
          <w:tab w:val="left" w:pos="567"/>
        </w:tabs>
        <w:ind w:left="567" w:hanging="567"/>
        <w:jc w:val="both"/>
        <w:rPr>
          <w:rFonts w:ascii="Book Antiqua" w:hAnsi="Book Antiqua" w:cs="Arial"/>
        </w:rPr>
      </w:pPr>
    </w:p>
    <w:p w14:paraId="7EF4E428" w14:textId="77777777" w:rsidR="00584E40" w:rsidRPr="00584E40" w:rsidRDefault="00584E40"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For the above reasons I conclude that the ECO’s grounds fail to disclose an error of law in the judge’s decision.  I am not ent</w:t>
      </w:r>
      <w:r w:rsidR="002F36A3">
        <w:rPr>
          <w:rFonts w:ascii="Book Antiqua" w:hAnsi="Book Antiqua" w:cs="Arial"/>
        </w:rPr>
        <w:t>itled to interfere with a judge’</w:t>
      </w:r>
      <w:r>
        <w:rPr>
          <w:rFonts w:ascii="Book Antiqua" w:hAnsi="Book Antiqua" w:cs="Arial"/>
        </w:rPr>
        <w:t xml:space="preserve">s decision unless vitiated by legal error.  Accordingly, the decision of the </w:t>
      </w:r>
      <w:proofErr w:type="spellStart"/>
      <w:r>
        <w:rPr>
          <w:rFonts w:ascii="Book Antiqua" w:hAnsi="Book Antiqua" w:cs="Arial"/>
        </w:rPr>
        <w:t>FtT</w:t>
      </w:r>
      <w:proofErr w:type="spellEnd"/>
      <w:r>
        <w:rPr>
          <w:rFonts w:ascii="Book Antiqua" w:hAnsi="Book Antiqua" w:cs="Arial"/>
        </w:rPr>
        <w:t xml:space="preserve"> judge shall stand.</w:t>
      </w:r>
    </w:p>
    <w:p w14:paraId="13E1D1FD" w14:textId="77777777" w:rsidR="00CD299B" w:rsidRDefault="00CD299B" w:rsidP="00BF23BB">
      <w:pPr>
        <w:tabs>
          <w:tab w:val="left" w:pos="567"/>
        </w:tabs>
        <w:ind w:left="567" w:hanging="567"/>
        <w:jc w:val="both"/>
        <w:rPr>
          <w:rFonts w:ascii="Book Antiqua" w:hAnsi="Book Antiqua" w:cs="Arial"/>
        </w:rPr>
      </w:pPr>
    </w:p>
    <w:p w14:paraId="59418956"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4DFEE4B2" w14:textId="77777777" w:rsidR="009F5220" w:rsidRPr="00B57D66" w:rsidRDefault="009F5220" w:rsidP="00780F86">
      <w:pPr>
        <w:ind w:left="540" w:hanging="540"/>
        <w:jc w:val="both"/>
        <w:rPr>
          <w:rFonts w:ascii="Book Antiqua" w:hAnsi="Book Antiqua" w:cs="Arial"/>
        </w:rPr>
      </w:pPr>
    </w:p>
    <w:p w14:paraId="46985782" w14:textId="77777777" w:rsidR="00A509FA" w:rsidRPr="00B57D66" w:rsidRDefault="00A509FA" w:rsidP="00780F86">
      <w:pPr>
        <w:ind w:left="540" w:hanging="540"/>
        <w:jc w:val="both"/>
        <w:rPr>
          <w:rFonts w:ascii="Book Antiqua" w:hAnsi="Book Antiqua" w:cs="Arial"/>
        </w:rPr>
      </w:pPr>
    </w:p>
    <w:p w14:paraId="5D61DDB5"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17215E">
        <w:rPr>
          <w:rFonts w:ascii="Book Antiqua" w:hAnsi="Book Antiqua" w:cs="Arial"/>
        </w:rPr>
        <w:t>: 5 July 2018</w:t>
      </w:r>
    </w:p>
    <w:p w14:paraId="40209128" w14:textId="77777777" w:rsidR="000741B0" w:rsidRDefault="000741B0" w:rsidP="00402B9E">
      <w:pPr>
        <w:tabs>
          <w:tab w:val="left" w:pos="2520"/>
        </w:tabs>
        <w:ind w:left="540" w:hanging="540"/>
        <w:jc w:val="both"/>
        <w:rPr>
          <w:rFonts w:ascii="Book Antiqua" w:hAnsi="Book Antiqua" w:cs="Arial"/>
        </w:rPr>
      </w:pPr>
    </w:p>
    <w:p w14:paraId="0E834D89" w14:textId="59FFA9C3" w:rsidR="001F2716" w:rsidRPr="00B57D66" w:rsidRDefault="0017215E" w:rsidP="00402B9E">
      <w:pPr>
        <w:tabs>
          <w:tab w:val="left" w:pos="2520"/>
        </w:tabs>
        <w:ind w:left="540" w:hanging="540"/>
        <w:jc w:val="both"/>
        <w:rPr>
          <w:rFonts w:ascii="Book Antiqua" w:hAnsi="Book Antiqua" w:cs="Arial"/>
        </w:rPr>
      </w:pPr>
      <w:r>
        <w:rPr>
          <w:rFonts w:ascii="Book Antiqua" w:hAnsi="Book Antiqua" w:cs="Arial"/>
        </w:rPr>
        <w:t xml:space="preserve">              </w:t>
      </w:r>
      <w:r w:rsidR="00EE3599" w:rsidRPr="00B35E85">
        <w:rPr>
          <w:noProof/>
        </w:rPr>
        <w:drawing>
          <wp:inline distT="0" distB="0" distL="0" distR="0" wp14:anchorId="763B85F2" wp14:editId="648E8588">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14:paraId="0F92062D" w14:textId="77777777" w:rsidR="00A9409A" w:rsidRDefault="00A9409A" w:rsidP="00A9409A">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7003A8AA" w14:textId="77777777" w:rsidR="00A9409A" w:rsidRDefault="00A9409A" w:rsidP="00A9409A">
      <w:pPr>
        <w:tabs>
          <w:tab w:val="left" w:pos="2520"/>
        </w:tabs>
        <w:ind w:left="540" w:hanging="540"/>
        <w:jc w:val="both"/>
        <w:rPr>
          <w:rFonts w:ascii="Book Antiqua" w:hAnsi="Book Antiqua" w:cs="Arial"/>
          <w:color w:val="000000"/>
        </w:rPr>
      </w:pPr>
      <w:r>
        <w:rPr>
          <w:rFonts w:ascii="Book Antiqua" w:hAnsi="Book Antiqua" w:cs="Arial"/>
          <w:color w:val="000000"/>
        </w:rPr>
        <w:t>Judge of the Upper Tribunal</w:t>
      </w:r>
      <w:r w:rsidRPr="00B57D66">
        <w:rPr>
          <w:rFonts w:ascii="Book Antiqua" w:hAnsi="Book Antiqua" w:cs="Arial"/>
          <w:color w:val="000000"/>
        </w:rPr>
        <w:t xml:space="preserve"> </w:t>
      </w:r>
    </w:p>
    <w:p w14:paraId="576A6410" w14:textId="77777777" w:rsidR="00173CC6" w:rsidRDefault="00173CC6" w:rsidP="00173CC6">
      <w:pPr>
        <w:jc w:val="both"/>
        <w:rPr>
          <w:rFonts w:ascii="Book Antiqua" w:hAnsi="Book Antiqua" w:cs="Arial"/>
        </w:rPr>
      </w:pPr>
    </w:p>
    <w:p w14:paraId="278D9FA4" w14:textId="77777777" w:rsidR="00173CC6" w:rsidRPr="00B57D66" w:rsidRDefault="00173CC6" w:rsidP="007702DD">
      <w:pPr>
        <w:tabs>
          <w:tab w:val="left" w:pos="2520"/>
        </w:tabs>
        <w:ind w:left="540" w:hanging="540"/>
        <w:jc w:val="both"/>
        <w:rPr>
          <w:rFonts w:ascii="Book Antiqua" w:hAnsi="Book Antiqua" w:cs="Arial"/>
          <w:color w:val="000000"/>
        </w:rPr>
      </w:pPr>
    </w:p>
    <w:p w14:paraId="7F322AA5" w14:textId="77777777" w:rsidR="00E500B2" w:rsidRPr="00B57D66" w:rsidRDefault="00E500B2" w:rsidP="007702DD">
      <w:pPr>
        <w:tabs>
          <w:tab w:val="left" w:pos="2520"/>
        </w:tabs>
        <w:ind w:left="540" w:hanging="540"/>
        <w:jc w:val="both"/>
        <w:rPr>
          <w:rFonts w:ascii="Book Antiqua" w:hAnsi="Book Antiqua" w:cs="Arial"/>
          <w:color w:val="000000"/>
        </w:rPr>
      </w:pPr>
    </w:p>
    <w:sectPr w:rsidR="00E500B2" w:rsidRPr="00B57D66"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C849B" w14:textId="77777777" w:rsidR="00377325" w:rsidRDefault="00377325">
      <w:r>
        <w:separator/>
      </w:r>
    </w:p>
  </w:endnote>
  <w:endnote w:type="continuationSeparator" w:id="0">
    <w:p w14:paraId="74FEEB03" w14:textId="77777777" w:rsidR="00377325" w:rsidRDefault="00377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9BA9" w14:textId="77777777" w:rsidR="004D7BA5" w:rsidRPr="000741B0" w:rsidRDefault="004D7BA5">
    <w:pPr>
      <w:pStyle w:val="Footer"/>
      <w:jc w:val="center"/>
      <w:rPr>
        <w:sz w:val="20"/>
        <w:szCs w:val="20"/>
      </w:rPr>
    </w:pPr>
    <w:r w:rsidRPr="000741B0">
      <w:rPr>
        <w:sz w:val="20"/>
        <w:szCs w:val="20"/>
      </w:rPr>
      <w:fldChar w:fldCharType="begin"/>
    </w:r>
    <w:r w:rsidRPr="000741B0">
      <w:rPr>
        <w:sz w:val="20"/>
        <w:szCs w:val="20"/>
      </w:rPr>
      <w:instrText xml:space="preserve"> PAGE   \* MERGEFORMAT </w:instrText>
    </w:r>
    <w:r w:rsidRPr="000741B0">
      <w:rPr>
        <w:sz w:val="20"/>
        <w:szCs w:val="20"/>
      </w:rPr>
      <w:fldChar w:fldCharType="separate"/>
    </w:r>
    <w:r w:rsidR="00EE3599" w:rsidRPr="000741B0">
      <w:rPr>
        <w:noProof/>
        <w:sz w:val="20"/>
        <w:szCs w:val="20"/>
      </w:rPr>
      <w:t>4</w:t>
    </w:r>
    <w:r w:rsidRPr="000741B0">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1FDE1" w14:textId="77777777" w:rsidR="004D7BA5" w:rsidRPr="000741B0" w:rsidRDefault="004D7BA5" w:rsidP="004D7BA5">
    <w:pPr>
      <w:pStyle w:val="Footer"/>
      <w:jc w:val="center"/>
      <w:rPr>
        <w:b/>
      </w:rPr>
    </w:pPr>
    <w:r w:rsidRPr="000741B0">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58C8B" w14:textId="77777777" w:rsidR="00377325" w:rsidRDefault="00377325">
      <w:r>
        <w:separator/>
      </w:r>
    </w:p>
  </w:footnote>
  <w:footnote w:type="continuationSeparator" w:id="0">
    <w:p w14:paraId="4174D4E7" w14:textId="77777777" w:rsidR="00377325" w:rsidRDefault="00377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72E" w14:textId="77777777" w:rsidR="004D7BA5" w:rsidRPr="000741B0" w:rsidRDefault="004D7BA5" w:rsidP="004D7BA5">
    <w:pPr>
      <w:pStyle w:val="Header"/>
      <w:jc w:val="right"/>
      <w:rPr>
        <w:sz w:val="20"/>
        <w:szCs w:val="20"/>
      </w:rPr>
    </w:pPr>
    <w:r w:rsidRPr="000741B0">
      <w:rPr>
        <w:sz w:val="20"/>
        <w:szCs w:val="20"/>
      </w:rPr>
      <w:t>Appeal Number: HU/25367/2016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FC"/>
    <w:rsid w:val="00000621"/>
    <w:rsid w:val="000036C2"/>
    <w:rsid w:val="00033D3D"/>
    <w:rsid w:val="00041A05"/>
    <w:rsid w:val="00062F02"/>
    <w:rsid w:val="00071A7E"/>
    <w:rsid w:val="000741B0"/>
    <w:rsid w:val="000746C0"/>
    <w:rsid w:val="00074D1D"/>
    <w:rsid w:val="00082E32"/>
    <w:rsid w:val="00092580"/>
    <w:rsid w:val="00093D4D"/>
    <w:rsid w:val="000A2820"/>
    <w:rsid w:val="000A383D"/>
    <w:rsid w:val="000D326A"/>
    <w:rsid w:val="000D5D94"/>
    <w:rsid w:val="000D7DFD"/>
    <w:rsid w:val="000F1A0E"/>
    <w:rsid w:val="0011039F"/>
    <w:rsid w:val="001165A7"/>
    <w:rsid w:val="00152059"/>
    <w:rsid w:val="00167D3A"/>
    <w:rsid w:val="0017215E"/>
    <w:rsid w:val="00173CC6"/>
    <w:rsid w:val="001A3082"/>
    <w:rsid w:val="001B186A"/>
    <w:rsid w:val="001B2F75"/>
    <w:rsid w:val="001D4DD2"/>
    <w:rsid w:val="001F2716"/>
    <w:rsid w:val="00200F1B"/>
    <w:rsid w:val="00207617"/>
    <w:rsid w:val="0023134B"/>
    <w:rsid w:val="00276B83"/>
    <w:rsid w:val="00277CB5"/>
    <w:rsid w:val="00283659"/>
    <w:rsid w:val="002C6BD4"/>
    <w:rsid w:val="002D68BF"/>
    <w:rsid w:val="002E476B"/>
    <w:rsid w:val="002F36A3"/>
    <w:rsid w:val="002F6B98"/>
    <w:rsid w:val="00307FF9"/>
    <w:rsid w:val="00327658"/>
    <w:rsid w:val="00336CBF"/>
    <w:rsid w:val="00343FE3"/>
    <w:rsid w:val="003546C8"/>
    <w:rsid w:val="00377325"/>
    <w:rsid w:val="003A6522"/>
    <w:rsid w:val="003A7CF2"/>
    <w:rsid w:val="003C5CE5"/>
    <w:rsid w:val="003E267B"/>
    <w:rsid w:val="003E7CD1"/>
    <w:rsid w:val="003F367D"/>
    <w:rsid w:val="00402B9E"/>
    <w:rsid w:val="004249CB"/>
    <w:rsid w:val="00426616"/>
    <w:rsid w:val="0044127D"/>
    <w:rsid w:val="00444472"/>
    <w:rsid w:val="004448DB"/>
    <w:rsid w:val="00446C9A"/>
    <w:rsid w:val="00452F2B"/>
    <w:rsid w:val="0046454F"/>
    <w:rsid w:val="00471B09"/>
    <w:rsid w:val="00477193"/>
    <w:rsid w:val="004A1848"/>
    <w:rsid w:val="004A6F4A"/>
    <w:rsid w:val="004B5AEF"/>
    <w:rsid w:val="004D7BA5"/>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84E40"/>
    <w:rsid w:val="00593795"/>
    <w:rsid w:val="005A13AD"/>
    <w:rsid w:val="005A487B"/>
    <w:rsid w:val="005A75FF"/>
    <w:rsid w:val="005D10AB"/>
    <w:rsid w:val="005F7FA2"/>
    <w:rsid w:val="00601D8F"/>
    <w:rsid w:val="006215B3"/>
    <w:rsid w:val="00653E97"/>
    <w:rsid w:val="00684A74"/>
    <w:rsid w:val="00690B8A"/>
    <w:rsid w:val="006B2B73"/>
    <w:rsid w:val="006B641D"/>
    <w:rsid w:val="006C5560"/>
    <w:rsid w:val="006F2CF1"/>
    <w:rsid w:val="006F562B"/>
    <w:rsid w:val="00700CB3"/>
    <w:rsid w:val="007038ED"/>
    <w:rsid w:val="00703BC3"/>
    <w:rsid w:val="00704B61"/>
    <w:rsid w:val="00713D43"/>
    <w:rsid w:val="00720D28"/>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673"/>
    <w:rsid w:val="009F5220"/>
    <w:rsid w:val="00A15234"/>
    <w:rsid w:val="00A201AB"/>
    <w:rsid w:val="00A2306E"/>
    <w:rsid w:val="00A31C8B"/>
    <w:rsid w:val="00A50368"/>
    <w:rsid w:val="00A509FA"/>
    <w:rsid w:val="00A71DE2"/>
    <w:rsid w:val="00A845DC"/>
    <w:rsid w:val="00A9409A"/>
    <w:rsid w:val="00AD17CF"/>
    <w:rsid w:val="00B26AA2"/>
    <w:rsid w:val="00B3524D"/>
    <w:rsid w:val="00B40F69"/>
    <w:rsid w:val="00B448D5"/>
    <w:rsid w:val="00B46616"/>
    <w:rsid w:val="00B57D66"/>
    <w:rsid w:val="00B7040A"/>
    <w:rsid w:val="00B803D4"/>
    <w:rsid w:val="00B83391"/>
    <w:rsid w:val="00B95326"/>
    <w:rsid w:val="00BB45A9"/>
    <w:rsid w:val="00BD4196"/>
    <w:rsid w:val="00BE2F3A"/>
    <w:rsid w:val="00BF22CA"/>
    <w:rsid w:val="00BF23BB"/>
    <w:rsid w:val="00C26032"/>
    <w:rsid w:val="00C345E1"/>
    <w:rsid w:val="00C43BFD"/>
    <w:rsid w:val="00C627A5"/>
    <w:rsid w:val="00C816AD"/>
    <w:rsid w:val="00CB6E35"/>
    <w:rsid w:val="00CC26E8"/>
    <w:rsid w:val="00CD299B"/>
    <w:rsid w:val="00CD4CBE"/>
    <w:rsid w:val="00CE1A46"/>
    <w:rsid w:val="00CE7550"/>
    <w:rsid w:val="00D015C1"/>
    <w:rsid w:val="00D20757"/>
    <w:rsid w:val="00D21384"/>
    <w:rsid w:val="00D22636"/>
    <w:rsid w:val="00D40FD9"/>
    <w:rsid w:val="00D53769"/>
    <w:rsid w:val="00D7040C"/>
    <w:rsid w:val="00D85C13"/>
    <w:rsid w:val="00D9111A"/>
    <w:rsid w:val="00D91BE3"/>
    <w:rsid w:val="00D94AFC"/>
    <w:rsid w:val="00D97B17"/>
    <w:rsid w:val="00DA1880"/>
    <w:rsid w:val="00DB36A1"/>
    <w:rsid w:val="00DB70AE"/>
    <w:rsid w:val="00DC375C"/>
    <w:rsid w:val="00DD5071"/>
    <w:rsid w:val="00DD5C39"/>
    <w:rsid w:val="00DE7DB7"/>
    <w:rsid w:val="00E00A0A"/>
    <w:rsid w:val="00E01592"/>
    <w:rsid w:val="00E066DE"/>
    <w:rsid w:val="00E07F57"/>
    <w:rsid w:val="00E20E58"/>
    <w:rsid w:val="00E23843"/>
    <w:rsid w:val="00E24E82"/>
    <w:rsid w:val="00E30683"/>
    <w:rsid w:val="00E4074F"/>
    <w:rsid w:val="00E453D8"/>
    <w:rsid w:val="00E500B2"/>
    <w:rsid w:val="00E50BCE"/>
    <w:rsid w:val="00E556B8"/>
    <w:rsid w:val="00E574BF"/>
    <w:rsid w:val="00E61292"/>
    <w:rsid w:val="00E646FC"/>
    <w:rsid w:val="00E77C4D"/>
    <w:rsid w:val="00E81D01"/>
    <w:rsid w:val="00E82519"/>
    <w:rsid w:val="00ED6E0E"/>
    <w:rsid w:val="00EE3599"/>
    <w:rsid w:val="00EE45D8"/>
    <w:rsid w:val="00EE47E5"/>
    <w:rsid w:val="00F17123"/>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0268FD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4D7B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B0733-633F-4E49-BD58-DF7C292F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1491</Words>
  <Characters>7447</Characters>
  <Application>Microsoft Office Word</Application>
  <DocSecurity>0</DocSecurity>
  <Lines>62</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2018-07-24T08:59:00Z</dcterms:created>
  <dcterms:modified xsi:type="dcterms:W3CDTF">2018-07-24T08:59:00Z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