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47B0C" w14:textId="77777777" w:rsidR="00730897" w:rsidRDefault="00730897" w:rsidP="00933B65">
      <w:pPr>
        <w:jc w:val="center"/>
        <w:rPr>
          <w:rFonts w:ascii="Book Antiqua" w:hAnsi="Book Antiqua" w:cs="Arial"/>
          <w:color w:val="000000"/>
          <w:sz w:val="16"/>
          <w:szCs w:val="16"/>
        </w:rPr>
      </w:pPr>
    </w:p>
    <w:p w14:paraId="5FF93123" w14:textId="2033A9C4" w:rsidR="00933B65" w:rsidRPr="00780FD0" w:rsidRDefault="00B730F5" w:rsidP="00933B65">
      <w:pPr>
        <w:jc w:val="center"/>
        <w:rPr>
          <w:rFonts w:ascii="Book Antiqua" w:hAnsi="Book Antiqua" w:cs="Arial"/>
          <w:color w:val="000000"/>
          <w:sz w:val="16"/>
          <w:szCs w:val="16"/>
        </w:rPr>
      </w:pPr>
      <w:r w:rsidRPr="00780FD0">
        <w:rPr>
          <w:noProof/>
          <w:sz w:val="16"/>
          <w:szCs w:val="16"/>
        </w:rPr>
        <w:drawing>
          <wp:inline distT="0" distB="0" distL="0" distR="0" wp14:anchorId="300093E3" wp14:editId="2136314D">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14:paraId="75DEF62F" w14:textId="77777777" w:rsidR="00933B65" w:rsidRPr="00F97703" w:rsidRDefault="00933B65" w:rsidP="00B52D80">
      <w:pPr>
        <w:tabs>
          <w:tab w:val="right" w:pos="9720"/>
        </w:tabs>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05976D8D" w14:textId="77777777" w:rsidR="00933B65" w:rsidRPr="00B52D80" w:rsidRDefault="00933B65" w:rsidP="00933B65">
      <w:pPr>
        <w:tabs>
          <w:tab w:val="right" w:pos="9720"/>
        </w:tabs>
        <w:ind w:right="-82"/>
        <w:rPr>
          <w:rFonts w:ascii="Book Antiqua" w:hAnsi="Book Antiqua" w:cs="Arial"/>
          <w:b/>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B52D80">
        <w:rPr>
          <w:rFonts w:ascii="Book Antiqua" w:hAnsi="Book Antiqua" w:cs="Arial"/>
          <w:b/>
          <w:color w:val="000000"/>
        </w:rPr>
        <w:t xml:space="preserve">   </w:t>
      </w:r>
      <w:proofErr w:type="gramEnd"/>
      <w:r w:rsidR="00B52D80">
        <w:rPr>
          <w:rFonts w:ascii="Book Antiqua" w:hAnsi="Book Antiqua" w:cs="Arial"/>
          <w:b/>
          <w:color w:val="000000"/>
        </w:rPr>
        <w:t xml:space="preserve">                     </w:t>
      </w:r>
      <w:r w:rsidRPr="00B52D80">
        <w:rPr>
          <w:rFonts w:ascii="Book Antiqua" w:hAnsi="Book Antiqua" w:cs="Arial"/>
          <w:b/>
          <w:color w:val="000000"/>
        </w:rPr>
        <w:t>Appeal Number:</w:t>
      </w:r>
      <w:r w:rsidR="00851101" w:rsidRPr="00B52D80">
        <w:rPr>
          <w:rFonts w:ascii="Book Antiqua" w:hAnsi="Book Antiqua" w:cs="Arial"/>
          <w:b/>
          <w:color w:val="000000"/>
        </w:rPr>
        <w:t xml:space="preserve"> HU/25693/2016</w:t>
      </w:r>
      <w:r w:rsidRPr="00B52D80">
        <w:rPr>
          <w:rFonts w:ascii="Book Antiqua" w:hAnsi="Book Antiqua" w:cs="Arial"/>
          <w:b/>
          <w:color w:val="000000"/>
        </w:rPr>
        <w:t xml:space="preserve"> </w:t>
      </w:r>
    </w:p>
    <w:p w14:paraId="1D527318" w14:textId="77777777" w:rsidR="00933B65" w:rsidRDefault="00933B65" w:rsidP="00933B65">
      <w:pPr>
        <w:jc w:val="center"/>
        <w:rPr>
          <w:rFonts w:ascii="Book Antiqua" w:hAnsi="Book Antiqua" w:cs="Arial"/>
          <w:color w:val="000000"/>
        </w:rPr>
      </w:pPr>
    </w:p>
    <w:p w14:paraId="7F163462" w14:textId="77777777"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11E49D8C" w14:textId="77777777" w:rsidR="00780FD0" w:rsidRPr="00F97703" w:rsidRDefault="00780FD0" w:rsidP="00405694">
      <w:pPr>
        <w:jc w:val="center"/>
        <w:rPr>
          <w:rFonts w:ascii="Book Antiqua" w:hAnsi="Book Antiqua" w:cs="Arial"/>
          <w:b/>
          <w:u w:val="single"/>
        </w:rPr>
      </w:pPr>
    </w:p>
    <w:tbl>
      <w:tblPr>
        <w:tblW w:w="0" w:type="auto"/>
        <w:tblLook w:val="01E0" w:firstRow="1" w:lastRow="1" w:firstColumn="1" w:lastColumn="1" w:noHBand="0" w:noVBand="0"/>
      </w:tblPr>
      <w:tblGrid>
        <w:gridCol w:w="5387"/>
        <w:gridCol w:w="4251"/>
      </w:tblGrid>
      <w:tr w:rsidR="00405694" w:rsidRPr="00AB1DC6" w14:paraId="58EE32DF" w14:textId="77777777" w:rsidTr="00B52D80">
        <w:tc>
          <w:tcPr>
            <w:tcW w:w="5387" w:type="dxa"/>
            <w:shd w:val="clear" w:color="auto" w:fill="auto"/>
          </w:tcPr>
          <w:p w14:paraId="0A7CC6C6" w14:textId="77777777" w:rsidR="00405694" w:rsidRPr="00AB1DC6" w:rsidRDefault="00405694" w:rsidP="00AB1DC6">
            <w:pPr>
              <w:jc w:val="both"/>
              <w:rPr>
                <w:rFonts w:ascii="Book Antiqua" w:hAnsi="Book Antiqua" w:cs="Arial"/>
                <w:b/>
              </w:rPr>
            </w:pPr>
            <w:r w:rsidRPr="00AB1DC6">
              <w:rPr>
                <w:rFonts w:ascii="Book Antiqua" w:hAnsi="Book Antiqua" w:cs="Arial"/>
                <w:b/>
              </w:rPr>
              <w:t>Heard at Field House</w:t>
            </w:r>
          </w:p>
        </w:tc>
        <w:tc>
          <w:tcPr>
            <w:tcW w:w="4251" w:type="dxa"/>
            <w:shd w:val="clear" w:color="auto" w:fill="auto"/>
          </w:tcPr>
          <w:p w14:paraId="6FE25545" w14:textId="77777777" w:rsidR="00405694" w:rsidRPr="00AB1DC6" w:rsidRDefault="00405694" w:rsidP="00AB1DC6">
            <w:pPr>
              <w:jc w:val="both"/>
              <w:rPr>
                <w:rFonts w:ascii="Book Antiqua" w:hAnsi="Book Antiqua" w:cs="Arial"/>
                <w:b/>
                <w:color w:val="000000"/>
              </w:rPr>
            </w:pPr>
            <w:r w:rsidRPr="00AB1DC6">
              <w:rPr>
                <w:rFonts w:ascii="Book Antiqua" w:hAnsi="Book Antiqua" w:cs="Arial"/>
                <w:b/>
                <w:color w:val="000000"/>
              </w:rPr>
              <w:t>Decision Promulgated</w:t>
            </w:r>
          </w:p>
        </w:tc>
      </w:tr>
      <w:tr w:rsidR="00405694" w:rsidRPr="00AB1DC6" w14:paraId="4C79183D" w14:textId="77777777" w:rsidTr="00B52D80">
        <w:tc>
          <w:tcPr>
            <w:tcW w:w="5387" w:type="dxa"/>
            <w:shd w:val="clear" w:color="auto" w:fill="auto"/>
          </w:tcPr>
          <w:p w14:paraId="45228A20" w14:textId="77777777" w:rsidR="00405694" w:rsidRPr="00AB1DC6" w:rsidRDefault="00405694" w:rsidP="00AB1DC6">
            <w:pPr>
              <w:jc w:val="both"/>
              <w:rPr>
                <w:rFonts w:ascii="Book Antiqua" w:hAnsi="Book Antiqua" w:cs="Arial"/>
                <w:b/>
              </w:rPr>
            </w:pPr>
            <w:r w:rsidRPr="00AB1DC6">
              <w:rPr>
                <w:rFonts w:ascii="Book Antiqua" w:hAnsi="Book Antiqua" w:cs="Arial"/>
                <w:b/>
              </w:rPr>
              <w:t xml:space="preserve">On </w:t>
            </w:r>
            <w:r w:rsidR="00851101">
              <w:rPr>
                <w:rFonts w:ascii="Book Antiqua" w:hAnsi="Book Antiqua" w:cs="Arial"/>
                <w:b/>
              </w:rPr>
              <w:t>25 July 2018</w:t>
            </w:r>
          </w:p>
        </w:tc>
        <w:tc>
          <w:tcPr>
            <w:tcW w:w="4251" w:type="dxa"/>
            <w:shd w:val="clear" w:color="auto" w:fill="auto"/>
          </w:tcPr>
          <w:p w14:paraId="5919C3CB" w14:textId="77777777" w:rsidR="00405694" w:rsidRPr="00AB1DC6" w:rsidRDefault="00773270" w:rsidP="00AB1DC6">
            <w:pPr>
              <w:jc w:val="both"/>
              <w:rPr>
                <w:rFonts w:ascii="Book Antiqua" w:hAnsi="Book Antiqua" w:cs="Arial"/>
                <w:b/>
              </w:rPr>
            </w:pPr>
            <w:r>
              <w:rPr>
                <w:rFonts w:ascii="Book Antiqua" w:hAnsi="Book Antiqua" w:cs="Arial"/>
                <w:b/>
              </w:rPr>
              <w:t>On 16 August 2018</w:t>
            </w:r>
          </w:p>
        </w:tc>
      </w:tr>
      <w:tr w:rsidR="00405694" w:rsidRPr="00AB1DC6" w14:paraId="4B37CEC5" w14:textId="77777777" w:rsidTr="00B52D80">
        <w:tc>
          <w:tcPr>
            <w:tcW w:w="5387" w:type="dxa"/>
            <w:shd w:val="clear" w:color="auto" w:fill="auto"/>
          </w:tcPr>
          <w:p w14:paraId="5CA3BFAA" w14:textId="77777777" w:rsidR="00405694" w:rsidRPr="00AB1DC6" w:rsidRDefault="00405694" w:rsidP="00AB1DC6">
            <w:pPr>
              <w:jc w:val="both"/>
              <w:rPr>
                <w:rFonts w:ascii="Book Antiqua" w:hAnsi="Book Antiqua" w:cs="Arial"/>
                <w:b/>
              </w:rPr>
            </w:pPr>
          </w:p>
        </w:tc>
        <w:tc>
          <w:tcPr>
            <w:tcW w:w="4251" w:type="dxa"/>
            <w:shd w:val="clear" w:color="auto" w:fill="auto"/>
          </w:tcPr>
          <w:p w14:paraId="10FCBEFE" w14:textId="77777777" w:rsidR="00405694" w:rsidRPr="00AB1DC6" w:rsidRDefault="00405694" w:rsidP="00AB1DC6">
            <w:pPr>
              <w:jc w:val="both"/>
              <w:rPr>
                <w:rFonts w:ascii="Book Antiqua" w:hAnsi="Book Antiqua" w:cs="Arial"/>
                <w:b/>
              </w:rPr>
            </w:pPr>
          </w:p>
        </w:tc>
      </w:tr>
    </w:tbl>
    <w:p w14:paraId="370433C2" w14:textId="77777777" w:rsidR="003450B7" w:rsidRPr="00F97703" w:rsidRDefault="003450B7" w:rsidP="00933B65">
      <w:pPr>
        <w:jc w:val="center"/>
        <w:rPr>
          <w:rFonts w:ascii="Book Antiqua" w:hAnsi="Book Antiqua" w:cs="Arial"/>
          <w:b/>
          <w:u w:val="single"/>
        </w:rPr>
      </w:pPr>
    </w:p>
    <w:p w14:paraId="37426B4D" w14:textId="77777777" w:rsidR="00933B65" w:rsidRPr="00F97703" w:rsidRDefault="00933B65" w:rsidP="00933B65">
      <w:pPr>
        <w:jc w:val="center"/>
        <w:rPr>
          <w:rFonts w:ascii="Book Antiqua" w:hAnsi="Book Antiqua" w:cs="Arial"/>
          <w:b/>
        </w:rPr>
      </w:pPr>
      <w:r w:rsidRPr="00F97703">
        <w:rPr>
          <w:rFonts w:ascii="Book Antiqua" w:hAnsi="Book Antiqua" w:cs="Arial"/>
          <w:b/>
        </w:rPr>
        <w:t>Before</w:t>
      </w:r>
    </w:p>
    <w:p w14:paraId="0A1B29F0" w14:textId="77777777" w:rsidR="00933B65" w:rsidRDefault="00933B65" w:rsidP="00933B65">
      <w:pPr>
        <w:jc w:val="center"/>
        <w:rPr>
          <w:rFonts w:ascii="Book Antiqua" w:hAnsi="Book Antiqua" w:cs="Arial"/>
          <w:b/>
        </w:rPr>
      </w:pPr>
    </w:p>
    <w:p w14:paraId="4F24A22C" w14:textId="77777777" w:rsidR="00933B65" w:rsidRPr="00F97703" w:rsidRDefault="00546523" w:rsidP="00933B65">
      <w:pPr>
        <w:jc w:val="center"/>
        <w:rPr>
          <w:rFonts w:ascii="Book Antiqua" w:hAnsi="Book Antiqua" w:cs="Arial"/>
          <w:b/>
          <w:color w:val="000000"/>
        </w:rPr>
      </w:pPr>
      <w:r>
        <w:rPr>
          <w:rFonts w:ascii="Book Antiqua" w:hAnsi="Book Antiqua" w:cs="Arial"/>
          <w:b/>
          <w:color w:val="000000"/>
        </w:rPr>
        <w:t xml:space="preserve">UPPER TRIBUNAL JUDGE </w:t>
      </w:r>
      <w:r w:rsidR="00A57676">
        <w:rPr>
          <w:rFonts w:ascii="Book Antiqua" w:hAnsi="Book Antiqua" w:cs="Arial"/>
          <w:b/>
          <w:color w:val="000000"/>
        </w:rPr>
        <w:t>CANAVAN</w:t>
      </w:r>
    </w:p>
    <w:p w14:paraId="4B6E3E7C" w14:textId="77777777" w:rsidR="00E468D9" w:rsidRDefault="00E468D9" w:rsidP="00933B65">
      <w:pPr>
        <w:jc w:val="center"/>
        <w:rPr>
          <w:rFonts w:ascii="Book Antiqua" w:hAnsi="Book Antiqua" w:cs="Arial"/>
          <w:b/>
        </w:rPr>
      </w:pPr>
    </w:p>
    <w:p w14:paraId="5F600658" w14:textId="77777777" w:rsidR="00933B65" w:rsidRDefault="00933B65" w:rsidP="00933B65">
      <w:pPr>
        <w:jc w:val="center"/>
        <w:rPr>
          <w:rFonts w:ascii="Book Antiqua" w:hAnsi="Book Antiqua" w:cs="Arial"/>
          <w:b/>
        </w:rPr>
      </w:pPr>
      <w:r w:rsidRPr="00F97703">
        <w:rPr>
          <w:rFonts w:ascii="Book Antiqua" w:hAnsi="Book Antiqua" w:cs="Arial"/>
          <w:b/>
        </w:rPr>
        <w:t>Between</w:t>
      </w:r>
    </w:p>
    <w:p w14:paraId="01E03C02" w14:textId="77777777" w:rsidR="00294F41" w:rsidRDefault="00294F41" w:rsidP="00933B65">
      <w:pPr>
        <w:jc w:val="center"/>
        <w:rPr>
          <w:rFonts w:ascii="Book Antiqua" w:hAnsi="Book Antiqua" w:cs="Arial"/>
          <w:b/>
        </w:rPr>
      </w:pPr>
    </w:p>
    <w:p w14:paraId="126ACAA2" w14:textId="77777777" w:rsidR="00933B65" w:rsidRDefault="00E445FA" w:rsidP="00933B65">
      <w:pPr>
        <w:jc w:val="center"/>
        <w:rPr>
          <w:rFonts w:ascii="Book Antiqua" w:hAnsi="Book Antiqua" w:cs="Arial"/>
          <w:b/>
        </w:rPr>
      </w:pPr>
      <w:r>
        <w:rPr>
          <w:rFonts w:ascii="Book Antiqua" w:hAnsi="Book Antiqua" w:cs="Arial"/>
          <w:b/>
        </w:rPr>
        <w:t xml:space="preserve"> S B</w:t>
      </w:r>
    </w:p>
    <w:p w14:paraId="25EC5B48" w14:textId="77777777" w:rsidR="00933B65" w:rsidRDefault="00933B65" w:rsidP="00933B65">
      <w:pPr>
        <w:jc w:val="right"/>
        <w:rPr>
          <w:rFonts w:ascii="Book Antiqua" w:hAnsi="Book Antiqua" w:cs="Arial"/>
          <w:u w:val="single"/>
        </w:rPr>
      </w:pPr>
      <w:r w:rsidRPr="00F97703">
        <w:rPr>
          <w:rFonts w:ascii="Book Antiqua" w:hAnsi="Book Antiqua" w:cs="Arial"/>
          <w:u w:val="single"/>
        </w:rPr>
        <w:t>Appellant</w:t>
      </w:r>
    </w:p>
    <w:p w14:paraId="7776ACFF" w14:textId="77777777" w:rsidR="00933B65" w:rsidRPr="00F97703" w:rsidRDefault="00933B65" w:rsidP="00933B65">
      <w:pPr>
        <w:jc w:val="center"/>
        <w:rPr>
          <w:rFonts w:ascii="Book Antiqua" w:hAnsi="Book Antiqua" w:cs="Arial"/>
          <w:b/>
        </w:rPr>
      </w:pPr>
      <w:r w:rsidRPr="00F97703">
        <w:rPr>
          <w:rFonts w:ascii="Book Antiqua" w:hAnsi="Book Antiqua" w:cs="Arial"/>
          <w:b/>
        </w:rPr>
        <w:t>and</w:t>
      </w:r>
    </w:p>
    <w:p w14:paraId="1ED7BCA8" w14:textId="77777777" w:rsidR="003450B7" w:rsidRPr="00F97703" w:rsidRDefault="003450B7" w:rsidP="00933B65">
      <w:pPr>
        <w:jc w:val="center"/>
        <w:rPr>
          <w:rFonts w:ascii="Book Antiqua" w:hAnsi="Book Antiqua" w:cs="Arial"/>
          <w:b/>
        </w:rPr>
      </w:pPr>
    </w:p>
    <w:p w14:paraId="556D42FC" w14:textId="77777777" w:rsidR="00933B65" w:rsidRPr="00F97703" w:rsidRDefault="00851101" w:rsidP="00933B65">
      <w:pPr>
        <w:jc w:val="center"/>
        <w:rPr>
          <w:rFonts w:ascii="Book Antiqua" w:hAnsi="Book Antiqua" w:cs="Arial"/>
          <w:b/>
        </w:rPr>
      </w:pPr>
      <w:r>
        <w:rPr>
          <w:rFonts w:ascii="Book Antiqua" w:hAnsi="Book Antiqua" w:cs="Arial"/>
          <w:b/>
        </w:rPr>
        <w:t>ENTRY CLEARANCE OFFICE (DHAKA)</w:t>
      </w:r>
    </w:p>
    <w:p w14:paraId="5BAFA219" w14:textId="77777777"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14:paraId="7BEA9024" w14:textId="77777777" w:rsidR="00E445FA" w:rsidRDefault="00E445FA" w:rsidP="00E445FA">
      <w:pPr>
        <w:tabs>
          <w:tab w:val="left" w:pos="2520"/>
        </w:tabs>
        <w:rPr>
          <w:rFonts w:ascii="Book Antiqua" w:hAnsi="Book Antiqua" w:cs="Arial"/>
          <w:b/>
          <w:u w:val="single"/>
        </w:rPr>
      </w:pPr>
      <w:r>
        <w:rPr>
          <w:rFonts w:ascii="Book Antiqua" w:hAnsi="Book Antiqua" w:cs="Arial"/>
          <w:b/>
          <w:u w:val="single"/>
        </w:rPr>
        <w:t>Anonymity</w:t>
      </w:r>
    </w:p>
    <w:p w14:paraId="70A8A6F7" w14:textId="77777777" w:rsidR="00E445FA" w:rsidRPr="001314F3" w:rsidRDefault="00E445FA" w:rsidP="00E445FA">
      <w:pPr>
        <w:tabs>
          <w:tab w:val="left" w:pos="2520"/>
        </w:tabs>
        <w:rPr>
          <w:rFonts w:ascii="Book Antiqua" w:hAnsi="Book Antiqua" w:cs="Arial"/>
          <w:i/>
          <w:sz w:val="20"/>
          <w:szCs w:val="20"/>
        </w:rPr>
      </w:pPr>
      <w:r w:rsidRPr="001314F3">
        <w:rPr>
          <w:rFonts w:ascii="Book Antiqua" w:hAnsi="Book Antiqua" w:cs="Arial"/>
          <w:i/>
          <w:sz w:val="20"/>
          <w:szCs w:val="20"/>
        </w:rPr>
        <w:t xml:space="preserve">Rule 14: The Tribunal Procedure (Upper Tribunal) Rules 2008 </w:t>
      </w:r>
    </w:p>
    <w:p w14:paraId="111A5588" w14:textId="77777777" w:rsidR="00E445FA" w:rsidRPr="00010B88" w:rsidRDefault="00E445FA" w:rsidP="00E445FA">
      <w:pPr>
        <w:widowControl w:val="0"/>
        <w:tabs>
          <w:tab w:val="left" w:pos="0"/>
        </w:tabs>
        <w:jc w:val="both"/>
        <w:rPr>
          <w:rFonts w:ascii="Book Antiqua" w:hAnsi="Book Antiqua" w:cs="Arial"/>
        </w:rPr>
      </w:pPr>
      <w:r>
        <w:rPr>
          <w:rFonts w:ascii="Book Antiqua" w:hAnsi="Book Antiqua" w:cs="Arial"/>
        </w:rPr>
        <w:t xml:space="preserve">It is appropriate to grant anonymity given the vulnerability of the appellant and the nature of his medical conditions. </w:t>
      </w:r>
      <w:r w:rsidRPr="0078112A">
        <w:rPr>
          <w:rFonts w:ascii="Book Antiqua" w:hAnsi="Book Antiqua" w:cs="Arial"/>
        </w:rPr>
        <w:t xml:space="preserve">Unless and until a tribunal </w:t>
      </w:r>
      <w:r>
        <w:rPr>
          <w:rFonts w:ascii="Book Antiqua" w:hAnsi="Book Antiqua" w:cs="Arial"/>
        </w:rPr>
        <w:t xml:space="preserve">or court directs otherwise, the </w:t>
      </w:r>
      <w:r w:rsidRPr="0078112A">
        <w:rPr>
          <w:rFonts w:ascii="Book Antiqua" w:hAnsi="Book Antiqua" w:cs="Arial"/>
        </w:rPr>
        <w:t xml:space="preserve">appellant is granted anonymity. No report of these proceedings shall directly or indirectly identify </w:t>
      </w:r>
      <w:r>
        <w:rPr>
          <w:rFonts w:ascii="Book Antiqua" w:hAnsi="Book Antiqua" w:cs="Arial"/>
        </w:rPr>
        <w:t>him</w:t>
      </w:r>
      <w:r w:rsidR="00285292">
        <w:rPr>
          <w:rFonts w:ascii="Book Antiqua" w:hAnsi="Book Antiqua" w:cs="Arial"/>
        </w:rPr>
        <w:t xml:space="preserve"> or any member of his family</w:t>
      </w:r>
      <w:r w:rsidRPr="0078112A">
        <w:rPr>
          <w:rFonts w:ascii="Book Antiqua" w:hAnsi="Book Antiqua" w:cs="Arial"/>
        </w:rPr>
        <w:t>. This</w:t>
      </w:r>
      <w:r>
        <w:rPr>
          <w:rFonts w:ascii="Book Antiqua" w:hAnsi="Book Antiqua" w:cs="Arial"/>
        </w:rPr>
        <w:t xml:space="preserve"> direction applies both to the appellant and to the r</w:t>
      </w:r>
      <w:r w:rsidRPr="0078112A">
        <w:rPr>
          <w:rFonts w:ascii="Book Antiqua" w:hAnsi="Book Antiqua" w:cs="Arial"/>
        </w:rPr>
        <w:t xml:space="preserve">espondent. </w:t>
      </w:r>
      <w:r>
        <w:rPr>
          <w:rFonts w:ascii="Book Antiqua" w:hAnsi="Book Antiqua" w:cs="Arial"/>
        </w:rPr>
        <w:t xml:space="preserve">Failure to comply with this direction could lead to contempt of court proceedings. </w:t>
      </w:r>
    </w:p>
    <w:p w14:paraId="3A50095D" w14:textId="77777777" w:rsidR="003450B7" w:rsidRDefault="003450B7" w:rsidP="00933B65">
      <w:pPr>
        <w:rPr>
          <w:rFonts w:ascii="Book Antiqua" w:hAnsi="Book Antiqua" w:cs="Arial"/>
          <w:b/>
          <w:u w:val="single"/>
        </w:rPr>
      </w:pPr>
    </w:p>
    <w:p w14:paraId="2B840F26" w14:textId="77777777" w:rsidR="00405694" w:rsidRDefault="00405694" w:rsidP="00933B65">
      <w:pPr>
        <w:rPr>
          <w:rFonts w:ascii="Book Antiqua" w:hAnsi="Book Antiqua" w:cs="Arial"/>
          <w:b/>
          <w:u w:val="single"/>
        </w:rPr>
      </w:pPr>
      <w:r w:rsidRPr="00405694">
        <w:rPr>
          <w:rFonts w:ascii="Book Antiqua" w:hAnsi="Book Antiqua" w:cs="Arial"/>
          <w:b/>
          <w:u w:val="single"/>
        </w:rPr>
        <w:t>Representation:</w:t>
      </w:r>
    </w:p>
    <w:p w14:paraId="044600E5" w14:textId="77777777" w:rsidR="00B52D80" w:rsidRDefault="00B52D80" w:rsidP="00933B65">
      <w:pPr>
        <w:rPr>
          <w:rFonts w:ascii="Book Antiqua" w:hAnsi="Book Antiqua" w:cs="Arial"/>
          <w:b/>
          <w:u w:val="single"/>
        </w:rPr>
      </w:pPr>
    </w:p>
    <w:p w14:paraId="0C9D0DBD" w14:textId="77777777" w:rsidR="00405694" w:rsidRDefault="00405694" w:rsidP="00CD36E9">
      <w:pPr>
        <w:tabs>
          <w:tab w:val="left" w:pos="2552"/>
        </w:tabs>
        <w:rPr>
          <w:rFonts w:ascii="Book Antiqua" w:hAnsi="Book Antiqua" w:cs="Arial"/>
        </w:rPr>
      </w:pPr>
      <w:r>
        <w:rPr>
          <w:rFonts w:ascii="Book Antiqua" w:hAnsi="Book Antiqua" w:cs="Arial"/>
        </w:rPr>
        <w:t>For the appellant:</w:t>
      </w:r>
      <w:r>
        <w:rPr>
          <w:rFonts w:ascii="Book Antiqua" w:hAnsi="Book Antiqua" w:cs="Arial"/>
        </w:rPr>
        <w:tab/>
      </w:r>
      <w:r w:rsidR="00851101">
        <w:rPr>
          <w:rFonts w:ascii="Book Antiqua" w:hAnsi="Book Antiqua" w:cs="Arial"/>
        </w:rPr>
        <w:t xml:space="preserve">Mr M. West, instructed by </w:t>
      </w:r>
      <w:proofErr w:type="spellStart"/>
      <w:r w:rsidR="00851101">
        <w:rPr>
          <w:rFonts w:ascii="Book Antiqua" w:hAnsi="Book Antiqua" w:cs="Arial"/>
        </w:rPr>
        <w:t>Londonium</w:t>
      </w:r>
      <w:proofErr w:type="spellEnd"/>
      <w:r w:rsidR="00851101">
        <w:rPr>
          <w:rFonts w:ascii="Book Antiqua" w:hAnsi="Book Antiqua" w:cs="Arial"/>
        </w:rPr>
        <w:t xml:space="preserve"> Solicitors</w:t>
      </w:r>
    </w:p>
    <w:p w14:paraId="0024B626" w14:textId="77777777" w:rsidR="00405694" w:rsidRDefault="00405694" w:rsidP="00CD36E9">
      <w:pPr>
        <w:tabs>
          <w:tab w:val="left" w:pos="2552"/>
        </w:tabs>
        <w:rPr>
          <w:rFonts w:ascii="Book Antiqua" w:hAnsi="Book Antiqua" w:cs="Arial"/>
        </w:rPr>
      </w:pPr>
      <w:r>
        <w:rPr>
          <w:rFonts w:ascii="Book Antiqua" w:hAnsi="Book Antiqua" w:cs="Arial"/>
        </w:rPr>
        <w:t>For the respondent:</w:t>
      </w:r>
      <w:r>
        <w:rPr>
          <w:rFonts w:ascii="Book Antiqua" w:hAnsi="Book Antiqua" w:cs="Arial"/>
        </w:rPr>
        <w:tab/>
      </w:r>
      <w:r w:rsidR="00851101">
        <w:rPr>
          <w:rFonts w:ascii="Book Antiqua" w:hAnsi="Book Antiqua" w:cs="Arial"/>
        </w:rPr>
        <w:t>Mr D. Clarke, Senior Home Office Presenting Officer</w:t>
      </w:r>
    </w:p>
    <w:p w14:paraId="1B6C82E9" w14:textId="77777777" w:rsidR="003450B7" w:rsidRPr="00405694" w:rsidRDefault="003450B7" w:rsidP="00933B65">
      <w:pPr>
        <w:rPr>
          <w:rFonts w:ascii="Book Antiqua" w:hAnsi="Book Antiqua" w:cs="Arial"/>
        </w:rPr>
      </w:pPr>
    </w:p>
    <w:p w14:paraId="2CE6D37A" w14:textId="77777777" w:rsidR="00056E7C" w:rsidRDefault="00405694" w:rsidP="00405694">
      <w:pPr>
        <w:tabs>
          <w:tab w:val="left" w:pos="2520"/>
        </w:tabs>
        <w:jc w:val="center"/>
        <w:rPr>
          <w:rFonts w:ascii="Book Antiqua" w:hAnsi="Book Antiqua" w:cs="Arial"/>
          <w:b/>
          <w:u w:val="single"/>
        </w:rPr>
      </w:pPr>
      <w:r>
        <w:rPr>
          <w:rFonts w:ascii="Book Antiqua" w:hAnsi="Book Antiqua" w:cs="Arial"/>
          <w:b/>
          <w:u w:val="single"/>
        </w:rPr>
        <w:t>DECISION</w:t>
      </w:r>
      <w:r w:rsidRPr="00F97703">
        <w:rPr>
          <w:rFonts w:ascii="Book Antiqua" w:hAnsi="Book Antiqua" w:cs="Arial"/>
          <w:b/>
          <w:u w:val="single"/>
        </w:rPr>
        <w:t xml:space="preserve"> AND REASONS</w:t>
      </w:r>
    </w:p>
    <w:p w14:paraId="2E4BC557" w14:textId="77777777" w:rsidR="00B52D80" w:rsidRDefault="00B52D80" w:rsidP="00405694">
      <w:pPr>
        <w:tabs>
          <w:tab w:val="left" w:pos="2520"/>
        </w:tabs>
        <w:jc w:val="center"/>
        <w:rPr>
          <w:rFonts w:ascii="Book Antiqua" w:hAnsi="Book Antiqua" w:cs="Arial"/>
        </w:rPr>
      </w:pPr>
    </w:p>
    <w:p w14:paraId="2BDE622A" w14:textId="77777777" w:rsidR="00555F13" w:rsidRDefault="00555F13" w:rsidP="00CD36E9">
      <w:pPr>
        <w:spacing w:before="160"/>
        <w:ind w:left="567" w:hanging="567"/>
        <w:jc w:val="both"/>
        <w:rPr>
          <w:rFonts w:ascii="Book Antiqua" w:hAnsi="Book Antiqua"/>
        </w:rPr>
      </w:pPr>
      <w:r>
        <w:rPr>
          <w:rFonts w:ascii="Book Antiqua" w:hAnsi="Book Antiqua"/>
        </w:rPr>
        <w:t>1.</w:t>
      </w:r>
      <w:r>
        <w:rPr>
          <w:rFonts w:ascii="Book Antiqua" w:hAnsi="Book Antiqua"/>
        </w:rPr>
        <w:tab/>
        <w:t xml:space="preserve">The appellant appealed the respondent’s decision dated 19 October 2016 to refuse </w:t>
      </w:r>
      <w:proofErr w:type="gramStart"/>
      <w:r>
        <w:rPr>
          <w:rFonts w:ascii="Book Antiqua" w:hAnsi="Book Antiqua"/>
        </w:rPr>
        <w:t>a</w:t>
      </w:r>
      <w:r w:rsidR="002323C6">
        <w:rPr>
          <w:rFonts w:ascii="Book Antiqua" w:hAnsi="Book Antiqua"/>
        </w:rPr>
        <w:t xml:space="preserve"> </w:t>
      </w:r>
      <w:r>
        <w:rPr>
          <w:rFonts w:ascii="Book Antiqua" w:hAnsi="Book Antiqua"/>
        </w:rPr>
        <w:t>human rights</w:t>
      </w:r>
      <w:proofErr w:type="gramEnd"/>
      <w:r>
        <w:rPr>
          <w:rFonts w:ascii="Book Antiqua" w:hAnsi="Book Antiqua"/>
        </w:rPr>
        <w:t xml:space="preserve"> claim in the context of an application for entry clearance as an Adult Dependent Relative. </w:t>
      </w:r>
    </w:p>
    <w:p w14:paraId="0D68AAA5" w14:textId="77777777" w:rsidR="00555F13" w:rsidRDefault="00555F13" w:rsidP="00CD36E9">
      <w:pPr>
        <w:spacing w:before="160"/>
        <w:ind w:left="567" w:hanging="567"/>
        <w:jc w:val="both"/>
        <w:rPr>
          <w:rFonts w:ascii="Book Antiqua" w:hAnsi="Book Antiqua"/>
        </w:rPr>
      </w:pPr>
      <w:r>
        <w:rPr>
          <w:rFonts w:ascii="Book Antiqua" w:hAnsi="Book Antiqua"/>
        </w:rPr>
        <w:t>2.</w:t>
      </w:r>
      <w:r>
        <w:rPr>
          <w:rFonts w:ascii="Book Antiqua" w:hAnsi="Book Antiqua"/>
        </w:rPr>
        <w:tab/>
        <w:t xml:space="preserve">First-tier Tribunal Judge Callow dismissed the appeal in a decision promulgated on 10 November 2017. The Upper Tribunal concluded that the decision involved the making </w:t>
      </w:r>
      <w:r>
        <w:rPr>
          <w:rFonts w:ascii="Book Antiqua" w:hAnsi="Book Antiqua"/>
        </w:rPr>
        <w:lastRenderedPageBreak/>
        <w:t xml:space="preserve">of an error of law and set aside the decision on 12 June 2018 (annexed). The appeal was listed for a resumed hearing to remake the decision. </w:t>
      </w:r>
    </w:p>
    <w:p w14:paraId="03673710" w14:textId="77777777" w:rsidR="00555F13" w:rsidRPr="00261E2E" w:rsidRDefault="00555F13" w:rsidP="00CD36E9">
      <w:pPr>
        <w:pStyle w:val="NormalWeb"/>
        <w:spacing w:beforeLines="0" w:before="160" w:afterLines="0"/>
        <w:ind w:left="567" w:hanging="567"/>
        <w:jc w:val="both"/>
        <w:rPr>
          <w:rFonts w:ascii="Book Antiqua" w:hAnsi="Book Antiqua"/>
          <w:color w:val="000000"/>
          <w:sz w:val="24"/>
        </w:rPr>
      </w:pPr>
      <w:r w:rsidRPr="00261E2E">
        <w:rPr>
          <w:rFonts w:ascii="Book Antiqua" w:hAnsi="Book Antiqua"/>
          <w:color w:val="000000"/>
          <w:sz w:val="24"/>
        </w:rPr>
        <w:t>3.</w:t>
      </w:r>
      <w:r w:rsidRPr="00261E2E">
        <w:rPr>
          <w:rFonts w:ascii="Book Antiqua" w:hAnsi="Book Antiqua"/>
          <w:color w:val="000000"/>
          <w:sz w:val="24"/>
        </w:rPr>
        <w:tab/>
        <w:t xml:space="preserve">The parties agree that the only issue to be determined is whether the appellant meets the requirements of paragraph E-ECDR.2.5 of Appendix FM of the immigration rules. </w:t>
      </w:r>
    </w:p>
    <w:p w14:paraId="29B8205A" w14:textId="77777777" w:rsidR="00555F13" w:rsidRPr="00261E2E" w:rsidRDefault="00555F13" w:rsidP="00CD36E9">
      <w:pPr>
        <w:pStyle w:val="NormalWeb"/>
        <w:spacing w:beforeLines="0" w:before="160" w:afterLines="0"/>
        <w:ind w:left="567" w:hanging="567"/>
        <w:jc w:val="both"/>
      </w:pPr>
      <w:r>
        <w:rPr>
          <w:rFonts w:ascii="Book Antiqua" w:hAnsi="Book Antiqua"/>
          <w:color w:val="000000"/>
          <w:sz w:val="24"/>
        </w:rPr>
        <w:t>4.</w:t>
      </w:r>
      <w:r>
        <w:rPr>
          <w:rFonts w:ascii="Book Antiqua" w:hAnsi="Book Antiqua"/>
          <w:color w:val="000000"/>
          <w:sz w:val="24"/>
        </w:rPr>
        <w:tab/>
      </w:r>
      <w:r w:rsidRPr="00372237">
        <w:rPr>
          <w:rFonts w:ascii="Book Antiqua" w:hAnsi="Book Antiqua"/>
          <w:color w:val="000000"/>
          <w:sz w:val="24"/>
        </w:rPr>
        <w:t xml:space="preserve">The </w:t>
      </w:r>
      <w:r>
        <w:rPr>
          <w:rFonts w:ascii="Book Antiqua" w:hAnsi="Book Antiqua"/>
          <w:color w:val="000000"/>
          <w:sz w:val="24"/>
        </w:rPr>
        <w:t>sponsor (the appellant’s brother in law</w:t>
      </w:r>
      <w:r w:rsidR="00E445FA">
        <w:rPr>
          <w:rFonts w:ascii="Book Antiqua" w:hAnsi="Book Antiqua"/>
          <w:color w:val="000000"/>
          <w:sz w:val="24"/>
        </w:rPr>
        <w:t xml:space="preserve"> - “SM”</w:t>
      </w:r>
      <w:r>
        <w:rPr>
          <w:rFonts w:ascii="Book Antiqua" w:hAnsi="Book Antiqua"/>
          <w:color w:val="000000"/>
          <w:sz w:val="24"/>
        </w:rPr>
        <w:t>)</w:t>
      </w:r>
      <w:r w:rsidRPr="00372237">
        <w:rPr>
          <w:rFonts w:ascii="Book Antiqua" w:hAnsi="Book Antiqua"/>
          <w:color w:val="000000"/>
          <w:sz w:val="24"/>
        </w:rPr>
        <w:t xml:space="preserve"> attended the hearing and gave evidence </w:t>
      </w:r>
      <w:r>
        <w:rPr>
          <w:rFonts w:ascii="Book Antiqua" w:hAnsi="Book Antiqua"/>
          <w:color w:val="000000"/>
          <w:sz w:val="24"/>
        </w:rPr>
        <w:t>in English</w:t>
      </w:r>
      <w:r w:rsidRPr="00372237">
        <w:rPr>
          <w:rFonts w:ascii="Book Antiqua" w:hAnsi="Book Antiqua"/>
          <w:color w:val="000000"/>
          <w:sz w:val="24"/>
        </w:rPr>
        <w:t>.</w:t>
      </w:r>
      <w:r>
        <w:rPr>
          <w:rFonts w:ascii="Book Antiqua" w:hAnsi="Book Antiqua"/>
          <w:color w:val="000000"/>
          <w:sz w:val="24"/>
        </w:rPr>
        <w:t xml:space="preserve"> The sponsor’s wife (the appellant’s sister</w:t>
      </w:r>
      <w:r w:rsidR="00E445FA">
        <w:rPr>
          <w:rFonts w:ascii="Book Antiqua" w:hAnsi="Book Antiqua"/>
          <w:color w:val="000000"/>
          <w:sz w:val="24"/>
        </w:rPr>
        <w:t xml:space="preserve"> - “KB”</w:t>
      </w:r>
      <w:r>
        <w:rPr>
          <w:rFonts w:ascii="Book Antiqua" w:hAnsi="Book Antiqua"/>
          <w:color w:val="000000"/>
          <w:sz w:val="24"/>
        </w:rPr>
        <w:t>) also gave evidence.</w:t>
      </w:r>
      <w:r w:rsidRPr="00372237">
        <w:rPr>
          <w:rFonts w:ascii="Book Antiqua" w:hAnsi="Book Antiqua"/>
          <w:color w:val="000000"/>
          <w:sz w:val="24"/>
        </w:rPr>
        <w:t xml:space="preserve"> The </w:t>
      </w:r>
      <w:r>
        <w:rPr>
          <w:rFonts w:ascii="Book Antiqua" w:hAnsi="Book Antiqua"/>
          <w:color w:val="000000"/>
          <w:sz w:val="24"/>
        </w:rPr>
        <w:t>witnesses were</w:t>
      </w:r>
      <w:r w:rsidRPr="00372237">
        <w:rPr>
          <w:rFonts w:ascii="Book Antiqua" w:hAnsi="Book Antiqua"/>
          <w:color w:val="000000"/>
          <w:sz w:val="24"/>
        </w:rPr>
        <w:t xml:space="preserve"> asked a number of questions about </w:t>
      </w:r>
      <w:r>
        <w:rPr>
          <w:rFonts w:ascii="Book Antiqua" w:hAnsi="Book Antiqua"/>
          <w:color w:val="000000"/>
          <w:sz w:val="24"/>
        </w:rPr>
        <w:t>their personal circumstances and those of the appellant in Bangladesh</w:t>
      </w:r>
      <w:r w:rsidRPr="00372237">
        <w:rPr>
          <w:rFonts w:ascii="Book Antiqua" w:hAnsi="Book Antiqua"/>
          <w:color w:val="000000"/>
          <w:sz w:val="24"/>
        </w:rPr>
        <w:t xml:space="preserve">. </w:t>
      </w:r>
      <w:r>
        <w:rPr>
          <w:rFonts w:ascii="Book Antiqua" w:hAnsi="Book Antiqua"/>
          <w:color w:val="000000"/>
          <w:sz w:val="24"/>
        </w:rPr>
        <w:t xml:space="preserve">Their evidence is a matter of record. </w:t>
      </w:r>
      <w:r w:rsidRPr="00372237">
        <w:rPr>
          <w:rFonts w:ascii="Book Antiqua" w:hAnsi="Book Antiqua"/>
          <w:color w:val="000000"/>
          <w:sz w:val="24"/>
        </w:rPr>
        <w:t>The relevant details of the evide</w:t>
      </w:r>
      <w:r>
        <w:rPr>
          <w:rFonts w:ascii="Book Antiqua" w:hAnsi="Book Antiqua"/>
          <w:color w:val="000000"/>
          <w:sz w:val="24"/>
        </w:rPr>
        <w:t>nce given by the witness</w:t>
      </w:r>
      <w:r w:rsidRPr="00372237">
        <w:rPr>
          <w:rFonts w:ascii="Book Antiqua" w:hAnsi="Book Antiqua"/>
          <w:color w:val="000000"/>
          <w:sz w:val="24"/>
        </w:rPr>
        <w:t>es are incorporated into my findings of fact below.</w:t>
      </w:r>
      <w:r w:rsidRPr="00261E2E">
        <w:t> </w:t>
      </w:r>
    </w:p>
    <w:p w14:paraId="17BDF7BC" w14:textId="77777777" w:rsidR="00555F13" w:rsidRPr="00372237" w:rsidRDefault="00555F13" w:rsidP="00CD36E9">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5.</w:t>
      </w:r>
      <w:r>
        <w:rPr>
          <w:rFonts w:ascii="Book Antiqua" w:hAnsi="Book Antiqua"/>
          <w:color w:val="000000"/>
          <w:sz w:val="24"/>
        </w:rPr>
        <w:tab/>
      </w:r>
      <w:r w:rsidRPr="00372237">
        <w:rPr>
          <w:rFonts w:ascii="Book Antiqua" w:hAnsi="Book Antiqua"/>
          <w:color w:val="000000"/>
          <w:sz w:val="24"/>
        </w:rPr>
        <w:t>I have taken into account the appellant’s grounds of appeal, the oral evidence and submissions along with the reasons given for refusing the application before coming to a decision in this appeal.</w:t>
      </w:r>
    </w:p>
    <w:p w14:paraId="6DD5B55F" w14:textId="77777777" w:rsidR="00555F13" w:rsidRPr="00617EB8" w:rsidRDefault="00555F13" w:rsidP="00CD36E9">
      <w:pPr>
        <w:pStyle w:val="NormalWeb"/>
        <w:spacing w:beforeLines="0" w:before="160" w:afterLines="0"/>
        <w:jc w:val="both"/>
        <w:rPr>
          <w:rStyle w:val="apple-converted-space"/>
          <w:rFonts w:ascii="Book Antiqua" w:hAnsi="Book Antiqua"/>
          <w:b/>
          <w:color w:val="000000"/>
          <w:sz w:val="24"/>
          <w:u w:val="single"/>
        </w:rPr>
      </w:pPr>
      <w:r w:rsidRPr="00617EB8">
        <w:rPr>
          <w:rFonts w:ascii="Book Antiqua" w:hAnsi="Book Antiqua"/>
          <w:b/>
          <w:color w:val="000000"/>
          <w:sz w:val="24"/>
          <w:u w:val="single"/>
        </w:rPr>
        <w:t>Legal Framework</w:t>
      </w:r>
      <w:r w:rsidRPr="00617EB8">
        <w:rPr>
          <w:rStyle w:val="apple-converted-space"/>
          <w:rFonts w:ascii="Book Antiqua" w:hAnsi="Book Antiqua"/>
          <w:b/>
          <w:color w:val="000000"/>
          <w:sz w:val="24"/>
          <w:u w:val="single"/>
        </w:rPr>
        <w:t> </w:t>
      </w:r>
    </w:p>
    <w:p w14:paraId="3A9BE1B1" w14:textId="77777777" w:rsidR="00555F13" w:rsidRPr="00617EB8" w:rsidRDefault="00555F13" w:rsidP="00CD36E9">
      <w:pPr>
        <w:pStyle w:val="NormalWeb"/>
        <w:spacing w:beforeLines="0" w:before="160" w:afterLines="0"/>
        <w:ind w:left="567" w:hanging="567"/>
        <w:jc w:val="both"/>
        <w:rPr>
          <w:rStyle w:val="apple-converted-space"/>
          <w:rFonts w:ascii="Book Antiqua" w:hAnsi="Book Antiqua"/>
          <w:color w:val="000000"/>
          <w:sz w:val="24"/>
        </w:rPr>
      </w:pPr>
      <w:r>
        <w:rPr>
          <w:rFonts w:ascii="Book Antiqua" w:hAnsi="Book Antiqua"/>
          <w:color w:val="000000"/>
          <w:sz w:val="24"/>
        </w:rPr>
        <w:t>6.</w:t>
      </w:r>
      <w:r>
        <w:rPr>
          <w:rFonts w:ascii="Book Antiqua" w:hAnsi="Book Antiqua"/>
          <w:color w:val="000000"/>
          <w:sz w:val="24"/>
        </w:rPr>
        <w:tab/>
      </w:r>
      <w:r w:rsidRPr="00617EB8">
        <w:rPr>
          <w:rFonts w:ascii="Book Antiqua" w:hAnsi="Book Antiqua"/>
          <w:color w:val="000000"/>
          <w:sz w:val="24"/>
        </w:rPr>
        <w:t>Paragraph E-ECDR.2.5 of Appendix FM of the immigration rules states:</w:t>
      </w:r>
      <w:r w:rsidRPr="00617EB8">
        <w:rPr>
          <w:rStyle w:val="apple-converted-space"/>
          <w:rFonts w:ascii="Book Antiqua" w:hAnsi="Book Antiqua"/>
          <w:color w:val="000000"/>
          <w:sz w:val="24"/>
        </w:rPr>
        <w:t> </w:t>
      </w:r>
    </w:p>
    <w:p w14:paraId="092E1799" w14:textId="77777777" w:rsidR="00555F13" w:rsidRPr="00CD36E9" w:rsidRDefault="00CD36E9" w:rsidP="00CD36E9">
      <w:pPr>
        <w:pStyle w:val="NormalWeb"/>
        <w:spacing w:beforeLines="0" w:before="120" w:afterLines="0"/>
        <w:ind w:left="1134"/>
        <w:jc w:val="both"/>
        <w:rPr>
          <w:rFonts w:ascii="Book Antiqua" w:hAnsi="Book Antiqua"/>
          <w:color w:val="000000"/>
          <w:sz w:val="24"/>
          <w:szCs w:val="22"/>
        </w:rPr>
      </w:pPr>
      <w:r w:rsidRPr="00CD36E9">
        <w:rPr>
          <w:rFonts w:ascii="Book Antiqua" w:hAnsi="Book Antiqua"/>
          <w:color w:val="000000"/>
          <w:sz w:val="24"/>
          <w:szCs w:val="22"/>
        </w:rPr>
        <w:t>‘</w:t>
      </w:r>
      <w:r w:rsidR="00555F13" w:rsidRPr="00CD36E9">
        <w:rPr>
          <w:rFonts w:ascii="Book Antiqua" w:hAnsi="Book Antiqua"/>
          <w:color w:val="000000"/>
          <w:sz w:val="24"/>
          <w:szCs w:val="22"/>
        </w:rPr>
        <w:t>E-ECDR.2.5. The applicant or, if the applicant and their partner are the sponsor’s parents or grandparents, the applicant’s partner, must be unable, even with the practical and financial help of the sponsor, to obtain the required level of care in the country where they are living, because-</w:t>
      </w:r>
      <w:r w:rsidR="00555F13" w:rsidRPr="00CD36E9">
        <w:rPr>
          <w:rStyle w:val="apple-converted-space"/>
          <w:rFonts w:ascii="Book Antiqua" w:hAnsi="Book Antiqua"/>
          <w:color w:val="000000"/>
          <w:sz w:val="24"/>
          <w:szCs w:val="22"/>
        </w:rPr>
        <w:t> </w:t>
      </w:r>
    </w:p>
    <w:p w14:paraId="484C0952" w14:textId="77777777" w:rsidR="00555F13" w:rsidRPr="00CD36E9" w:rsidRDefault="00555F13" w:rsidP="00CD36E9">
      <w:pPr>
        <w:pStyle w:val="NormalWeb"/>
        <w:spacing w:beforeLines="0" w:before="120" w:afterLines="0"/>
        <w:ind w:left="1701" w:hanging="567"/>
        <w:jc w:val="both"/>
        <w:rPr>
          <w:rFonts w:ascii="Book Antiqua" w:hAnsi="Book Antiqua"/>
          <w:color w:val="000000"/>
          <w:sz w:val="24"/>
          <w:szCs w:val="22"/>
        </w:rPr>
      </w:pPr>
      <w:r w:rsidRPr="00CD36E9">
        <w:rPr>
          <w:rFonts w:ascii="Book Antiqua" w:hAnsi="Book Antiqua"/>
          <w:color w:val="000000"/>
          <w:sz w:val="24"/>
          <w:szCs w:val="22"/>
        </w:rPr>
        <w:t xml:space="preserve">(a) </w:t>
      </w:r>
      <w:r w:rsidRPr="00CD36E9">
        <w:rPr>
          <w:rFonts w:ascii="Book Antiqua" w:hAnsi="Book Antiqua"/>
          <w:color w:val="000000"/>
          <w:sz w:val="24"/>
          <w:szCs w:val="22"/>
        </w:rPr>
        <w:tab/>
        <w:t>it is not available and there is no person in that country who can reasonably provide it; or</w:t>
      </w:r>
      <w:r w:rsidRPr="00CD36E9">
        <w:rPr>
          <w:rStyle w:val="apple-converted-space"/>
          <w:rFonts w:ascii="Book Antiqua" w:hAnsi="Book Antiqua"/>
          <w:color w:val="000000"/>
          <w:sz w:val="24"/>
          <w:szCs w:val="22"/>
        </w:rPr>
        <w:t> </w:t>
      </w:r>
    </w:p>
    <w:p w14:paraId="280E663B" w14:textId="77777777" w:rsidR="00555F13" w:rsidRPr="00CD36E9" w:rsidRDefault="00555F13" w:rsidP="00CD36E9">
      <w:pPr>
        <w:pStyle w:val="NormalWeb"/>
        <w:spacing w:beforeLines="0" w:before="120" w:afterLines="0"/>
        <w:ind w:left="1701" w:hanging="567"/>
        <w:jc w:val="both"/>
        <w:rPr>
          <w:rFonts w:ascii="Book Antiqua" w:hAnsi="Book Antiqua"/>
          <w:color w:val="000000"/>
          <w:sz w:val="24"/>
          <w:szCs w:val="22"/>
        </w:rPr>
      </w:pPr>
      <w:r w:rsidRPr="00CD36E9">
        <w:rPr>
          <w:rFonts w:ascii="Book Antiqua" w:hAnsi="Book Antiqua"/>
          <w:color w:val="000000"/>
          <w:sz w:val="24"/>
          <w:szCs w:val="22"/>
        </w:rPr>
        <w:t xml:space="preserve">(b) </w:t>
      </w:r>
      <w:r w:rsidRPr="00CD36E9">
        <w:rPr>
          <w:rFonts w:ascii="Book Antiqua" w:hAnsi="Book Antiqua"/>
          <w:color w:val="000000"/>
          <w:sz w:val="24"/>
          <w:szCs w:val="22"/>
        </w:rPr>
        <w:tab/>
        <w:t>it is not affordable.</w:t>
      </w:r>
      <w:r w:rsidR="00CD36E9" w:rsidRPr="00CD36E9">
        <w:rPr>
          <w:rStyle w:val="apple-converted-space"/>
          <w:rFonts w:ascii="Book Antiqua" w:hAnsi="Book Antiqua"/>
          <w:color w:val="000000"/>
          <w:sz w:val="24"/>
          <w:szCs w:val="22"/>
        </w:rPr>
        <w:t>’</w:t>
      </w:r>
    </w:p>
    <w:p w14:paraId="4B74BE4C" w14:textId="77777777" w:rsidR="00555F13" w:rsidRPr="00617EB8" w:rsidRDefault="00555F13" w:rsidP="00CD36E9">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7.</w:t>
      </w:r>
      <w:r>
        <w:rPr>
          <w:rFonts w:ascii="Book Antiqua" w:hAnsi="Book Antiqua"/>
          <w:color w:val="000000"/>
          <w:sz w:val="24"/>
        </w:rPr>
        <w:tab/>
      </w:r>
      <w:r w:rsidRPr="00617EB8">
        <w:rPr>
          <w:rFonts w:ascii="Book Antiqua" w:hAnsi="Book Antiqua"/>
          <w:color w:val="000000"/>
          <w:sz w:val="24"/>
        </w:rPr>
        <w:t>The evidential requirement relating to this provision contained in paragraph 35 of Appendix FM-SE states:</w:t>
      </w:r>
      <w:r w:rsidRPr="00617EB8">
        <w:rPr>
          <w:rStyle w:val="apple-converted-space"/>
          <w:rFonts w:ascii="Book Antiqua" w:hAnsi="Book Antiqua"/>
          <w:color w:val="000000"/>
          <w:sz w:val="24"/>
        </w:rPr>
        <w:t> </w:t>
      </w:r>
    </w:p>
    <w:p w14:paraId="58B553C8" w14:textId="77777777" w:rsidR="00555F13" w:rsidRPr="00CD36E9" w:rsidRDefault="00CD36E9" w:rsidP="00CD36E9">
      <w:pPr>
        <w:pStyle w:val="NormalWeb"/>
        <w:spacing w:beforeLines="0" w:before="120" w:afterLines="0"/>
        <w:ind w:left="1701" w:hanging="567"/>
        <w:jc w:val="both"/>
        <w:rPr>
          <w:rFonts w:ascii="Book Antiqua" w:hAnsi="Book Antiqua"/>
          <w:color w:val="000000"/>
          <w:sz w:val="24"/>
          <w:szCs w:val="22"/>
        </w:rPr>
      </w:pPr>
      <w:r w:rsidRPr="00CD36E9">
        <w:rPr>
          <w:rFonts w:ascii="Book Antiqua" w:hAnsi="Book Antiqua"/>
          <w:color w:val="000000"/>
          <w:sz w:val="24"/>
          <w:szCs w:val="22"/>
        </w:rPr>
        <w:t>‘</w:t>
      </w:r>
      <w:r w:rsidR="00555F13" w:rsidRPr="00CD36E9">
        <w:rPr>
          <w:rFonts w:ascii="Book Antiqua" w:hAnsi="Book Antiqua"/>
          <w:color w:val="000000"/>
          <w:sz w:val="24"/>
          <w:szCs w:val="22"/>
        </w:rPr>
        <w:t xml:space="preserve">35. </w:t>
      </w:r>
      <w:r w:rsidR="00555F13" w:rsidRPr="00CD36E9">
        <w:rPr>
          <w:rFonts w:ascii="Book Antiqua" w:hAnsi="Book Antiqua"/>
          <w:color w:val="000000"/>
          <w:sz w:val="24"/>
          <w:szCs w:val="22"/>
        </w:rPr>
        <w:tab/>
        <w:t>Independent evidence that the applicant is unable, even with the practical and financial help of the sponsor in the UK, to obtain the required level of care in the country where they are living should be from:</w:t>
      </w:r>
      <w:r w:rsidR="00555F13" w:rsidRPr="00CD36E9">
        <w:rPr>
          <w:rStyle w:val="apple-converted-space"/>
          <w:rFonts w:ascii="Book Antiqua" w:hAnsi="Book Antiqua"/>
          <w:color w:val="000000"/>
          <w:sz w:val="24"/>
          <w:szCs w:val="22"/>
        </w:rPr>
        <w:t> </w:t>
      </w:r>
    </w:p>
    <w:p w14:paraId="3F5C0842" w14:textId="77777777" w:rsidR="00555F13" w:rsidRPr="00CD36E9" w:rsidRDefault="00555F13" w:rsidP="00CD36E9">
      <w:pPr>
        <w:pStyle w:val="NormalWeb"/>
        <w:spacing w:beforeLines="0" w:before="120" w:afterLines="0"/>
        <w:ind w:left="2268" w:hanging="567"/>
        <w:jc w:val="both"/>
        <w:rPr>
          <w:rFonts w:ascii="Book Antiqua" w:hAnsi="Book Antiqua"/>
          <w:color w:val="000000"/>
          <w:sz w:val="24"/>
          <w:szCs w:val="22"/>
        </w:rPr>
      </w:pPr>
      <w:r w:rsidRPr="00CD36E9">
        <w:rPr>
          <w:rFonts w:ascii="Book Antiqua" w:hAnsi="Book Antiqua"/>
          <w:color w:val="000000"/>
          <w:sz w:val="24"/>
          <w:szCs w:val="22"/>
        </w:rPr>
        <w:t xml:space="preserve">(a) </w:t>
      </w:r>
      <w:r w:rsidRPr="00CD36E9">
        <w:rPr>
          <w:rFonts w:ascii="Book Antiqua" w:hAnsi="Book Antiqua"/>
          <w:color w:val="000000"/>
          <w:sz w:val="24"/>
          <w:szCs w:val="22"/>
        </w:rPr>
        <w:tab/>
        <w:t>a central or local health authority;</w:t>
      </w:r>
      <w:r w:rsidRPr="00CD36E9">
        <w:rPr>
          <w:rStyle w:val="apple-converted-space"/>
          <w:rFonts w:ascii="Book Antiqua" w:hAnsi="Book Antiqua"/>
          <w:color w:val="000000"/>
          <w:sz w:val="24"/>
          <w:szCs w:val="22"/>
        </w:rPr>
        <w:t> </w:t>
      </w:r>
    </w:p>
    <w:p w14:paraId="48B59555" w14:textId="77777777" w:rsidR="00555F13" w:rsidRPr="00CD36E9" w:rsidRDefault="00555F13" w:rsidP="00CD36E9">
      <w:pPr>
        <w:pStyle w:val="NormalWeb"/>
        <w:spacing w:beforeLines="0" w:before="120" w:afterLines="0"/>
        <w:ind w:left="2268" w:hanging="567"/>
        <w:jc w:val="both"/>
        <w:rPr>
          <w:rFonts w:ascii="Book Antiqua" w:hAnsi="Book Antiqua"/>
          <w:color w:val="000000"/>
          <w:sz w:val="24"/>
          <w:szCs w:val="22"/>
        </w:rPr>
      </w:pPr>
      <w:r w:rsidRPr="00CD36E9">
        <w:rPr>
          <w:rFonts w:ascii="Book Antiqua" w:hAnsi="Book Antiqua"/>
          <w:color w:val="000000"/>
          <w:sz w:val="24"/>
          <w:szCs w:val="22"/>
        </w:rPr>
        <w:t xml:space="preserve">(b) </w:t>
      </w:r>
      <w:r w:rsidRPr="00CD36E9">
        <w:rPr>
          <w:rFonts w:ascii="Book Antiqua" w:hAnsi="Book Antiqua"/>
          <w:color w:val="000000"/>
          <w:sz w:val="24"/>
          <w:szCs w:val="22"/>
        </w:rPr>
        <w:tab/>
        <w:t>a local authority; or</w:t>
      </w:r>
      <w:r w:rsidRPr="00CD36E9">
        <w:rPr>
          <w:rStyle w:val="apple-converted-space"/>
          <w:rFonts w:ascii="Book Antiqua" w:hAnsi="Book Antiqua"/>
          <w:color w:val="000000"/>
          <w:sz w:val="24"/>
          <w:szCs w:val="22"/>
        </w:rPr>
        <w:t> </w:t>
      </w:r>
    </w:p>
    <w:p w14:paraId="792EB10C" w14:textId="77777777" w:rsidR="00555F13" w:rsidRPr="00CD36E9" w:rsidRDefault="00555F13" w:rsidP="00CD36E9">
      <w:pPr>
        <w:pStyle w:val="NormalWeb"/>
        <w:spacing w:beforeLines="0" w:before="120" w:afterLines="0"/>
        <w:ind w:left="2268" w:hanging="567"/>
        <w:jc w:val="both"/>
        <w:rPr>
          <w:rFonts w:ascii="Book Antiqua" w:hAnsi="Book Antiqua"/>
          <w:color w:val="000000"/>
          <w:sz w:val="24"/>
          <w:szCs w:val="22"/>
        </w:rPr>
      </w:pPr>
      <w:r w:rsidRPr="00CD36E9">
        <w:rPr>
          <w:rFonts w:ascii="Book Antiqua" w:hAnsi="Book Antiqua"/>
          <w:color w:val="000000"/>
          <w:sz w:val="24"/>
          <w:szCs w:val="22"/>
        </w:rPr>
        <w:t xml:space="preserve">(c) </w:t>
      </w:r>
      <w:r w:rsidRPr="00CD36E9">
        <w:rPr>
          <w:rFonts w:ascii="Book Antiqua" w:hAnsi="Book Antiqua"/>
          <w:color w:val="000000"/>
          <w:sz w:val="24"/>
          <w:szCs w:val="22"/>
        </w:rPr>
        <w:tab/>
        <w:t>a doctor or other health professional.</w:t>
      </w:r>
      <w:r w:rsidRPr="00CD36E9">
        <w:rPr>
          <w:rStyle w:val="apple-converted-space"/>
          <w:rFonts w:ascii="Book Antiqua" w:hAnsi="Book Antiqua"/>
          <w:color w:val="000000"/>
          <w:sz w:val="24"/>
          <w:szCs w:val="22"/>
        </w:rPr>
        <w:t> </w:t>
      </w:r>
    </w:p>
    <w:p w14:paraId="0F4B0B07" w14:textId="77777777" w:rsidR="00555F13" w:rsidRPr="00CD36E9" w:rsidRDefault="00555F13" w:rsidP="00CD36E9">
      <w:pPr>
        <w:pStyle w:val="NormalWeb"/>
        <w:spacing w:beforeLines="0" w:before="120" w:afterLines="0"/>
        <w:ind w:left="1701" w:hanging="567"/>
        <w:jc w:val="both"/>
        <w:rPr>
          <w:rFonts w:ascii="Book Antiqua" w:hAnsi="Book Antiqua"/>
          <w:color w:val="000000"/>
          <w:sz w:val="24"/>
          <w:szCs w:val="22"/>
        </w:rPr>
      </w:pPr>
      <w:r w:rsidRPr="00CD36E9">
        <w:rPr>
          <w:rFonts w:ascii="Book Antiqua" w:hAnsi="Book Antiqua"/>
          <w:color w:val="000000"/>
          <w:sz w:val="24"/>
          <w:szCs w:val="22"/>
        </w:rPr>
        <w:t xml:space="preserve">36. </w:t>
      </w:r>
      <w:r w:rsidRPr="00CD36E9">
        <w:rPr>
          <w:rFonts w:ascii="Book Antiqua" w:hAnsi="Book Antiqua"/>
          <w:color w:val="000000"/>
          <w:sz w:val="24"/>
          <w:szCs w:val="22"/>
        </w:rPr>
        <w:tab/>
        <w:t>If the applicant’s required care has previously been provided through a private arrangement, the applicant must provide details of that arrangement and why it is no longer available.</w:t>
      </w:r>
      <w:r w:rsidRPr="00CD36E9">
        <w:rPr>
          <w:rStyle w:val="apple-converted-space"/>
          <w:rFonts w:ascii="Book Antiqua" w:hAnsi="Book Antiqua"/>
          <w:color w:val="000000"/>
          <w:sz w:val="24"/>
          <w:szCs w:val="22"/>
        </w:rPr>
        <w:t> </w:t>
      </w:r>
    </w:p>
    <w:p w14:paraId="4CF2D426" w14:textId="77777777" w:rsidR="00555F13" w:rsidRPr="00CD36E9" w:rsidRDefault="00555F13" w:rsidP="00CD36E9">
      <w:pPr>
        <w:pStyle w:val="NormalWeb"/>
        <w:spacing w:beforeLines="0" w:before="120" w:afterLines="0"/>
        <w:ind w:left="1701" w:hanging="567"/>
        <w:jc w:val="both"/>
        <w:rPr>
          <w:rFonts w:ascii="Book Antiqua" w:hAnsi="Book Antiqua"/>
          <w:color w:val="000000"/>
          <w:sz w:val="24"/>
          <w:szCs w:val="22"/>
        </w:rPr>
      </w:pPr>
      <w:r w:rsidRPr="00CD36E9">
        <w:rPr>
          <w:rFonts w:ascii="Book Antiqua" w:hAnsi="Book Antiqua"/>
          <w:color w:val="000000"/>
          <w:sz w:val="24"/>
          <w:szCs w:val="22"/>
        </w:rPr>
        <w:t xml:space="preserve">37. </w:t>
      </w:r>
      <w:r w:rsidRPr="00CD36E9">
        <w:rPr>
          <w:rFonts w:ascii="Book Antiqua" w:hAnsi="Book Antiqua"/>
          <w:color w:val="000000"/>
          <w:sz w:val="24"/>
          <w:szCs w:val="22"/>
        </w:rPr>
        <w:tab/>
        <w:t>If the applicant’s required level of care is not, or is no longer, affordable because payment previously made for arranging this care is no longer being made, the applicant must provide records of that payment and an explanation of why that payment cannot continue. If financial support has been provided by the sponsor or other close family in the UK, the applicant must provide an explanation of why this cannot continue or is no longer sufficient to enable the required level of care to be provided.</w:t>
      </w:r>
      <w:r w:rsidR="00CD36E9" w:rsidRPr="00CD36E9">
        <w:rPr>
          <w:rStyle w:val="apple-converted-space"/>
          <w:rFonts w:ascii="Book Antiqua" w:hAnsi="Book Antiqua"/>
          <w:color w:val="000000"/>
          <w:sz w:val="24"/>
          <w:szCs w:val="22"/>
        </w:rPr>
        <w:t>’</w:t>
      </w:r>
    </w:p>
    <w:p w14:paraId="1AC19005" w14:textId="77777777" w:rsidR="00555F13" w:rsidRPr="00617EB8" w:rsidRDefault="00555F13" w:rsidP="00CD36E9">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lastRenderedPageBreak/>
        <w:t>8.</w:t>
      </w:r>
      <w:r>
        <w:rPr>
          <w:rFonts w:ascii="Book Antiqua" w:hAnsi="Book Antiqua"/>
          <w:color w:val="000000"/>
          <w:sz w:val="24"/>
        </w:rPr>
        <w:tab/>
      </w:r>
      <w:r w:rsidRPr="00617EB8">
        <w:rPr>
          <w:rFonts w:ascii="Book Antiqua" w:hAnsi="Book Antiqua"/>
          <w:color w:val="000000"/>
          <w:sz w:val="24"/>
        </w:rPr>
        <w:t xml:space="preserve">In </w:t>
      </w:r>
      <w:r w:rsidRPr="00617EB8">
        <w:rPr>
          <w:rFonts w:ascii="Book Antiqua" w:hAnsi="Book Antiqua"/>
          <w:i/>
          <w:color w:val="000000"/>
          <w:sz w:val="24"/>
        </w:rPr>
        <w:t>BRITCITS v SSHD</w:t>
      </w:r>
      <w:r w:rsidRPr="00617EB8">
        <w:rPr>
          <w:rFonts w:ascii="Book Antiqua" w:hAnsi="Book Antiqua"/>
          <w:color w:val="000000"/>
          <w:sz w:val="24"/>
        </w:rPr>
        <w:t xml:space="preserve"> [2017] EWCA Civ 368 the Court of Appeal made the following findings:</w:t>
      </w:r>
      <w:r w:rsidRPr="00617EB8">
        <w:rPr>
          <w:rStyle w:val="apple-converted-space"/>
          <w:rFonts w:ascii="Book Antiqua" w:hAnsi="Book Antiqua"/>
          <w:color w:val="000000"/>
          <w:sz w:val="24"/>
        </w:rPr>
        <w:t> </w:t>
      </w:r>
    </w:p>
    <w:p w14:paraId="0EBEDDF8" w14:textId="77777777" w:rsidR="00555F13" w:rsidRPr="00CD36E9" w:rsidRDefault="00555F13" w:rsidP="00CD36E9">
      <w:pPr>
        <w:pStyle w:val="NormalWeb"/>
        <w:spacing w:beforeLines="0" w:before="120" w:afterLines="0"/>
        <w:ind w:left="1701" w:right="567" w:hanging="567"/>
        <w:jc w:val="both"/>
        <w:rPr>
          <w:rFonts w:ascii="Book Antiqua" w:hAnsi="Book Antiqua"/>
          <w:color w:val="000000"/>
          <w:sz w:val="22"/>
          <w:szCs w:val="22"/>
        </w:rPr>
      </w:pPr>
      <w:r w:rsidRPr="00CD36E9">
        <w:rPr>
          <w:rFonts w:ascii="Book Antiqua" w:hAnsi="Book Antiqua"/>
          <w:color w:val="000000"/>
          <w:sz w:val="22"/>
          <w:szCs w:val="22"/>
        </w:rPr>
        <w:t xml:space="preserve">“58. </w:t>
      </w:r>
      <w:r w:rsidRPr="00CD36E9">
        <w:rPr>
          <w:rFonts w:ascii="Book Antiqua" w:hAnsi="Book Antiqua"/>
          <w:color w:val="000000"/>
          <w:sz w:val="22"/>
          <w:szCs w:val="22"/>
        </w:rPr>
        <w:tab/>
        <w:t xml:space="preserve">First, the policy intended to be implemented by the new ADR Rules, as appears from the evidence, the new ADR Rules themselves and the Guidance, and confirmed in the oral submissions of Mr Neil Sheldon, counsel for the </w:t>
      </w:r>
      <w:proofErr w:type="spellStart"/>
      <w:r w:rsidRPr="00CD36E9">
        <w:rPr>
          <w:rFonts w:ascii="Book Antiqua" w:hAnsi="Book Antiqua"/>
          <w:color w:val="000000"/>
          <w:sz w:val="22"/>
          <w:szCs w:val="22"/>
        </w:rPr>
        <w:t>SoS</w:t>
      </w:r>
      <w:proofErr w:type="spellEnd"/>
      <w:r w:rsidRPr="00CD36E9">
        <w:rPr>
          <w:rFonts w:ascii="Book Antiqua" w:hAnsi="Book Antiqua"/>
          <w:color w:val="000000"/>
          <w:sz w:val="22"/>
          <w:szCs w:val="22"/>
        </w:rPr>
        <w:t>, is clear enough. It is twofold: firstly, to reduce the burden on the taxpayer for the provision of health and social care services to those ADRs whose needs can reasonably and adequately be met in their home country; and, secondly, to ensure that those ADRs whose needs can only be reasonably and adequately met in the UK are granted fully settled status and full access to the NHS and social care provided by local authorities. The latter is intended to avoid disparity between ADRs depending on their wealth and to avoid precariousness of status occasioned by changes in the financial circumstances of ADRs once settled here.</w:t>
      </w:r>
      <w:r w:rsidRPr="00CD36E9">
        <w:rPr>
          <w:rStyle w:val="apple-converted-space"/>
          <w:rFonts w:ascii="Book Antiqua" w:hAnsi="Book Antiqua"/>
          <w:color w:val="000000"/>
          <w:sz w:val="22"/>
          <w:szCs w:val="22"/>
        </w:rPr>
        <w:t> </w:t>
      </w:r>
    </w:p>
    <w:p w14:paraId="4B5637E1" w14:textId="77777777" w:rsidR="00555F13" w:rsidRPr="00CD36E9" w:rsidRDefault="00555F13" w:rsidP="00CD36E9">
      <w:pPr>
        <w:pStyle w:val="NormalWeb"/>
        <w:spacing w:beforeLines="0" w:before="120" w:afterLines="0"/>
        <w:ind w:left="1701" w:right="567" w:hanging="567"/>
        <w:jc w:val="both"/>
        <w:rPr>
          <w:rFonts w:ascii="Book Antiqua" w:hAnsi="Book Antiqua"/>
          <w:color w:val="000000"/>
          <w:sz w:val="22"/>
          <w:szCs w:val="22"/>
        </w:rPr>
      </w:pPr>
      <w:r w:rsidRPr="00CD36E9">
        <w:rPr>
          <w:rFonts w:ascii="Book Antiqua" w:hAnsi="Book Antiqua"/>
          <w:color w:val="000000"/>
          <w:sz w:val="22"/>
          <w:szCs w:val="22"/>
        </w:rPr>
        <w:t xml:space="preserve">59. </w:t>
      </w:r>
      <w:r w:rsidRPr="00CD36E9">
        <w:rPr>
          <w:rFonts w:ascii="Book Antiqua" w:hAnsi="Book Antiqua"/>
          <w:color w:val="000000"/>
          <w:sz w:val="22"/>
          <w:szCs w:val="22"/>
        </w:rPr>
        <w:tab/>
        <w:t>Second, as is apparent from the Rules and the Guidance, the focus is on whether the care required by the ADR applicant can be "reasonably" provided and to "the required level" in their home country. As Mr Sheldon confirmed in his oral submissions, the provision of care in the home country must be reasonable both from the perspective of the provider and the perspective of the applicant, and the standard of such care must be what is required for that particular applicant. It is possible that insufficient attention has been paid in the past to these considerations, which focus on what care is both necessary and reasonable for the applicant to receive in their home country. Those considerations include issues as to the accessibility and geographical location of the provision of care and the standard of</w:t>
      </w:r>
      <w:r w:rsidRPr="00CD36E9">
        <w:rPr>
          <w:rStyle w:val="apple-converted-space"/>
          <w:rFonts w:ascii="Book Antiqua" w:hAnsi="Book Antiqua"/>
          <w:color w:val="000000"/>
          <w:sz w:val="22"/>
          <w:szCs w:val="22"/>
        </w:rPr>
        <w:t> </w:t>
      </w:r>
      <w:r w:rsidRPr="00CD36E9">
        <w:rPr>
          <w:rFonts w:ascii="Book Antiqua" w:hAnsi="Book Antiqua"/>
          <w:color w:val="000000"/>
          <w:sz w:val="22"/>
          <w:szCs w:val="22"/>
        </w:rPr>
        <w:t>care. They are capable of embracing emotional and psychological requirements verified by expert medical evidence. What is reasonable is, of course, to be objectively assessed.”</w:t>
      </w:r>
      <w:r w:rsidRPr="00CD36E9">
        <w:rPr>
          <w:rStyle w:val="apple-converted-space"/>
          <w:rFonts w:ascii="Book Antiqua" w:hAnsi="Book Antiqua"/>
          <w:color w:val="000000"/>
          <w:sz w:val="22"/>
          <w:szCs w:val="22"/>
        </w:rPr>
        <w:t> </w:t>
      </w:r>
    </w:p>
    <w:p w14:paraId="45AA82D6" w14:textId="77777777" w:rsidR="00555F13" w:rsidRPr="00617EB8" w:rsidRDefault="00555F13" w:rsidP="00CD36E9">
      <w:pPr>
        <w:pStyle w:val="NormalWeb"/>
        <w:spacing w:beforeLines="0" w:before="160" w:afterLines="0"/>
        <w:jc w:val="both"/>
        <w:rPr>
          <w:rFonts w:ascii="Book Antiqua" w:hAnsi="Book Antiqua"/>
          <w:b/>
          <w:color w:val="000000"/>
          <w:sz w:val="24"/>
          <w:u w:val="single"/>
        </w:rPr>
      </w:pPr>
      <w:r w:rsidRPr="00617EB8">
        <w:rPr>
          <w:rFonts w:ascii="Book Antiqua" w:hAnsi="Book Antiqua"/>
          <w:b/>
          <w:color w:val="000000"/>
          <w:sz w:val="24"/>
          <w:u w:val="single"/>
        </w:rPr>
        <w:t>Decision and reasons</w:t>
      </w:r>
    </w:p>
    <w:p w14:paraId="396A2C40" w14:textId="77777777" w:rsidR="00057A96" w:rsidRDefault="00057A96" w:rsidP="00CD36E9">
      <w:pPr>
        <w:spacing w:before="160"/>
        <w:ind w:left="567" w:hanging="567"/>
        <w:jc w:val="both"/>
        <w:rPr>
          <w:rFonts w:ascii="Book Antiqua" w:hAnsi="Book Antiqua"/>
        </w:rPr>
      </w:pPr>
      <w:r>
        <w:rPr>
          <w:rFonts w:ascii="Book Antiqua" w:hAnsi="Book Antiqua"/>
        </w:rPr>
        <w:t>9.</w:t>
      </w:r>
      <w:r>
        <w:rPr>
          <w:rFonts w:ascii="Book Antiqua" w:hAnsi="Book Antiqua"/>
        </w:rPr>
        <w:tab/>
        <w:t>This is a ‘new style’ appeal following the changes made to Part V of the Nationality, Immigration and Asylum Act 2002 (“NIAA 2002”). Following the repeal of section 85A of t</w:t>
      </w:r>
      <w:r w:rsidR="003F7B85">
        <w:rPr>
          <w:rFonts w:ascii="Book Antiqua" w:hAnsi="Book Antiqua"/>
        </w:rPr>
        <w:t>he NIAA 2002 the Tribunal is no longer</w:t>
      </w:r>
      <w:r>
        <w:rPr>
          <w:rFonts w:ascii="Book Antiqua" w:hAnsi="Book Antiqua"/>
        </w:rPr>
        <w:t xml:space="preserve"> restricted to considering the circumstances appertaining to the date of decision in an appeal involving refusal of entry clearance. </w:t>
      </w:r>
    </w:p>
    <w:p w14:paraId="39306B4B" w14:textId="77777777" w:rsidR="00057A96" w:rsidRDefault="00057A96" w:rsidP="00CD36E9">
      <w:pPr>
        <w:spacing w:before="160"/>
        <w:ind w:left="567" w:hanging="567"/>
        <w:jc w:val="both"/>
        <w:rPr>
          <w:rFonts w:ascii="Book Antiqua" w:hAnsi="Book Antiqua"/>
        </w:rPr>
      </w:pPr>
      <w:r>
        <w:rPr>
          <w:rFonts w:ascii="Book Antiqua" w:hAnsi="Book Antiqua"/>
        </w:rPr>
        <w:t>10.</w:t>
      </w:r>
      <w:r>
        <w:rPr>
          <w:rFonts w:ascii="Book Antiqua" w:hAnsi="Book Antiqua"/>
        </w:rPr>
        <w:tab/>
      </w:r>
      <w:r w:rsidR="009F0B52">
        <w:rPr>
          <w:rFonts w:ascii="Book Antiqua" w:hAnsi="Book Antiqua"/>
        </w:rPr>
        <w:t xml:space="preserve">It is not disputed that the appellant </w:t>
      </w:r>
      <w:r w:rsidR="00BE39BC">
        <w:rPr>
          <w:rFonts w:ascii="Book Antiqua" w:hAnsi="Book Antiqua"/>
        </w:rPr>
        <w:t>received</w:t>
      </w:r>
      <w:r w:rsidR="009F0B52">
        <w:rPr>
          <w:rFonts w:ascii="Book Antiqua" w:hAnsi="Book Antiqua"/>
        </w:rPr>
        <w:t xml:space="preserve"> some medical care in Bangladesh in the past, or that some level of social care might be available through a limited number of providers. The question for determination in this appeal is whether the full range of medical treatment and social care the appellant requires is available in Bangladesh, and if it is, whether the care is affordable. </w:t>
      </w:r>
    </w:p>
    <w:p w14:paraId="1190E022" w14:textId="77777777" w:rsidR="009F0B52" w:rsidRDefault="009F0B52" w:rsidP="00CD36E9">
      <w:pPr>
        <w:spacing w:before="160"/>
        <w:ind w:left="567" w:hanging="567"/>
        <w:jc w:val="both"/>
        <w:rPr>
          <w:rFonts w:ascii="Book Antiqua" w:hAnsi="Book Antiqua"/>
        </w:rPr>
      </w:pPr>
      <w:r>
        <w:rPr>
          <w:rFonts w:ascii="Book Antiqua" w:hAnsi="Book Antiqua"/>
        </w:rPr>
        <w:t>11.</w:t>
      </w:r>
      <w:r>
        <w:rPr>
          <w:rFonts w:ascii="Book Antiqua" w:hAnsi="Book Antiqua"/>
        </w:rPr>
        <w:tab/>
        <w:t>The Upper Tribunal summarised the medical evidence in the error of law decision as follows:</w:t>
      </w:r>
    </w:p>
    <w:p w14:paraId="7DF3418E" w14:textId="77777777" w:rsidR="009F0B52" w:rsidRPr="00CD36E9" w:rsidRDefault="009F0B52" w:rsidP="00CD36E9">
      <w:pPr>
        <w:pStyle w:val="NormalWeb"/>
        <w:spacing w:beforeLines="0" w:before="120" w:afterLines="0"/>
        <w:ind w:left="1701" w:right="567" w:hanging="567"/>
        <w:jc w:val="both"/>
        <w:rPr>
          <w:rFonts w:ascii="Book Antiqua" w:hAnsi="Book Antiqua"/>
          <w:color w:val="000000"/>
          <w:sz w:val="22"/>
          <w:szCs w:val="22"/>
        </w:rPr>
      </w:pPr>
      <w:r w:rsidRPr="00CD36E9">
        <w:rPr>
          <w:rFonts w:ascii="Book Antiqua" w:hAnsi="Book Antiqua"/>
          <w:color w:val="000000"/>
          <w:sz w:val="22"/>
          <w:szCs w:val="22"/>
        </w:rPr>
        <w:t>“12.</w:t>
      </w:r>
      <w:r w:rsidRPr="00CD36E9">
        <w:rPr>
          <w:rFonts w:ascii="Book Antiqua" w:hAnsi="Book Antiqua"/>
          <w:color w:val="000000"/>
          <w:sz w:val="22"/>
          <w:szCs w:val="22"/>
        </w:rPr>
        <w:tab/>
        <w:t xml:space="preserve">Although there was evidence to indicate that the appellant had been in receipt of some medical care in Bangladesh, the First-tier Tribunal decision discloses no assessment of whether the appellant was able to obtain the ‘required level of care’ in Bangladesh. The evidence from Professor </w:t>
      </w:r>
      <w:proofErr w:type="spellStart"/>
      <w:r w:rsidRPr="00CD36E9">
        <w:rPr>
          <w:rFonts w:ascii="Book Antiqua" w:hAnsi="Book Antiqua"/>
          <w:color w:val="000000"/>
          <w:sz w:val="22"/>
          <w:szCs w:val="22"/>
        </w:rPr>
        <w:t>Alam</w:t>
      </w:r>
      <w:proofErr w:type="spellEnd"/>
      <w:r w:rsidRPr="00CD36E9">
        <w:rPr>
          <w:rFonts w:ascii="Book Antiqua" w:hAnsi="Book Antiqua"/>
          <w:color w:val="000000"/>
          <w:sz w:val="22"/>
          <w:szCs w:val="22"/>
        </w:rPr>
        <w:t xml:space="preserve">, a psychiatrist who had been treating the appellant for a </w:t>
      </w:r>
      <w:r w:rsidRPr="00CD36E9">
        <w:rPr>
          <w:rFonts w:ascii="Book Antiqua" w:hAnsi="Book Antiqua"/>
          <w:i/>
          <w:color w:val="000000"/>
          <w:sz w:val="22"/>
          <w:szCs w:val="22"/>
        </w:rPr>
        <w:t>“couple of years”</w:t>
      </w:r>
      <w:r w:rsidRPr="00CD36E9">
        <w:rPr>
          <w:rFonts w:ascii="Book Antiqua" w:hAnsi="Book Antiqua"/>
          <w:color w:val="000000"/>
          <w:sz w:val="22"/>
          <w:szCs w:val="22"/>
        </w:rPr>
        <w:t xml:space="preserve"> was that, despite his treatment, the appellant’s condition had not improved. In his opinion it was likely that he was not taking his medication regularly due </w:t>
      </w:r>
      <w:r w:rsidRPr="00CD36E9">
        <w:rPr>
          <w:rFonts w:ascii="Book Antiqua" w:hAnsi="Book Antiqua"/>
          <w:color w:val="000000"/>
          <w:sz w:val="22"/>
          <w:szCs w:val="22"/>
        </w:rPr>
        <w:lastRenderedPageBreak/>
        <w:t xml:space="preserve">to his </w:t>
      </w:r>
      <w:r w:rsidRPr="00CD36E9">
        <w:rPr>
          <w:rFonts w:ascii="Book Antiqua" w:hAnsi="Book Antiqua"/>
          <w:i/>
          <w:color w:val="000000"/>
          <w:sz w:val="22"/>
          <w:szCs w:val="22"/>
        </w:rPr>
        <w:t>“physical and mental instability”</w:t>
      </w:r>
      <w:r w:rsidRPr="00CD36E9">
        <w:rPr>
          <w:rFonts w:ascii="Book Antiqua" w:hAnsi="Book Antiqua"/>
          <w:color w:val="000000"/>
          <w:sz w:val="22"/>
          <w:szCs w:val="22"/>
        </w:rPr>
        <w:t xml:space="preserve">. He made clear that the appellant required </w:t>
      </w:r>
      <w:r w:rsidRPr="00CD36E9">
        <w:rPr>
          <w:rFonts w:ascii="Book Antiqua" w:hAnsi="Book Antiqua"/>
          <w:i/>
          <w:color w:val="000000"/>
          <w:sz w:val="22"/>
          <w:szCs w:val="22"/>
        </w:rPr>
        <w:t>“full support from someone that he is not getting”</w:t>
      </w:r>
      <w:r w:rsidRPr="00CD36E9">
        <w:rPr>
          <w:rFonts w:ascii="Book Antiqua" w:hAnsi="Book Antiqua"/>
          <w:color w:val="000000"/>
          <w:sz w:val="22"/>
          <w:szCs w:val="22"/>
        </w:rPr>
        <w:t xml:space="preserve">. In his opinion others could not provide the care he needed. Close monitoring was better provided by a close relative. </w:t>
      </w:r>
    </w:p>
    <w:p w14:paraId="7826D02E" w14:textId="77777777" w:rsidR="009F0B52" w:rsidRPr="00CD36E9" w:rsidRDefault="009F0B52" w:rsidP="00CD36E9">
      <w:pPr>
        <w:pStyle w:val="NormalWeb"/>
        <w:spacing w:beforeLines="0" w:before="120" w:afterLines="0"/>
        <w:ind w:left="1701" w:right="567" w:hanging="567"/>
        <w:jc w:val="both"/>
        <w:rPr>
          <w:rFonts w:ascii="Book Antiqua" w:hAnsi="Book Antiqua"/>
          <w:color w:val="000000"/>
          <w:sz w:val="22"/>
          <w:szCs w:val="22"/>
        </w:rPr>
      </w:pPr>
      <w:r w:rsidRPr="00CD36E9">
        <w:rPr>
          <w:rFonts w:ascii="Book Antiqua" w:hAnsi="Book Antiqua"/>
          <w:color w:val="000000"/>
          <w:sz w:val="22"/>
          <w:szCs w:val="22"/>
        </w:rPr>
        <w:t>13.</w:t>
      </w:r>
      <w:r w:rsidRPr="00CD36E9">
        <w:rPr>
          <w:rFonts w:ascii="Book Antiqua" w:hAnsi="Book Antiqua"/>
          <w:color w:val="000000"/>
          <w:sz w:val="22"/>
          <w:szCs w:val="22"/>
        </w:rPr>
        <w:tab/>
        <w:t>Dr Noman, a consultant at the Chittagong Eye C</w:t>
      </w:r>
      <w:r w:rsidR="00E17240" w:rsidRPr="00CD36E9">
        <w:rPr>
          <w:rFonts w:ascii="Book Antiqua" w:hAnsi="Book Antiqua"/>
          <w:color w:val="000000"/>
          <w:sz w:val="22"/>
          <w:szCs w:val="22"/>
        </w:rPr>
        <w:t xml:space="preserve">are </w:t>
      </w:r>
      <w:proofErr w:type="spellStart"/>
      <w:r w:rsidR="00E17240" w:rsidRPr="00CD36E9">
        <w:rPr>
          <w:rFonts w:ascii="Book Antiqua" w:hAnsi="Book Antiqua"/>
          <w:color w:val="000000"/>
          <w:sz w:val="22"/>
          <w:szCs w:val="22"/>
        </w:rPr>
        <w:t>Center</w:t>
      </w:r>
      <w:proofErr w:type="spellEnd"/>
      <w:r w:rsidRPr="00CD36E9">
        <w:rPr>
          <w:rFonts w:ascii="Book Antiqua" w:hAnsi="Book Antiqua"/>
          <w:color w:val="000000"/>
          <w:sz w:val="22"/>
          <w:szCs w:val="22"/>
        </w:rPr>
        <w:t xml:space="preserve">, stated that the appellant was suffering from glaucoma. He had lost the vision in one eye and the other eye had </w:t>
      </w:r>
      <w:r w:rsidRPr="00CD36E9">
        <w:rPr>
          <w:rFonts w:ascii="Book Antiqua" w:hAnsi="Book Antiqua"/>
          <w:i/>
          <w:color w:val="000000"/>
          <w:sz w:val="22"/>
          <w:szCs w:val="22"/>
        </w:rPr>
        <w:t>“few percentage of eye vision”</w:t>
      </w:r>
      <w:r w:rsidRPr="00CD36E9">
        <w:rPr>
          <w:rFonts w:ascii="Book Antiqua" w:hAnsi="Book Antiqua"/>
          <w:color w:val="000000"/>
          <w:sz w:val="22"/>
          <w:szCs w:val="22"/>
        </w:rPr>
        <w:t xml:space="preserve">. He concluded: </w:t>
      </w:r>
      <w:r w:rsidRPr="00CD36E9">
        <w:rPr>
          <w:rFonts w:ascii="Book Antiqua" w:hAnsi="Book Antiqua"/>
          <w:i/>
          <w:color w:val="000000"/>
          <w:sz w:val="22"/>
          <w:szCs w:val="22"/>
        </w:rPr>
        <w:t>“He is in danger conditions as he might be completely blind in future and it is advisable to look for better treatment somewhere as this is not available in Bangladesh”</w:t>
      </w:r>
      <w:r w:rsidRPr="00CD36E9">
        <w:rPr>
          <w:rFonts w:ascii="Book Antiqua" w:hAnsi="Book Antiqua"/>
          <w:color w:val="000000"/>
          <w:sz w:val="22"/>
          <w:szCs w:val="22"/>
        </w:rPr>
        <w:t>.”</w:t>
      </w:r>
    </w:p>
    <w:p w14:paraId="040D6EA0" w14:textId="77777777" w:rsidR="00555F13" w:rsidRDefault="00906245" w:rsidP="00CD36E9">
      <w:pPr>
        <w:spacing w:before="160"/>
        <w:ind w:left="567" w:hanging="567"/>
        <w:jc w:val="both"/>
        <w:rPr>
          <w:rFonts w:ascii="Book Antiqua" w:hAnsi="Book Antiqua"/>
        </w:rPr>
      </w:pPr>
      <w:r>
        <w:rPr>
          <w:rFonts w:ascii="Book Antiqua" w:hAnsi="Book Antiqua"/>
        </w:rPr>
        <w:t>12.</w:t>
      </w:r>
      <w:r>
        <w:rPr>
          <w:rFonts w:ascii="Book Antiqua" w:hAnsi="Book Antiqua"/>
        </w:rPr>
        <w:tab/>
        <w:t>The medical evidence shows that the appellant has been diagnosed with a range of serious medical conditions includin</w:t>
      </w:r>
      <w:r w:rsidR="00FC1493">
        <w:rPr>
          <w:rFonts w:ascii="Book Antiqua" w:hAnsi="Book Antiqua"/>
        </w:rPr>
        <w:t xml:space="preserve">g epilepsy, </w:t>
      </w:r>
      <w:r w:rsidR="00FC1493" w:rsidRPr="00E445FA">
        <w:rPr>
          <w:rFonts w:ascii="Book Antiqua" w:hAnsi="Book Antiqua"/>
        </w:rPr>
        <w:t>schizophrenia</w:t>
      </w:r>
      <w:r w:rsidR="00FC1493">
        <w:rPr>
          <w:rFonts w:ascii="Book Antiqua" w:hAnsi="Book Antiqua"/>
        </w:rPr>
        <w:t xml:space="preserve"> and glaucoma in both eyes (blind in one eye and limited and deteriorating vision in the other). Although the reports are limited in nature, there is no dispute that the appellant </w:t>
      </w:r>
      <w:r w:rsidR="00C97B45">
        <w:rPr>
          <w:rFonts w:ascii="Book Antiqua" w:hAnsi="Book Antiqua"/>
        </w:rPr>
        <w:t>suffers</w:t>
      </w:r>
      <w:r w:rsidR="00FC1493">
        <w:rPr>
          <w:rFonts w:ascii="Book Antiqua" w:hAnsi="Book Antiqua"/>
        </w:rPr>
        <w:t xml:space="preserve"> from these conditions. </w:t>
      </w:r>
    </w:p>
    <w:p w14:paraId="1259919F" w14:textId="77777777" w:rsidR="00906245" w:rsidRDefault="00FC1493" w:rsidP="00CD36E9">
      <w:pPr>
        <w:spacing w:before="160"/>
        <w:ind w:left="567" w:hanging="567"/>
        <w:jc w:val="both"/>
        <w:rPr>
          <w:rFonts w:ascii="Book Antiqua" w:hAnsi="Book Antiqua"/>
        </w:rPr>
      </w:pPr>
      <w:r>
        <w:rPr>
          <w:rFonts w:ascii="Book Antiqua" w:hAnsi="Book Antiqua"/>
        </w:rPr>
        <w:t>13.</w:t>
      </w:r>
      <w:r>
        <w:rPr>
          <w:rFonts w:ascii="Book Antiqua" w:hAnsi="Book Antiqua"/>
        </w:rPr>
        <w:tab/>
        <w:t xml:space="preserve">The appellant’s sponsor, </w:t>
      </w:r>
      <w:r w:rsidR="00E445FA">
        <w:rPr>
          <w:rFonts w:ascii="Book Antiqua" w:hAnsi="Book Antiqua"/>
        </w:rPr>
        <w:t>SM</w:t>
      </w:r>
      <w:r>
        <w:rPr>
          <w:rFonts w:ascii="Book Antiqua" w:hAnsi="Book Antiqua"/>
        </w:rPr>
        <w:t>, is the appellant’s brother in law. He has taken responsibility for the appellant’s care</w:t>
      </w:r>
      <w:r w:rsidR="00AE6BC6">
        <w:rPr>
          <w:rFonts w:ascii="Book Antiqua" w:hAnsi="Book Antiqua"/>
        </w:rPr>
        <w:t xml:space="preserve"> since his father in law died</w:t>
      </w:r>
      <w:r w:rsidR="00F079DC">
        <w:rPr>
          <w:rFonts w:ascii="Book Antiqua" w:hAnsi="Book Antiqua"/>
        </w:rPr>
        <w:t xml:space="preserve"> in 2009</w:t>
      </w:r>
      <w:r>
        <w:rPr>
          <w:rFonts w:ascii="Book Antiqua" w:hAnsi="Book Antiqua"/>
        </w:rPr>
        <w:t xml:space="preserve">. The appellant’s sister and mother live with </w:t>
      </w:r>
      <w:r w:rsidR="00E445FA">
        <w:rPr>
          <w:rFonts w:ascii="Book Antiqua" w:hAnsi="Book Antiqua"/>
        </w:rPr>
        <w:t>SM</w:t>
      </w:r>
      <w:r>
        <w:rPr>
          <w:rFonts w:ascii="Book Antiqua" w:hAnsi="Book Antiqua"/>
        </w:rPr>
        <w:t xml:space="preserve"> in the UK. First-tier Tribunal Judge Callow found </w:t>
      </w:r>
      <w:r w:rsidR="00E445FA">
        <w:rPr>
          <w:rFonts w:ascii="Book Antiqua" w:hAnsi="Book Antiqua"/>
        </w:rPr>
        <w:t>SM</w:t>
      </w:r>
      <w:r>
        <w:rPr>
          <w:rFonts w:ascii="Book Antiqua" w:hAnsi="Book Antiqua"/>
        </w:rPr>
        <w:t xml:space="preserve"> to be a credible witness. </w:t>
      </w:r>
      <w:r w:rsidR="00E303E6">
        <w:rPr>
          <w:rFonts w:ascii="Book Antiqua" w:hAnsi="Book Antiqua"/>
        </w:rPr>
        <w:t xml:space="preserve">I have also had the opportunity to hear evidence from </w:t>
      </w:r>
      <w:r w:rsidR="00E445FA">
        <w:rPr>
          <w:rFonts w:ascii="Book Antiqua" w:hAnsi="Book Antiqua"/>
        </w:rPr>
        <w:t>SM</w:t>
      </w:r>
      <w:r w:rsidR="00E303E6">
        <w:rPr>
          <w:rFonts w:ascii="Book Antiqua" w:hAnsi="Book Antiqua"/>
        </w:rPr>
        <w:t xml:space="preserve"> and his wife</w:t>
      </w:r>
      <w:r w:rsidR="00AE6BC6">
        <w:rPr>
          <w:rFonts w:ascii="Book Antiqua" w:hAnsi="Book Antiqua"/>
        </w:rPr>
        <w:t>,</w:t>
      </w:r>
      <w:r w:rsidR="00B01E77">
        <w:rPr>
          <w:rFonts w:ascii="Book Antiqua" w:hAnsi="Book Antiqua"/>
        </w:rPr>
        <w:t xml:space="preserve"> </w:t>
      </w:r>
      <w:r w:rsidR="00E445FA">
        <w:rPr>
          <w:rFonts w:ascii="Book Antiqua" w:hAnsi="Book Antiqua"/>
        </w:rPr>
        <w:t>KB</w:t>
      </w:r>
      <w:r w:rsidR="00E303E6">
        <w:rPr>
          <w:rFonts w:ascii="Book Antiqua" w:hAnsi="Book Antiqua"/>
        </w:rPr>
        <w:t xml:space="preserve">. They gave their evidence in an open and natural manner. I have been given no reason </w:t>
      </w:r>
      <w:r w:rsidR="00E17240">
        <w:rPr>
          <w:rFonts w:ascii="Book Antiqua" w:hAnsi="Book Antiqua"/>
        </w:rPr>
        <w:t>to doubt their evidence and found</w:t>
      </w:r>
      <w:r w:rsidR="00E303E6">
        <w:rPr>
          <w:rFonts w:ascii="Book Antiqua" w:hAnsi="Book Antiqua"/>
        </w:rPr>
        <w:t xml:space="preserve"> them to be credible witnesses. </w:t>
      </w:r>
    </w:p>
    <w:p w14:paraId="11343BA9" w14:textId="30D6BF2D" w:rsidR="00101C7B" w:rsidRDefault="00E303E6" w:rsidP="00CD36E9">
      <w:pPr>
        <w:spacing w:before="160"/>
        <w:ind w:left="567" w:hanging="567"/>
        <w:jc w:val="both"/>
        <w:rPr>
          <w:rFonts w:ascii="Book Antiqua" w:hAnsi="Book Antiqua"/>
        </w:rPr>
      </w:pPr>
      <w:r>
        <w:rPr>
          <w:rFonts w:ascii="Book Antiqua" w:hAnsi="Book Antiqua"/>
        </w:rPr>
        <w:t>14.</w:t>
      </w:r>
      <w:r>
        <w:rPr>
          <w:rFonts w:ascii="Book Antiqua" w:hAnsi="Book Antiqua"/>
        </w:rPr>
        <w:tab/>
      </w:r>
      <w:r w:rsidR="00E445FA">
        <w:rPr>
          <w:rFonts w:ascii="Book Antiqua" w:hAnsi="Book Antiqua"/>
        </w:rPr>
        <w:t>SM</w:t>
      </w:r>
      <w:r>
        <w:rPr>
          <w:rFonts w:ascii="Book Antiqua" w:hAnsi="Book Antiqua"/>
        </w:rPr>
        <w:t xml:space="preserve"> described an increasingly desperate situation in which he has attempted to support his brother in law at a distance from the UK. The fact that </w:t>
      </w:r>
      <w:r w:rsidR="00E445FA">
        <w:rPr>
          <w:rFonts w:ascii="Book Antiqua" w:hAnsi="Book Antiqua"/>
        </w:rPr>
        <w:t>SM</w:t>
      </w:r>
      <w:r>
        <w:rPr>
          <w:rFonts w:ascii="Book Antiqua" w:hAnsi="Book Antiqua"/>
        </w:rPr>
        <w:t xml:space="preserve"> has taken responsibility for the appellant’s welfare indicates that </w:t>
      </w:r>
      <w:r w:rsidR="00107892">
        <w:rPr>
          <w:rFonts w:ascii="Book Antiqua" w:hAnsi="Book Antiqua"/>
        </w:rPr>
        <w:t xml:space="preserve">the appellant has </w:t>
      </w:r>
      <w:r>
        <w:rPr>
          <w:rFonts w:ascii="Book Antiqua" w:hAnsi="Book Antiqua"/>
        </w:rPr>
        <w:t>no direct relative</w:t>
      </w:r>
      <w:r w:rsidR="00107892">
        <w:rPr>
          <w:rFonts w:ascii="Book Antiqua" w:hAnsi="Book Antiqua"/>
        </w:rPr>
        <w:t>s</w:t>
      </w:r>
      <w:r>
        <w:rPr>
          <w:rFonts w:ascii="Book Antiqua" w:hAnsi="Book Antiqua"/>
        </w:rPr>
        <w:t xml:space="preserve"> </w:t>
      </w:r>
      <w:r w:rsidR="00107892">
        <w:rPr>
          <w:rFonts w:ascii="Book Antiqua" w:hAnsi="Book Antiqua"/>
        </w:rPr>
        <w:t>in Bangladesh who are</w:t>
      </w:r>
      <w:r>
        <w:rPr>
          <w:rFonts w:ascii="Book Antiqua" w:hAnsi="Book Antiqua"/>
        </w:rPr>
        <w:t xml:space="preserve"> willing </w:t>
      </w:r>
      <w:r w:rsidR="00B01E77">
        <w:rPr>
          <w:rFonts w:ascii="Book Antiqua" w:hAnsi="Book Antiqua"/>
        </w:rPr>
        <w:t xml:space="preserve">or able </w:t>
      </w:r>
      <w:r>
        <w:rPr>
          <w:rFonts w:ascii="Book Antiqua" w:hAnsi="Book Antiqua"/>
        </w:rPr>
        <w:t xml:space="preserve">to assume responsibility for his care. </w:t>
      </w:r>
      <w:r w:rsidR="00107892">
        <w:rPr>
          <w:rFonts w:ascii="Book Antiqua" w:hAnsi="Book Antiqua"/>
        </w:rPr>
        <w:t xml:space="preserve">His mother and sister live in the UK. </w:t>
      </w:r>
      <w:r w:rsidR="00101C7B">
        <w:rPr>
          <w:rFonts w:ascii="Book Antiqua" w:hAnsi="Book Antiqua"/>
        </w:rPr>
        <w:t xml:space="preserve">His other sister lives in Canada and a brother lives in India. </w:t>
      </w:r>
      <w:r w:rsidR="00E17240">
        <w:rPr>
          <w:rFonts w:ascii="Book Antiqua" w:hAnsi="Book Antiqua"/>
        </w:rPr>
        <w:t xml:space="preserve">Although another relative, </w:t>
      </w:r>
      <w:r w:rsidR="00E445FA">
        <w:rPr>
          <w:rFonts w:ascii="Book Antiqua" w:hAnsi="Book Antiqua"/>
        </w:rPr>
        <w:t>TB</w:t>
      </w:r>
      <w:r w:rsidR="00E17240">
        <w:rPr>
          <w:rFonts w:ascii="Book Antiqua" w:hAnsi="Book Antiqua"/>
        </w:rPr>
        <w:t xml:space="preserve">, has assisted </w:t>
      </w:r>
      <w:r w:rsidR="00171FFA">
        <w:rPr>
          <w:rFonts w:ascii="Book Antiqua" w:hAnsi="Book Antiqua"/>
        </w:rPr>
        <w:t xml:space="preserve">SM </w:t>
      </w:r>
      <w:r w:rsidR="00597BD3">
        <w:rPr>
          <w:rFonts w:ascii="Book Antiqua" w:hAnsi="Book Antiqua"/>
        </w:rPr>
        <w:t>to make</w:t>
      </w:r>
      <w:r w:rsidR="00E17240">
        <w:rPr>
          <w:rFonts w:ascii="Book Antiqua" w:hAnsi="Book Antiqua"/>
        </w:rPr>
        <w:t xml:space="preserve"> enquiries about possible care </w:t>
      </w:r>
      <w:r w:rsidR="00F079DC">
        <w:rPr>
          <w:rFonts w:ascii="Book Antiqua" w:hAnsi="Book Antiqua"/>
        </w:rPr>
        <w:t>services</w:t>
      </w:r>
      <w:r w:rsidR="00E17240">
        <w:rPr>
          <w:rFonts w:ascii="Book Antiqua" w:hAnsi="Book Antiqua"/>
        </w:rPr>
        <w:t xml:space="preserve"> in Bangladesh, he is a distant relative who makes clear in his statement that he is not </w:t>
      </w:r>
      <w:proofErr w:type="gramStart"/>
      <w:r w:rsidR="00E17240">
        <w:rPr>
          <w:rFonts w:ascii="Book Antiqua" w:hAnsi="Book Antiqua"/>
        </w:rPr>
        <w:t xml:space="preserve">in a </w:t>
      </w:r>
      <w:r w:rsidR="00F079DC">
        <w:rPr>
          <w:rFonts w:ascii="Book Antiqua" w:hAnsi="Book Antiqua"/>
        </w:rPr>
        <w:t>position to</w:t>
      </w:r>
      <w:proofErr w:type="gramEnd"/>
      <w:r w:rsidR="00F079DC">
        <w:rPr>
          <w:rFonts w:ascii="Book Antiqua" w:hAnsi="Book Antiqua"/>
        </w:rPr>
        <w:t xml:space="preserve"> care for the appellant. </w:t>
      </w:r>
    </w:p>
    <w:p w14:paraId="1BE16D08" w14:textId="77777777" w:rsidR="00AB5EA3" w:rsidRDefault="00101C7B" w:rsidP="00CD36E9">
      <w:pPr>
        <w:spacing w:before="160"/>
        <w:ind w:left="567" w:hanging="567"/>
        <w:jc w:val="both"/>
        <w:rPr>
          <w:rFonts w:ascii="Book Antiqua" w:hAnsi="Book Antiqua"/>
        </w:rPr>
      </w:pPr>
      <w:r>
        <w:rPr>
          <w:rFonts w:ascii="Book Antiqua" w:hAnsi="Book Antiqua"/>
        </w:rPr>
        <w:t>15.</w:t>
      </w:r>
      <w:r>
        <w:rPr>
          <w:rFonts w:ascii="Book Antiqua" w:hAnsi="Book Antiqua"/>
        </w:rPr>
        <w:tab/>
      </w:r>
      <w:r w:rsidR="00E445FA">
        <w:rPr>
          <w:rFonts w:ascii="Book Antiqua" w:hAnsi="Book Antiqua"/>
        </w:rPr>
        <w:t>SM</w:t>
      </w:r>
      <w:r w:rsidR="00E303E6">
        <w:rPr>
          <w:rFonts w:ascii="Book Antiqua" w:hAnsi="Book Antiqua"/>
        </w:rPr>
        <w:t xml:space="preserve"> </w:t>
      </w:r>
      <w:r w:rsidR="00AE6BC6">
        <w:rPr>
          <w:rFonts w:ascii="Book Antiqua" w:hAnsi="Book Antiqua"/>
        </w:rPr>
        <w:t>arranged</w:t>
      </w:r>
      <w:r w:rsidR="00E303E6">
        <w:rPr>
          <w:rFonts w:ascii="Book Antiqua" w:hAnsi="Book Antiqua"/>
        </w:rPr>
        <w:t xml:space="preserve"> for his brother, </w:t>
      </w:r>
      <w:r w:rsidR="00E445FA">
        <w:rPr>
          <w:rFonts w:ascii="Book Antiqua" w:hAnsi="Book Antiqua"/>
        </w:rPr>
        <w:t>MC</w:t>
      </w:r>
      <w:r w:rsidR="00107892">
        <w:rPr>
          <w:rFonts w:ascii="Book Antiqua" w:hAnsi="Book Antiqua"/>
        </w:rPr>
        <w:t xml:space="preserve"> </w:t>
      </w:r>
      <w:r w:rsidR="00E303E6">
        <w:rPr>
          <w:rFonts w:ascii="Book Antiqua" w:hAnsi="Book Antiqua"/>
        </w:rPr>
        <w:t xml:space="preserve">(who is not a direct relative of the appellant), to accommodate </w:t>
      </w:r>
      <w:r w:rsidR="00AB5EA3">
        <w:rPr>
          <w:rFonts w:ascii="Book Antiqua" w:hAnsi="Book Antiqua"/>
        </w:rPr>
        <w:t>him</w:t>
      </w:r>
      <w:r w:rsidR="00E303E6">
        <w:rPr>
          <w:rFonts w:ascii="Book Antiqua" w:hAnsi="Book Antiqua"/>
        </w:rPr>
        <w:t xml:space="preserve">. </w:t>
      </w:r>
      <w:r w:rsidR="00107892">
        <w:rPr>
          <w:rFonts w:ascii="Book Antiqua" w:hAnsi="Book Antiqua"/>
        </w:rPr>
        <w:t>The appellant has lived</w:t>
      </w:r>
      <w:r w:rsidR="00E303E6">
        <w:rPr>
          <w:rFonts w:ascii="Book Antiqua" w:hAnsi="Book Antiqua"/>
        </w:rPr>
        <w:t xml:space="preserve"> with </w:t>
      </w:r>
      <w:r w:rsidR="00E445FA">
        <w:rPr>
          <w:rFonts w:ascii="Book Antiqua" w:hAnsi="Book Antiqua"/>
        </w:rPr>
        <w:t>SM</w:t>
      </w:r>
      <w:r w:rsidR="00107892">
        <w:rPr>
          <w:rFonts w:ascii="Book Antiqua" w:hAnsi="Book Antiqua"/>
        </w:rPr>
        <w:t xml:space="preserve">’s brother </w:t>
      </w:r>
      <w:r>
        <w:rPr>
          <w:rFonts w:ascii="Book Antiqua" w:hAnsi="Book Antiqua"/>
        </w:rPr>
        <w:t xml:space="preserve">for </w:t>
      </w:r>
      <w:proofErr w:type="gramStart"/>
      <w:r>
        <w:rPr>
          <w:rFonts w:ascii="Book Antiqua" w:hAnsi="Book Antiqua"/>
        </w:rPr>
        <w:t>a number of</w:t>
      </w:r>
      <w:proofErr w:type="gramEnd"/>
      <w:r>
        <w:rPr>
          <w:rFonts w:ascii="Book Antiqua" w:hAnsi="Book Antiqua"/>
        </w:rPr>
        <w:t xml:space="preserve"> years. It seems that this was a financial agreement whereby </w:t>
      </w:r>
      <w:r w:rsidR="00E445FA">
        <w:rPr>
          <w:rFonts w:ascii="Book Antiqua" w:hAnsi="Book Antiqua"/>
        </w:rPr>
        <w:t>SM</w:t>
      </w:r>
      <w:r>
        <w:rPr>
          <w:rFonts w:ascii="Book Antiqua" w:hAnsi="Book Antiqua"/>
        </w:rPr>
        <w:t xml:space="preserve"> pays his brother a sum of money each month to accommodate the appellant. However, it seems clear that the arrangement has come under increasing strain and that </w:t>
      </w:r>
      <w:r w:rsidR="00E445FA">
        <w:rPr>
          <w:rFonts w:ascii="Book Antiqua" w:hAnsi="Book Antiqua"/>
        </w:rPr>
        <w:t>SM</w:t>
      </w:r>
      <w:r>
        <w:rPr>
          <w:rFonts w:ascii="Book Antiqua" w:hAnsi="Book Antiqua"/>
        </w:rPr>
        <w:t xml:space="preserve">’s brother has only agreed to accommodate the appellant under sufferance in the last </w:t>
      </w:r>
      <w:r w:rsidR="008C6C6D">
        <w:rPr>
          <w:rFonts w:ascii="Book Antiqua" w:hAnsi="Book Antiqua"/>
        </w:rPr>
        <w:t>few</w:t>
      </w:r>
      <w:r>
        <w:rPr>
          <w:rFonts w:ascii="Book Antiqua" w:hAnsi="Book Antiqua"/>
        </w:rPr>
        <w:t xml:space="preserve"> years. </w:t>
      </w:r>
    </w:p>
    <w:p w14:paraId="32208CF2" w14:textId="77777777" w:rsidR="00906245" w:rsidRDefault="00AB5EA3" w:rsidP="00CD36E9">
      <w:pPr>
        <w:spacing w:before="160"/>
        <w:ind w:left="567" w:hanging="567"/>
        <w:jc w:val="both"/>
        <w:rPr>
          <w:rFonts w:ascii="Book Antiqua" w:hAnsi="Book Antiqua"/>
        </w:rPr>
      </w:pPr>
      <w:r>
        <w:rPr>
          <w:rFonts w:ascii="Book Antiqua" w:hAnsi="Book Antiqua"/>
        </w:rPr>
        <w:t>16.</w:t>
      </w:r>
      <w:r>
        <w:rPr>
          <w:rFonts w:ascii="Book Antiqua" w:hAnsi="Book Antiqua"/>
        </w:rPr>
        <w:tab/>
      </w:r>
      <w:r w:rsidR="00E445FA">
        <w:rPr>
          <w:rFonts w:ascii="Book Antiqua" w:hAnsi="Book Antiqua"/>
        </w:rPr>
        <w:t>MC</w:t>
      </w:r>
      <w:r w:rsidR="00101C7B">
        <w:rPr>
          <w:rFonts w:ascii="Book Antiqua" w:hAnsi="Book Antiqua"/>
        </w:rPr>
        <w:t xml:space="preserve"> wrote a letter on 02 September 2016 to say that he is no longer able to look after the appellant because his daughter is grown up. The sub-text that became apparent at the </w:t>
      </w:r>
      <w:r w:rsidR="00AE6BC6">
        <w:rPr>
          <w:rFonts w:ascii="Book Antiqua" w:hAnsi="Book Antiqua"/>
        </w:rPr>
        <w:t>hearing is that t</w:t>
      </w:r>
      <w:r w:rsidR="00B01E77">
        <w:rPr>
          <w:rFonts w:ascii="Book Antiqua" w:hAnsi="Book Antiqua"/>
        </w:rPr>
        <w:t>he appellant is not permitted t</w:t>
      </w:r>
      <w:r w:rsidR="00101C7B">
        <w:rPr>
          <w:rFonts w:ascii="Book Antiqua" w:hAnsi="Book Antiqua"/>
        </w:rPr>
        <w:t xml:space="preserve">o be in the house with </w:t>
      </w:r>
      <w:r w:rsidR="00E445FA">
        <w:rPr>
          <w:rFonts w:ascii="Book Antiqua" w:hAnsi="Book Antiqua"/>
        </w:rPr>
        <w:t>MC</w:t>
      </w:r>
      <w:r w:rsidR="00AE6BC6">
        <w:rPr>
          <w:rFonts w:ascii="Book Antiqua" w:hAnsi="Book Antiqua"/>
        </w:rPr>
        <w:t xml:space="preserve">’s </w:t>
      </w:r>
      <w:r w:rsidR="00101C7B">
        <w:rPr>
          <w:rFonts w:ascii="Book Antiqua" w:hAnsi="Book Antiqua"/>
        </w:rPr>
        <w:t xml:space="preserve">unmarried daughter. This is </w:t>
      </w:r>
      <w:r w:rsidR="00411E9D">
        <w:rPr>
          <w:rFonts w:ascii="Book Antiqua" w:hAnsi="Book Antiqua"/>
        </w:rPr>
        <w:t xml:space="preserve">consistent </w:t>
      </w:r>
      <w:r>
        <w:rPr>
          <w:rFonts w:ascii="Book Antiqua" w:hAnsi="Book Antiqua"/>
        </w:rPr>
        <w:t>with</w:t>
      </w:r>
      <w:r w:rsidR="00101C7B">
        <w:rPr>
          <w:rFonts w:ascii="Book Antiqua" w:hAnsi="Book Antiqua"/>
        </w:rPr>
        <w:t xml:space="preserve"> social mores in Bangladesh. </w:t>
      </w:r>
      <w:r w:rsidR="00E445FA">
        <w:rPr>
          <w:rFonts w:ascii="Book Antiqua" w:hAnsi="Book Antiqua"/>
        </w:rPr>
        <w:t>SM</w:t>
      </w:r>
      <w:r w:rsidR="00101C7B">
        <w:rPr>
          <w:rFonts w:ascii="Book Antiqua" w:hAnsi="Book Antiqua"/>
        </w:rPr>
        <w:t xml:space="preserve"> explained that the consequence is that the appellant is not permitted to remain in the house during the day and is only allowed back to the house </w:t>
      </w:r>
      <w:r>
        <w:rPr>
          <w:rFonts w:ascii="Book Antiqua" w:hAnsi="Book Antiqua"/>
        </w:rPr>
        <w:t>in the evening</w:t>
      </w:r>
      <w:r w:rsidR="00B01E77">
        <w:rPr>
          <w:rFonts w:ascii="Book Antiqua" w:hAnsi="Book Antiqua"/>
        </w:rPr>
        <w:t xml:space="preserve"> when his brother returns home</w:t>
      </w:r>
      <w:r w:rsidR="00101C7B">
        <w:rPr>
          <w:rFonts w:ascii="Book Antiqua" w:hAnsi="Book Antiqua"/>
        </w:rPr>
        <w:t xml:space="preserve">. This </w:t>
      </w:r>
      <w:r>
        <w:rPr>
          <w:rFonts w:ascii="Book Antiqua" w:hAnsi="Book Antiqua"/>
        </w:rPr>
        <w:t>situation renders</w:t>
      </w:r>
      <w:r w:rsidR="00101C7B">
        <w:rPr>
          <w:rFonts w:ascii="Book Antiqua" w:hAnsi="Book Antiqua"/>
        </w:rPr>
        <w:t xml:space="preserve"> the appellant particularly vulnerable given his disabilities. He spends </w:t>
      </w:r>
      <w:r>
        <w:rPr>
          <w:rFonts w:ascii="Book Antiqua" w:hAnsi="Book Antiqua"/>
        </w:rPr>
        <w:t xml:space="preserve">his </w:t>
      </w:r>
      <w:r w:rsidR="00101C7B">
        <w:rPr>
          <w:rFonts w:ascii="Book Antiqua" w:hAnsi="Book Antiqua"/>
        </w:rPr>
        <w:t xml:space="preserve">time wandering </w:t>
      </w:r>
      <w:r>
        <w:rPr>
          <w:rFonts w:ascii="Book Antiqua" w:hAnsi="Book Antiqua"/>
        </w:rPr>
        <w:t xml:space="preserve">the streets. In the last year he has been injured in two accidents, the most recent being on 12 June 2018 when his ankle was </w:t>
      </w:r>
      <w:r>
        <w:rPr>
          <w:rFonts w:ascii="Book Antiqua" w:hAnsi="Book Antiqua"/>
        </w:rPr>
        <w:lastRenderedPageBreak/>
        <w:t xml:space="preserve">broken when he was hit by a passing scooter. </w:t>
      </w:r>
      <w:r w:rsidR="00E445FA">
        <w:rPr>
          <w:rFonts w:ascii="Book Antiqua" w:hAnsi="Book Antiqua"/>
        </w:rPr>
        <w:t>SM</w:t>
      </w:r>
      <w:r>
        <w:rPr>
          <w:rFonts w:ascii="Book Antiqua" w:hAnsi="Book Antiqua"/>
        </w:rPr>
        <w:t xml:space="preserve"> has produced </w:t>
      </w:r>
      <w:r w:rsidR="00411E9D">
        <w:rPr>
          <w:rFonts w:ascii="Book Antiqua" w:hAnsi="Book Antiqua"/>
        </w:rPr>
        <w:t xml:space="preserve">medical </w:t>
      </w:r>
      <w:r>
        <w:rPr>
          <w:rFonts w:ascii="Book Antiqua" w:hAnsi="Book Antiqua"/>
        </w:rPr>
        <w:t xml:space="preserve">evidence to support this aspect of </w:t>
      </w:r>
      <w:r w:rsidR="00411E9D">
        <w:rPr>
          <w:rFonts w:ascii="Book Antiqua" w:hAnsi="Book Antiqua"/>
        </w:rPr>
        <w:t>h</w:t>
      </w:r>
      <w:r>
        <w:rPr>
          <w:rFonts w:ascii="Book Antiqua" w:hAnsi="Book Antiqua"/>
        </w:rPr>
        <w:t xml:space="preserve">is account. </w:t>
      </w:r>
    </w:p>
    <w:p w14:paraId="25CBECDE" w14:textId="77777777" w:rsidR="00F079DC" w:rsidRDefault="00AB5EA3" w:rsidP="00CD36E9">
      <w:pPr>
        <w:spacing w:before="160"/>
        <w:ind w:left="567" w:hanging="567"/>
        <w:jc w:val="both"/>
        <w:rPr>
          <w:rFonts w:ascii="Book Antiqua" w:hAnsi="Book Antiqua"/>
        </w:rPr>
      </w:pPr>
      <w:r>
        <w:rPr>
          <w:rFonts w:ascii="Book Antiqua" w:hAnsi="Book Antiqua"/>
        </w:rPr>
        <w:t>17.</w:t>
      </w:r>
      <w:r>
        <w:rPr>
          <w:rFonts w:ascii="Book Antiqua" w:hAnsi="Book Antiqua"/>
        </w:rPr>
        <w:tab/>
      </w:r>
      <w:r w:rsidR="00E445FA">
        <w:rPr>
          <w:rFonts w:ascii="Book Antiqua" w:hAnsi="Book Antiqua"/>
        </w:rPr>
        <w:t>KB</w:t>
      </w:r>
      <w:r w:rsidR="00B01E77">
        <w:rPr>
          <w:rFonts w:ascii="Book Antiqua" w:hAnsi="Book Antiqua"/>
        </w:rPr>
        <w:t xml:space="preserve"> is clearly distressed by her brother’s </w:t>
      </w:r>
      <w:r w:rsidR="003C6D43">
        <w:rPr>
          <w:rFonts w:ascii="Book Antiqua" w:hAnsi="Book Antiqua"/>
        </w:rPr>
        <w:t>circumstances</w:t>
      </w:r>
      <w:r w:rsidR="00B01E77">
        <w:rPr>
          <w:rFonts w:ascii="Book Antiqua" w:hAnsi="Book Antiqua"/>
        </w:rPr>
        <w:t xml:space="preserve"> and gave evidence about the current situation in </w:t>
      </w:r>
      <w:r w:rsidR="00474A5A">
        <w:rPr>
          <w:rFonts w:ascii="Book Antiqua" w:hAnsi="Book Antiqua"/>
        </w:rPr>
        <w:t>e</w:t>
      </w:r>
      <w:r w:rsidR="00B01E77">
        <w:rPr>
          <w:rFonts w:ascii="Book Antiqua" w:hAnsi="Book Antiqua"/>
        </w:rPr>
        <w:t xml:space="preserve">motive terms. She described the situation as one of </w:t>
      </w:r>
      <w:r w:rsidR="00806F77">
        <w:rPr>
          <w:rFonts w:ascii="Book Antiqua" w:hAnsi="Book Antiqua"/>
        </w:rPr>
        <w:t xml:space="preserve">neglect and abuse </w:t>
      </w:r>
      <w:r w:rsidR="00411E9D">
        <w:rPr>
          <w:rFonts w:ascii="Book Antiqua" w:hAnsi="Book Antiqua"/>
        </w:rPr>
        <w:t xml:space="preserve">by the host family, </w:t>
      </w:r>
      <w:r w:rsidR="00806F77">
        <w:rPr>
          <w:rFonts w:ascii="Book Antiqua" w:hAnsi="Book Antiqua"/>
        </w:rPr>
        <w:t>despite the funds that they send every month.</w:t>
      </w:r>
      <w:r w:rsidR="00411E9D">
        <w:rPr>
          <w:rFonts w:ascii="Book Antiqua" w:hAnsi="Book Antiqua"/>
        </w:rPr>
        <w:t xml:space="preserve"> They do not </w:t>
      </w:r>
      <w:r w:rsidR="00F079DC">
        <w:rPr>
          <w:rFonts w:ascii="Book Antiqua" w:hAnsi="Book Antiqua"/>
        </w:rPr>
        <w:t xml:space="preserve">help </w:t>
      </w:r>
      <w:r w:rsidR="00411E9D">
        <w:rPr>
          <w:rFonts w:ascii="Book Antiqua" w:hAnsi="Book Antiqua"/>
        </w:rPr>
        <w:t xml:space="preserve">him to obtain or take his medication. </w:t>
      </w:r>
      <w:r w:rsidR="00285292">
        <w:rPr>
          <w:rFonts w:ascii="Book Antiqua" w:hAnsi="Book Antiqua"/>
        </w:rPr>
        <w:t>SM</w:t>
      </w:r>
      <w:r w:rsidR="00F079DC">
        <w:rPr>
          <w:rFonts w:ascii="Book Antiqua" w:hAnsi="Book Antiqua"/>
        </w:rPr>
        <w:t xml:space="preserve"> said that he used to buy several months’ supply of medication for the appellant, but had not done so for some time because there was no one there to help him take the medication. The appellant was unable to administer the medication himself because of his poor eyesight. Although it is not stated in terms, I find that it </w:t>
      </w:r>
      <w:r w:rsidR="00844C0D">
        <w:rPr>
          <w:rFonts w:ascii="Book Antiqua" w:hAnsi="Book Antiqua"/>
        </w:rPr>
        <w:t xml:space="preserve">is reasonable to infer that a person who has been diagnosed with schizophrenia, who has not taken medication for some time, might not be well enough to administer their own medication. </w:t>
      </w:r>
    </w:p>
    <w:p w14:paraId="1B4AC908" w14:textId="77777777" w:rsidR="00AB5EA3" w:rsidRDefault="00F079DC" w:rsidP="00CD36E9">
      <w:pPr>
        <w:spacing w:before="160"/>
        <w:ind w:left="567" w:hanging="567"/>
        <w:jc w:val="both"/>
        <w:rPr>
          <w:rFonts w:ascii="Book Antiqua" w:hAnsi="Book Antiqua"/>
        </w:rPr>
      </w:pPr>
      <w:r>
        <w:rPr>
          <w:rFonts w:ascii="Book Antiqua" w:hAnsi="Book Antiqua"/>
        </w:rPr>
        <w:t>18.</w:t>
      </w:r>
      <w:r>
        <w:rPr>
          <w:rFonts w:ascii="Book Antiqua" w:hAnsi="Book Antiqua"/>
        </w:rPr>
        <w:tab/>
      </w:r>
      <w:r w:rsidR="00285292">
        <w:rPr>
          <w:rFonts w:ascii="Book Antiqua" w:hAnsi="Book Antiqua"/>
        </w:rPr>
        <w:t>KB</w:t>
      </w:r>
      <w:r w:rsidR="00411E9D">
        <w:rPr>
          <w:rFonts w:ascii="Book Antiqua" w:hAnsi="Book Antiqua"/>
        </w:rPr>
        <w:t xml:space="preserve"> told me that her mother, who she cares for in the UK, has </w:t>
      </w:r>
      <w:r w:rsidR="00844C0D">
        <w:rPr>
          <w:rFonts w:ascii="Book Antiqua" w:hAnsi="Book Antiqua"/>
        </w:rPr>
        <w:t>several</w:t>
      </w:r>
      <w:r w:rsidR="00411E9D">
        <w:rPr>
          <w:rFonts w:ascii="Book Antiqua" w:hAnsi="Book Antiqua"/>
        </w:rPr>
        <w:t xml:space="preserve"> </w:t>
      </w:r>
      <w:r w:rsidR="00F527B9">
        <w:rPr>
          <w:rFonts w:ascii="Book Antiqua" w:hAnsi="Book Antiqua"/>
        </w:rPr>
        <w:t>age-</w:t>
      </w:r>
      <w:r w:rsidR="00411E9D">
        <w:rPr>
          <w:rFonts w:ascii="Book Antiqua" w:hAnsi="Book Antiqua"/>
        </w:rPr>
        <w:t>related health issues</w:t>
      </w:r>
      <w:r w:rsidR="00FD266C">
        <w:rPr>
          <w:rFonts w:ascii="Book Antiqua" w:hAnsi="Book Antiqua"/>
        </w:rPr>
        <w:t xml:space="preserve"> and is at the end stage of kidney disease</w:t>
      </w:r>
      <w:r w:rsidR="00411E9D">
        <w:rPr>
          <w:rFonts w:ascii="Book Antiqua" w:hAnsi="Book Antiqua"/>
        </w:rPr>
        <w:t xml:space="preserve">. </w:t>
      </w:r>
      <w:r w:rsidR="00FD266C">
        <w:rPr>
          <w:rFonts w:ascii="Book Antiqua" w:hAnsi="Book Antiqua"/>
        </w:rPr>
        <w:t>The evidence shows that her mother is equally distressed about the appellant’s situation. A letter from the renal medicine clinic at the Royal London Hospital to her GP dated 27/02/17 said:</w:t>
      </w:r>
    </w:p>
    <w:p w14:paraId="1F0EFD38" w14:textId="77777777" w:rsidR="00FD266C" w:rsidRPr="00CD36E9" w:rsidRDefault="00FD266C" w:rsidP="00CD36E9">
      <w:pPr>
        <w:spacing w:before="120"/>
        <w:ind w:left="1134"/>
        <w:jc w:val="both"/>
        <w:rPr>
          <w:rFonts w:ascii="Book Antiqua" w:hAnsi="Book Antiqua"/>
          <w:szCs w:val="22"/>
        </w:rPr>
      </w:pPr>
      <w:r w:rsidRPr="00CD36E9">
        <w:rPr>
          <w:rFonts w:ascii="Book Antiqua" w:hAnsi="Book Antiqua"/>
          <w:szCs w:val="22"/>
        </w:rPr>
        <w:t xml:space="preserve">“Ms </w:t>
      </w:r>
      <w:r w:rsidR="00285292">
        <w:rPr>
          <w:rFonts w:ascii="Book Antiqua" w:hAnsi="Book Antiqua"/>
          <w:szCs w:val="22"/>
        </w:rPr>
        <w:t>[B]</w:t>
      </w:r>
      <w:r w:rsidRPr="00CD36E9">
        <w:rPr>
          <w:rFonts w:ascii="Book Antiqua" w:hAnsi="Book Antiqua"/>
          <w:szCs w:val="22"/>
        </w:rPr>
        <w:t xml:space="preserve"> was reviewed in the Low Clearance Clinic of behalf of Professor Yaqoob. She was accompanied by her daughter who was a practicing general physician in Bangladesh but is now looking after her mother full-time. </w:t>
      </w:r>
    </w:p>
    <w:p w14:paraId="1D15017F" w14:textId="77777777" w:rsidR="00FD266C" w:rsidRPr="00CD36E9" w:rsidRDefault="00FD266C" w:rsidP="00CD36E9">
      <w:pPr>
        <w:spacing w:before="120"/>
        <w:ind w:left="1134"/>
        <w:jc w:val="both"/>
        <w:rPr>
          <w:rFonts w:ascii="Book Antiqua" w:hAnsi="Book Antiqua"/>
          <w:szCs w:val="22"/>
        </w:rPr>
      </w:pPr>
      <w:r w:rsidRPr="00CD36E9">
        <w:rPr>
          <w:rFonts w:ascii="Book Antiqua" w:hAnsi="Book Antiqua"/>
          <w:szCs w:val="22"/>
        </w:rPr>
        <w:t xml:space="preserve">Ms </w:t>
      </w:r>
      <w:r w:rsidR="00285292">
        <w:rPr>
          <w:rFonts w:ascii="Book Antiqua" w:hAnsi="Book Antiqua"/>
          <w:szCs w:val="22"/>
        </w:rPr>
        <w:t>[B]</w:t>
      </w:r>
      <w:r w:rsidRPr="00CD36E9">
        <w:rPr>
          <w:rFonts w:ascii="Book Antiqua" w:hAnsi="Book Antiqua"/>
          <w:szCs w:val="22"/>
        </w:rPr>
        <w:t xml:space="preserve"> is a frail diabetic patient. She is actually 80 years old but her date of birth has been recorded incorrectly on her documentation. Her daughter is very well read on the options and they have collectively come to the decision that dialysis would not be in her best interests and would like to receive supportive care. … Supportive care will prioritise symptom relief at end-stage kidney disease as well as provide all other medical management short of dialysis. Resuscitation was discussed and they are in agreement that she should not be for resus</w:t>
      </w:r>
      <w:r w:rsidR="004F15F3" w:rsidRPr="00CD36E9">
        <w:rPr>
          <w:rFonts w:ascii="Book Antiqua" w:hAnsi="Book Antiqua"/>
          <w:szCs w:val="22"/>
        </w:rPr>
        <w:t xml:space="preserve">citation or interventions greater than non-invasive ventilation (including mechanical ventilation or renal replacement </w:t>
      </w:r>
      <w:proofErr w:type="gramStart"/>
      <w:r w:rsidR="004F15F3" w:rsidRPr="00CD36E9">
        <w:rPr>
          <w:rFonts w:ascii="Book Antiqua" w:hAnsi="Book Antiqua"/>
          <w:szCs w:val="22"/>
        </w:rPr>
        <w:t>therapy)…..</w:t>
      </w:r>
      <w:proofErr w:type="gramEnd"/>
    </w:p>
    <w:p w14:paraId="49E728CC" w14:textId="235FCC9B" w:rsidR="004F15F3" w:rsidRPr="00CD36E9" w:rsidRDefault="004F15F3" w:rsidP="00CD36E9">
      <w:pPr>
        <w:spacing w:before="120"/>
        <w:ind w:left="1134"/>
        <w:jc w:val="both"/>
        <w:rPr>
          <w:rFonts w:ascii="Book Antiqua" w:hAnsi="Book Antiqua"/>
          <w:szCs w:val="22"/>
        </w:rPr>
      </w:pPr>
      <w:r w:rsidRPr="00CD36E9">
        <w:rPr>
          <w:rFonts w:ascii="Book Antiqua" w:hAnsi="Book Antiqua"/>
          <w:szCs w:val="22"/>
        </w:rPr>
        <w:t xml:space="preserve">She is extremely troubled by the plight of her son (S </w:t>
      </w:r>
      <w:r w:rsidR="00730897">
        <w:rPr>
          <w:rFonts w:ascii="Book Antiqua" w:hAnsi="Book Antiqua"/>
          <w:szCs w:val="22"/>
        </w:rPr>
        <w:t>B</w:t>
      </w:r>
      <w:r w:rsidRPr="00CD36E9">
        <w:rPr>
          <w:rFonts w:ascii="Book Antiqua" w:hAnsi="Book Antiqua"/>
          <w:szCs w:val="22"/>
        </w:rPr>
        <w:t>) who remains in Bangladesh. He has epilepsy and schizophrenia and is being neglected and abused at home. Her daughter and her daughter’s husband are being exploited for money and the whole situation is of great stress to her. She broke down in tears when describing their ordeal. A recent application to the Home Office for him to be brought to the UK was declined. Having her suffering son moved here in a safer environment will provide her with greater dignity in the latter years of her life and I hope this could somehow be achieved.”</w:t>
      </w:r>
    </w:p>
    <w:p w14:paraId="4414F4C6" w14:textId="77777777" w:rsidR="00E17240" w:rsidRDefault="00F079DC" w:rsidP="00CD36E9">
      <w:pPr>
        <w:spacing w:before="160"/>
        <w:ind w:left="567" w:hanging="567"/>
        <w:jc w:val="both"/>
        <w:rPr>
          <w:rFonts w:ascii="Book Antiqua" w:hAnsi="Book Antiqua"/>
        </w:rPr>
      </w:pPr>
      <w:r>
        <w:rPr>
          <w:rFonts w:ascii="Book Antiqua" w:hAnsi="Book Antiqua"/>
        </w:rPr>
        <w:t>19.</w:t>
      </w:r>
      <w:r>
        <w:rPr>
          <w:rFonts w:ascii="Book Antiqua" w:hAnsi="Book Antiqua"/>
        </w:rPr>
        <w:tab/>
      </w:r>
      <w:r w:rsidR="00D75220">
        <w:rPr>
          <w:rFonts w:ascii="Book Antiqua" w:hAnsi="Book Antiqua"/>
        </w:rPr>
        <w:t xml:space="preserve">After the recent accident, the appellant was told that he should not put weight on the injured ankle and needed bed rest. </w:t>
      </w:r>
      <w:r w:rsidR="00285292">
        <w:rPr>
          <w:rFonts w:ascii="Book Antiqua" w:hAnsi="Book Antiqua"/>
        </w:rPr>
        <w:t>SM</w:t>
      </w:r>
      <w:r w:rsidR="00D75220">
        <w:rPr>
          <w:rFonts w:ascii="Book Antiqua" w:hAnsi="Book Antiqua"/>
        </w:rPr>
        <w:t>’s brother would not permit him to stay in the house so the only option he had was to move his brother to stay temporarily with his elderly parents in the village. No one else was there to assist the appellant</w:t>
      </w:r>
      <w:r w:rsidR="00474A5A">
        <w:rPr>
          <w:rFonts w:ascii="Book Antiqua" w:hAnsi="Book Antiqua"/>
        </w:rPr>
        <w:t xml:space="preserve">. </w:t>
      </w:r>
      <w:r w:rsidR="00285292">
        <w:rPr>
          <w:rFonts w:ascii="Book Antiqua" w:hAnsi="Book Antiqua"/>
        </w:rPr>
        <w:t>SM</w:t>
      </w:r>
      <w:r w:rsidR="00D75220">
        <w:rPr>
          <w:rFonts w:ascii="Book Antiqua" w:hAnsi="Book Antiqua"/>
        </w:rPr>
        <w:t xml:space="preserve"> </w:t>
      </w:r>
      <w:r w:rsidR="00474A5A">
        <w:rPr>
          <w:rFonts w:ascii="Book Antiqua" w:hAnsi="Book Antiqua"/>
        </w:rPr>
        <w:t>travelled</w:t>
      </w:r>
      <w:r w:rsidR="00D75220">
        <w:rPr>
          <w:rFonts w:ascii="Book Antiqua" w:hAnsi="Book Antiqua"/>
        </w:rPr>
        <w:t xml:space="preserve"> to Bangladesh to find a solution to the problem. </w:t>
      </w:r>
      <w:r w:rsidR="00844C0D">
        <w:rPr>
          <w:rFonts w:ascii="Book Antiqua" w:hAnsi="Book Antiqua"/>
        </w:rPr>
        <w:t xml:space="preserve">However, </w:t>
      </w:r>
      <w:r w:rsidR="00D75220">
        <w:rPr>
          <w:rFonts w:ascii="Book Antiqua" w:hAnsi="Book Antiqua"/>
        </w:rPr>
        <w:t>his parents are</w:t>
      </w:r>
      <w:r w:rsidR="00844C0D">
        <w:rPr>
          <w:rFonts w:ascii="Book Antiqua" w:hAnsi="Book Antiqua"/>
        </w:rPr>
        <w:t xml:space="preserve"> not </w:t>
      </w:r>
      <w:r w:rsidR="00474A5A">
        <w:rPr>
          <w:rFonts w:ascii="Book Antiqua" w:hAnsi="Book Antiqua"/>
        </w:rPr>
        <w:t>able</w:t>
      </w:r>
      <w:r w:rsidR="00BC1D72">
        <w:rPr>
          <w:rFonts w:ascii="Book Antiqua" w:hAnsi="Book Antiqua"/>
        </w:rPr>
        <w:t xml:space="preserve"> to </w:t>
      </w:r>
      <w:r w:rsidR="00474A5A">
        <w:rPr>
          <w:rFonts w:ascii="Book Antiqua" w:hAnsi="Book Antiqua"/>
        </w:rPr>
        <w:t>accommodate</w:t>
      </w:r>
      <w:r w:rsidR="00BC1D72">
        <w:rPr>
          <w:rFonts w:ascii="Book Antiqua" w:hAnsi="Book Antiqua"/>
        </w:rPr>
        <w:t xml:space="preserve"> him for anything more than a temporary period</w:t>
      </w:r>
      <w:r w:rsidR="00D75220">
        <w:rPr>
          <w:rFonts w:ascii="Book Antiqua" w:hAnsi="Book Antiqua"/>
        </w:rPr>
        <w:t xml:space="preserve">. </w:t>
      </w:r>
      <w:r w:rsidR="001D3530">
        <w:rPr>
          <w:rFonts w:ascii="Book Antiqua" w:hAnsi="Book Antiqua"/>
        </w:rPr>
        <w:t>There is insufficient accommodation.</w:t>
      </w:r>
      <w:r w:rsidR="00BC1D72">
        <w:rPr>
          <w:rFonts w:ascii="Book Antiqua" w:hAnsi="Book Antiqua"/>
        </w:rPr>
        <w:t xml:space="preserve"> His father is unwell and his mother has diabetes. </w:t>
      </w:r>
      <w:r w:rsidR="00D75220">
        <w:rPr>
          <w:rFonts w:ascii="Book Antiqua" w:hAnsi="Book Antiqua"/>
        </w:rPr>
        <w:t xml:space="preserve">He </w:t>
      </w:r>
      <w:r w:rsidR="00BC1D72">
        <w:rPr>
          <w:rFonts w:ascii="Book Antiqua" w:hAnsi="Book Antiqua"/>
        </w:rPr>
        <w:t>said that he did not know what he would do</w:t>
      </w:r>
      <w:r w:rsidR="00D75220">
        <w:rPr>
          <w:rFonts w:ascii="Book Antiqua" w:hAnsi="Book Antiqua"/>
        </w:rPr>
        <w:t xml:space="preserve"> wh</w:t>
      </w:r>
      <w:r w:rsidR="00522661">
        <w:rPr>
          <w:rFonts w:ascii="Book Antiqua" w:hAnsi="Book Antiqua"/>
        </w:rPr>
        <w:t xml:space="preserve">en the appellant’s injury </w:t>
      </w:r>
      <w:proofErr w:type="spellStart"/>
      <w:r w:rsidR="00522661">
        <w:rPr>
          <w:rFonts w:ascii="Book Antiqua" w:hAnsi="Book Antiqua"/>
        </w:rPr>
        <w:t>heale</w:t>
      </w:r>
      <w:proofErr w:type="spellEnd"/>
      <w:r w:rsidR="00BC1D72">
        <w:rPr>
          <w:rFonts w:ascii="Book Antiqua" w:hAnsi="Book Antiqua"/>
        </w:rPr>
        <w:t xml:space="preserve">. The </w:t>
      </w:r>
      <w:r w:rsidR="00D75220">
        <w:rPr>
          <w:rFonts w:ascii="Book Antiqua" w:hAnsi="Book Antiqua"/>
        </w:rPr>
        <w:t xml:space="preserve">thought </w:t>
      </w:r>
      <w:r w:rsidR="00D75220">
        <w:rPr>
          <w:rFonts w:ascii="Book Antiqua" w:hAnsi="Book Antiqua"/>
        </w:rPr>
        <w:lastRenderedPageBreak/>
        <w:t xml:space="preserve">that the </w:t>
      </w:r>
      <w:r w:rsidR="00BC1D72">
        <w:rPr>
          <w:rFonts w:ascii="Book Antiqua" w:hAnsi="Book Antiqua"/>
        </w:rPr>
        <w:t xml:space="preserve">only option would be to beg his brother </w:t>
      </w:r>
      <w:r w:rsidR="00285292">
        <w:rPr>
          <w:rFonts w:ascii="Book Antiqua" w:hAnsi="Book Antiqua"/>
        </w:rPr>
        <w:t>MC</w:t>
      </w:r>
      <w:r w:rsidR="00BC1D72">
        <w:rPr>
          <w:rFonts w:ascii="Book Antiqua" w:hAnsi="Book Antiqua"/>
        </w:rPr>
        <w:t xml:space="preserve"> to look after the appellant for a few more months. </w:t>
      </w:r>
    </w:p>
    <w:p w14:paraId="72FF2186" w14:textId="77777777" w:rsidR="00E17240" w:rsidRDefault="00BC1D72" w:rsidP="00CD36E9">
      <w:pPr>
        <w:spacing w:before="160"/>
        <w:ind w:left="567" w:hanging="567"/>
        <w:jc w:val="both"/>
        <w:rPr>
          <w:rFonts w:ascii="Book Antiqua" w:hAnsi="Book Antiqua"/>
        </w:rPr>
      </w:pPr>
      <w:r>
        <w:rPr>
          <w:rFonts w:ascii="Book Antiqua" w:hAnsi="Book Antiqua"/>
        </w:rPr>
        <w:t>20.</w:t>
      </w:r>
      <w:r>
        <w:rPr>
          <w:rFonts w:ascii="Book Antiqua" w:hAnsi="Book Antiqua"/>
        </w:rPr>
        <w:tab/>
      </w:r>
      <w:r w:rsidR="00285292">
        <w:rPr>
          <w:rFonts w:ascii="Book Antiqua" w:hAnsi="Book Antiqua"/>
        </w:rPr>
        <w:t>SM</w:t>
      </w:r>
      <w:r>
        <w:rPr>
          <w:rFonts w:ascii="Book Antiqua" w:hAnsi="Book Antiqua"/>
        </w:rPr>
        <w:t xml:space="preserve"> produced evidence to show that he has made efforts to find suitable care facilities in Bangladesh. </w:t>
      </w:r>
      <w:r w:rsidR="00285292">
        <w:rPr>
          <w:rFonts w:ascii="Book Antiqua" w:hAnsi="Book Antiqua"/>
        </w:rPr>
        <w:t>SM</w:t>
      </w:r>
      <w:r>
        <w:rPr>
          <w:rFonts w:ascii="Book Antiqua" w:hAnsi="Book Antiqua"/>
        </w:rPr>
        <w:t xml:space="preserve"> and his wife have made enquiries from the UK and </w:t>
      </w:r>
      <w:r w:rsidR="00285292">
        <w:rPr>
          <w:rFonts w:ascii="Book Antiqua" w:hAnsi="Book Antiqua"/>
        </w:rPr>
        <w:t>TB</w:t>
      </w:r>
      <w:r>
        <w:rPr>
          <w:rFonts w:ascii="Book Antiqua" w:hAnsi="Book Antiqua"/>
        </w:rPr>
        <w:t xml:space="preserve"> has also taken steps to investigate what adult care services might be available. The limited number of organisations that they were able to identify </w:t>
      </w:r>
      <w:r w:rsidR="00445C34">
        <w:rPr>
          <w:rFonts w:ascii="Book Antiqua" w:hAnsi="Book Antiqua"/>
        </w:rPr>
        <w:t xml:space="preserve">were, in the main, unsuitable. They did not provide the care the appellant needs and </w:t>
      </w:r>
      <w:r w:rsidR="003D394B">
        <w:rPr>
          <w:rFonts w:ascii="Book Antiqua" w:hAnsi="Book Antiqua"/>
        </w:rPr>
        <w:t>most</w:t>
      </w:r>
      <w:r w:rsidR="00445C34">
        <w:rPr>
          <w:rFonts w:ascii="Book Antiqua" w:hAnsi="Book Antiqua"/>
        </w:rPr>
        <w:t xml:space="preserve"> provided palliative care services. </w:t>
      </w:r>
      <w:r w:rsidR="00285292">
        <w:rPr>
          <w:rFonts w:ascii="Book Antiqua" w:hAnsi="Book Antiqua"/>
        </w:rPr>
        <w:t>SM</w:t>
      </w:r>
      <w:r w:rsidR="00445C34">
        <w:rPr>
          <w:rFonts w:ascii="Book Antiqua" w:hAnsi="Book Antiqua"/>
        </w:rPr>
        <w:t xml:space="preserve"> produced evidence </w:t>
      </w:r>
      <w:r w:rsidR="00A34267">
        <w:rPr>
          <w:rFonts w:ascii="Book Antiqua" w:hAnsi="Book Antiqua"/>
        </w:rPr>
        <w:t>regarding</w:t>
      </w:r>
      <w:r w:rsidR="00445C34">
        <w:rPr>
          <w:rFonts w:ascii="Book Antiqua" w:hAnsi="Book Antiqua"/>
        </w:rPr>
        <w:t xml:space="preserve"> enquiries </w:t>
      </w:r>
      <w:r w:rsidR="00A34267">
        <w:rPr>
          <w:rFonts w:ascii="Book Antiqua" w:hAnsi="Book Antiqua"/>
        </w:rPr>
        <w:t xml:space="preserve">made </w:t>
      </w:r>
      <w:r w:rsidR="00445C34">
        <w:rPr>
          <w:rFonts w:ascii="Book Antiqua" w:hAnsi="Book Antiqua"/>
        </w:rPr>
        <w:t xml:space="preserve">with an organisation called Hospice </w:t>
      </w:r>
      <w:r w:rsidR="003D394B">
        <w:rPr>
          <w:rFonts w:ascii="Book Antiqua" w:hAnsi="Book Antiqua"/>
        </w:rPr>
        <w:t>Bangladesh Ltd</w:t>
      </w:r>
      <w:r w:rsidR="00445C34">
        <w:rPr>
          <w:rFonts w:ascii="Book Antiqua" w:hAnsi="Book Antiqua"/>
        </w:rPr>
        <w:t>. The Upper Tribunal summarised the evidence as follows in the error of law decision:</w:t>
      </w:r>
    </w:p>
    <w:p w14:paraId="40B60A77" w14:textId="77777777" w:rsidR="00445C34" w:rsidRPr="00CD36E9" w:rsidRDefault="00445C34" w:rsidP="00CD36E9">
      <w:pPr>
        <w:pStyle w:val="NormalWeb"/>
        <w:spacing w:beforeLines="0" w:before="120" w:afterLines="0"/>
        <w:ind w:left="1701" w:right="567" w:hanging="567"/>
        <w:jc w:val="both"/>
        <w:rPr>
          <w:rFonts w:ascii="Book Antiqua" w:hAnsi="Book Antiqua"/>
          <w:color w:val="000000"/>
          <w:sz w:val="22"/>
          <w:szCs w:val="22"/>
        </w:rPr>
      </w:pPr>
      <w:r w:rsidRPr="00CD36E9">
        <w:rPr>
          <w:rFonts w:ascii="Book Antiqua" w:hAnsi="Book Antiqua"/>
          <w:color w:val="000000"/>
          <w:sz w:val="22"/>
          <w:szCs w:val="22"/>
        </w:rPr>
        <w:t>“9.</w:t>
      </w:r>
      <w:r w:rsidRPr="00CD36E9">
        <w:rPr>
          <w:rFonts w:ascii="Book Antiqua" w:hAnsi="Book Antiqua"/>
          <w:color w:val="000000"/>
          <w:sz w:val="22"/>
          <w:szCs w:val="22"/>
        </w:rPr>
        <w:tab/>
        <w:t xml:space="preserve">In this case there was evidence from an organisation called Hospice Bangladesh Ltd. in Dhaka to show that the organisation could provide a certain level of nursing and adult care services. In his enquiry, the sponsor listed the medical issues the appellant suffers from and provided details about the appellant’s age and current circumstances. Hospice International replied in short form stating that they did not have inpatient facilities, but did have a </w:t>
      </w:r>
      <w:r w:rsidRPr="00CD36E9">
        <w:rPr>
          <w:rFonts w:ascii="Book Antiqua" w:hAnsi="Book Antiqua"/>
          <w:i/>
          <w:color w:val="000000"/>
          <w:sz w:val="22"/>
          <w:szCs w:val="22"/>
        </w:rPr>
        <w:t xml:space="preserve">“collaborative inpatient </w:t>
      </w:r>
      <w:proofErr w:type="spellStart"/>
      <w:r w:rsidRPr="00CD36E9">
        <w:rPr>
          <w:rFonts w:ascii="Book Antiqua" w:hAnsi="Book Antiqua"/>
          <w:i/>
          <w:color w:val="000000"/>
          <w:sz w:val="22"/>
          <w:szCs w:val="22"/>
        </w:rPr>
        <w:t>center</w:t>
      </w:r>
      <w:proofErr w:type="spellEnd"/>
      <w:r w:rsidRPr="00CD36E9">
        <w:rPr>
          <w:rFonts w:ascii="Book Antiqua" w:hAnsi="Book Antiqua"/>
          <w:i/>
          <w:color w:val="000000"/>
          <w:sz w:val="22"/>
          <w:szCs w:val="22"/>
        </w:rPr>
        <w:t xml:space="preserve"> where you can keep the patient and our care giver take care of the person.”</w:t>
      </w:r>
      <w:r w:rsidRPr="00CD36E9">
        <w:rPr>
          <w:rFonts w:ascii="Book Antiqua" w:hAnsi="Book Antiqua"/>
          <w:color w:val="000000"/>
          <w:sz w:val="22"/>
          <w:szCs w:val="22"/>
        </w:rPr>
        <w:t xml:space="preserve">. When the sponsor asked for a rough estimate of the prices Hospice International confirmed that nursing care was 2,000 Taka per day and a room would cost 3,000-10,000 Taka per day with discounts for long term stay. The evidence showed that the cost of care in the facility was likely to be around 5,000-12,000 Taka per day (OANDA conversion = circa. £45-£105 per day). This would amount to basic costs of care amounting to something in the region of £16,500-£38,000 a year.” </w:t>
      </w:r>
    </w:p>
    <w:p w14:paraId="22BC4994" w14:textId="77777777" w:rsidR="00E17240" w:rsidRDefault="00445C34" w:rsidP="00CD36E9">
      <w:pPr>
        <w:spacing w:before="160"/>
        <w:ind w:left="567" w:hanging="567"/>
        <w:jc w:val="both"/>
        <w:rPr>
          <w:rFonts w:ascii="Book Antiqua" w:hAnsi="Book Antiqua"/>
        </w:rPr>
      </w:pPr>
      <w:r>
        <w:rPr>
          <w:rFonts w:ascii="Book Antiqua" w:hAnsi="Book Antiqua"/>
        </w:rPr>
        <w:t>21.</w:t>
      </w:r>
      <w:r>
        <w:rPr>
          <w:rFonts w:ascii="Book Antiqua" w:hAnsi="Book Antiqua"/>
        </w:rPr>
        <w:tab/>
      </w:r>
      <w:r w:rsidR="003D394B">
        <w:rPr>
          <w:rFonts w:ascii="Book Antiqua" w:hAnsi="Book Antiqua"/>
        </w:rPr>
        <w:t xml:space="preserve">The figures </w:t>
      </w:r>
      <w:r w:rsidR="007025D6">
        <w:rPr>
          <w:rFonts w:ascii="Book Antiqua" w:hAnsi="Book Antiqua"/>
        </w:rPr>
        <w:t>do</w:t>
      </w:r>
      <w:r w:rsidR="003D394B">
        <w:rPr>
          <w:rFonts w:ascii="Book Antiqua" w:hAnsi="Book Antiqua"/>
        </w:rPr>
        <w:t xml:space="preserve"> not </w:t>
      </w:r>
      <w:r w:rsidR="007025D6">
        <w:rPr>
          <w:rFonts w:ascii="Book Antiqua" w:hAnsi="Book Antiqua"/>
        </w:rPr>
        <w:t>include additional</w:t>
      </w:r>
      <w:r w:rsidR="003D394B">
        <w:rPr>
          <w:rFonts w:ascii="Book Antiqua" w:hAnsi="Book Antiqua"/>
        </w:rPr>
        <w:t xml:space="preserve"> costs of medication or other medical treatment. The evidence indicates that care might be available outside the appellant’s home area</w:t>
      </w:r>
      <w:r w:rsidR="00CF66B6">
        <w:rPr>
          <w:rFonts w:ascii="Book Antiqua" w:hAnsi="Book Antiqua"/>
        </w:rPr>
        <w:t xml:space="preserve"> in Dhaka</w:t>
      </w:r>
      <w:r w:rsidR="003D394B">
        <w:rPr>
          <w:rFonts w:ascii="Book Antiqua" w:hAnsi="Book Antiqua"/>
        </w:rPr>
        <w:t>. However, it would come at a heavy financial cost to the sponsor</w:t>
      </w:r>
      <w:r w:rsidR="00CF66B6">
        <w:rPr>
          <w:rFonts w:ascii="Book Antiqua" w:hAnsi="Book Antiqua"/>
        </w:rPr>
        <w:t xml:space="preserve"> and would still leave the appellant without the kind of emotional support that Professor </w:t>
      </w:r>
      <w:proofErr w:type="spellStart"/>
      <w:r w:rsidR="00CF66B6">
        <w:rPr>
          <w:rFonts w:ascii="Book Antiqua" w:hAnsi="Book Antiqua"/>
        </w:rPr>
        <w:t>Alam</w:t>
      </w:r>
      <w:proofErr w:type="spellEnd"/>
      <w:r w:rsidR="00CF66B6">
        <w:rPr>
          <w:rFonts w:ascii="Book Antiqua" w:hAnsi="Book Antiqua"/>
        </w:rPr>
        <w:t xml:space="preserve"> thought should come from a close relative. In addition to the financial cost, </w:t>
      </w:r>
      <w:r w:rsidR="00285292">
        <w:rPr>
          <w:rFonts w:ascii="Book Antiqua" w:hAnsi="Book Antiqua"/>
        </w:rPr>
        <w:t>SM</w:t>
      </w:r>
      <w:r w:rsidR="00CF66B6">
        <w:rPr>
          <w:rFonts w:ascii="Book Antiqua" w:hAnsi="Book Antiqua"/>
        </w:rPr>
        <w:t xml:space="preserve"> expressed concern about monitoring the care that the appellant might receive from the UK. Care facilities in Bangladesh are not closely regulated and he was worried that it would be difficult for him to ensure that the appellant was being cared for</w:t>
      </w:r>
      <w:r w:rsidR="007025D6">
        <w:rPr>
          <w:rFonts w:ascii="Book Antiqua" w:hAnsi="Book Antiqua"/>
        </w:rPr>
        <w:t xml:space="preserve"> properly</w:t>
      </w:r>
      <w:r w:rsidR="00CF66B6">
        <w:rPr>
          <w:rFonts w:ascii="Book Antiqua" w:hAnsi="Book Antiqua"/>
        </w:rPr>
        <w:t xml:space="preserve">. </w:t>
      </w:r>
    </w:p>
    <w:p w14:paraId="2C5F7E25" w14:textId="77777777" w:rsidR="00FD7BE0" w:rsidRDefault="00CF66B6" w:rsidP="00CD36E9">
      <w:pPr>
        <w:spacing w:before="160"/>
        <w:ind w:left="567" w:hanging="567"/>
        <w:jc w:val="both"/>
        <w:rPr>
          <w:rFonts w:ascii="Book Antiqua" w:hAnsi="Book Antiqua"/>
        </w:rPr>
      </w:pPr>
      <w:r>
        <w:rPr>
          <w:rFonts w:ascii="Book Antiqua" w:hAnsi="Book Antiqua"/>
        </w:rPr>
        <w:t>22.</w:t>
      </w:r>
      <w:r>
        <w:rPr>
          <w:rFonts w:ascii="Book Antiqua" w:hAnsi="Book Antiqua"/>
        </w:rPr>
        <w:tab/>
        <w:t>Although the evidence shows that it might be possible to put in place some level of care for the appellant, the options are limited and would come at a cost. The care provided by an organisation such as Hospice Bangladesh Ltd. would not include the kind of emotional support that is likely to be an integral part of the appellant’s care. Other evidence indicates tha</w:t>
      </w:r>
      <w:r w:rsidR="00F527B9">
        <w:rPr>
          <w:rFonts w:ascii="Book Antiqua" w:hAnsi="Book Antiqua"/>
        </w:rPr>
        <w:t xml:space="preserve">t more advanced care for the appellant’s deteriorating eyesight is not likely to be available in Bangladesh. </w:t>
      </w:r>
    </w:p>
    <w:p w14:paraId="667720F0" w14:textId="77777777" w:rsidR="0050085D" w:rsidRDefault="00FD7BE0" w:rsidP="00CD36E9">
      <w:pPr>
        <w:spacing w:before="160"/>
        <w:ind w:left="567" w:hanging="567"/>
        <w:jc w:val="both"/>
        <w:rPr>
          <w:rFonts w:ascii="Book Antiqua" w:hAnsi="Book Antiqua"/>
        </w:rPr>
      </w:pPr>
      <w:r>
        <w:rPr>
          <w:rFonts w:ascii="Book Antiqua" w:hAnsi="Book Antiqua"/>
        </w:rPr>
        <w:t>23.</w:t>
      </w:r>
      <w:r>
        <w:rPr>
          <w:rFonts w:ascii="Book Antiqua" w:hAnsi="Book Antiqua"/>
        </w:rPr>
        <w:tab/>
      </w:r>
      <w:r w:rsidR="00285292">
        <w:rPr>
          <w:rFonts w:ascii="Book Antiqua" w:hAnsi="Book Antiqua"/>
        </w:rPr>
        <w:t>KB</w:t>
      </w:r>
      <w:r w:rsidR="0050085D">
        <w:rPr>
          <w:rFonts w:ascii="Book Antiqua" w:hAnsi="Book Antiqua"/>
        </w:rPr>
        <w:t xml:space="preserve"> is not in employment because she is a full-time </w:t>
      </w:r>
      <w:proofErr w:type="spellStart"/>
      <w:r w:rsidR="0050085D">
        <w:rPr>
          <w:rFonts w:ascii="Book Antiqua" w:hAnsi="Book Antiqua"/>
        </w:rPr>
        <w:t>carer</w:t>
      </w:r>
      <w:proofErr w:type="spellEnd"/>
      <w:r w:rsidR="0050085D">
        <w:rPr>
          <w:rFonts w:ascii="Book Antiqua" w:hAnsi="Book Antiqua"/>
        </w:rPr>
        <w:t xml:space="preserve"> for her mother. Although her mother has returned to Bangladesh to visit her son in the past, she is no longer able to do so. She is in the final stages of kidney disease and is now bed bound. </w:t>
      </w:r>
      <w:r w:rsidR="00285292">
        <w:rPr>
          <w:rFonts w:ascii="Book Antiqua" w:hAnsi="Book Antiqua"/>
        </w:rPr>
        <w:t>KB</w:t>
      </w:r>
      <w:r w:rsidR="0050085D">
        <w:rPr>
          <w:rFonts w:ascii="Book Antiqua" w:hAnsi="Book Antiqua"/>
        </w:rPr>
        <w:t xml:space="preserve"> is confident that she would also be able to care for her brother. Given the fact that she was a medical practitioner in Bangladesh, she is well qualified to provide the kind of care the appellant needs, both in terms of assisting him to take the correct medication and providing the emotional support of a close relative. She said: “I am his first blood and only I can heal his pain”. </w:t>
      </w:r>
    </w:p>
    <w:p w14:paraId="03378CAE" w14:textId="77777777" w:rsidR="00555F13" w:rsidRDefault="0050085D" w:rsidP="00CD36E9">
      <w:pPr>
        <w:spacing w:before="160"/>
        <w:ind w:left="567" w:hanging="567"/>
        <w:jc w:val="both"/>
        <w:rPr>
          <w:rFonts w:ascii="Book Antiqua" w:hAnsi="Book Antiqua"/>
          <w:color w:val="000000"/>
        </w:rPr>
      </w:pPr>
      <w:r>
        <w:rPr>
          <w:rFonts w:ascii="Book Antiqua" w:hAnsi="Book Antiqua"/>
        </w:rPr>
        <w:lastRenderedPageBreak/>
        <w:t>24.</w:t>
      </w:r>
      <w:r>
        <w:rPr>
          <w:rFonts w:ascii="Book Antiqua" w:hAnsi="Book Antiqua"/>
        </w:rPr>
        <w:tab/>
      </w:r>
      <w:r w:rsidR="00F527B9">
        <w:rPr>
          <w:rFonts w:ascii="Book Antiqua" w:hAnsi="Book Antiqua"/>
        </w:rPr>
        <w:t xml:space="preserve">Mr Clarke argued that the evidence must come from an independent source according to the evidential requirements of Appendix FM-SE. There is independent evidence from </w:t>
      </w:r>
      <w:r w:rsidR="00FD7BE0">
        <w:rPr>
          <w:rFonts w:ascii="Book Antiqua" w:hAnsi="Book Antiqua"/>
        </w:rPr>
        <w:t xml:space="preserve">Dr Noman to say that the required level of medical care for glaucoma is not available in Bangladesh. </w:t>
      </w:r>
      <w:r w:rsidR="007025D6">
        <w:rPr>
          <w:rFonts w:ascii="Book Antiqua" w:hAnsi="Book Antiqua"/>
        </w:rPr>
        <w:t xml:space="preserve">The background evidence of the World Health Organisation and information contained in the Home Office County of Origin Information report indicates that </w:t>
      </w:r>
      <w:r w:rsidR="004233D4">
        <w:rPr>
          <w:rFonts w:ascii="Book Antiqua" w:hAnsi="Book Antiqua"/>
        </w:rPr>
        <w:t xml:space="preserve">government facilities for treating people with mental disabilities are inadequate. There is no specific mental health authority in Bangladesh, and although some care is available, it is limited compared to the size of the population. In relation to the care facilities, it is difficult to see how an independent source could reasonably be expected to confirm the information. The evidence indicates that care facilities are likely to be privately funded. </w:t>
      </w:r>
      <w:r w:rsidR="00FD7BE0">
        <w:rPr>
          <w:rFonts w:ascii="Book Antiqua" w:hAnsi="Book Antiqua"/>
        </w:rPr>
        <w:t xml:space="preserve">The sponsor has disclosed evidence to show that he has made reasonable efforts to find suitable care. While some care is available, it is not the full level of care that is required for the appellant. I conclude that the ‘required level of care’ for this appellant is not available and that there is no person who can reasonably provide it. </w:t>
      </w:r>
      <w:r w:rsidR="00F527B9">
        <w:rPr>
          <w:rFonts w:ascii="Book Antiqua" w:hAnsi="Book Antiqua"/>
        </w:rPr>
        <w:t xml:space="preserve">For these reasons the appellant meets the requirements of paragraph </w:t>
      </w:r>
      <w:r w:rsidR="00F527B9" w:rsidRPr="00617EB8">
        <w:rPr>
          <w:rFonts w:ascii="Book Antiqua" w:hAnsi="Book Antiqua"/>
          <w:color w:val="000000"/>
        </w:rPr>
        <w:t>E-ECDR.2.5</w:t>
      </w:r>
      <w:r w:rsidR="00F527B9">
        <w:rPr>
          <w:rFonts w:ascii="Book Antiqua" w:hAnsi="Book Antiqua"/>
          <w:color w:val="000000"/>
        </w:rPr>
        <w:t xml:space="preserve">(a) of Appendix FM. </w:t>
      </w:r>
    </w:p>
    <w:p w14:paraId="051C9B7F" w14:textId="77777777" w:rsidR="00884B3C" w:rsidRDefault="0050085D" w:rsidP="00CD36E9">
      <w:pPr>
        <w:spacing w:before="160"/>
        <w:ind w:left="567" w:hanging="567"/>
        <w:jc w:val="both"/>
        <w:rPr>
          <w:rFonts w:ascii="Book Antiqua" w:hAnsi="Book Antiqua"/>
        </w:rPr>
      </w:pPr>
      <w:r>
        <w:rPr>
          <w:rFonts w:ascii="Book Antiqua" w:hAnsi="Book Antiqua"/>
        </w:rPr>
        <w:t>25</w:t>
      </w:r>
      <w:r w:rsidR="00FD7BE0">
        <w:rPr>
          <w:rFonts w:ascii="Book Antiqua" w:hAnsi="Book Antiqua"/>
        </w:rPr>
        <w:t>.</w:t>
      </w:r>
      <w:r w:rsidR="00FD7BE0">
        <w:rPr>
          <w:rFonts w:ascii="Book Antiqua" w:hAnsi="Book Antiqua"/>
        </w:rPr>
        <w:tab/>
        <w:t xml:space="preserve">If I am wrong in relation to the first point, I am satisfied that the care offered by Hospice Bangladesh Ltd. is not likely to be affordable </w:t>
      </w:r>
      <w:r w:rsidR="00884B3C">
        <w:rPr>
          <w:rFonts w:ascii="Book Antiqua" w:hAnsi="Book Antiqua"/>
        </w:rPr>
        <w:t>for</w:t>
      </w:r>
      <w:r w:rsidR="00FD7BE0">
        <w:rPr>
          <w:rFonts w:ascii="Book Antiqua" w:hAnsi="Book Antiqua"/>
        </w:rPr>
        <w:t xml:space="preserve"> the sponsor. The appellant is not an elderly dependent</w:t>
      </w:r>
      <w:r w:rsidR="00884B3C">
        <w:rPr>
          <w:rFonts w:ascii="Book Antiqua" w:hAnsi="Book Antiqua"/>
        </w:rPr>
        <w:t xml:space="preserve"> relative requiring end of life care. He is 44</w:t>
      </w:r>
      <w:r w:rsidR="00FD7BE0">
        <w:rPr>
          <w:rFonts w:ascii="Book Antiqua" w:hAnsi="Book Antiqua"/>
        </w:rPr>
        <w:t xml:space="preserve"> years old and </w:t>
      </w:r>
      <w:r w:rsidR="004233D4">
        <w:rPr>
          <w:rFonts w:ascii="Book Antiqua" w:hAnsi="Book Antiqua"/>
        </w:rPr>
        <w:t>will require ongoing care over a number of years.</w:t>
      </w:r>
    </w:p>
    <w:p w14:paraId="35861807" w14:textId="77777777" w:rsidR="00F527B9" w:rsidRDefault="004233D4" w:rsidP="00CD36E9">
      <w:pPr>
        <w:spacing w:before="160"/>
        <w:ind w:left="567" w:hanging="567"/>
        <w:jc w:val="both"/>
        <w:rPr>
          <w:rFonts w:ascii="Book Antiqua" w:hAnsi="Book Antiqua"/>
        </w:rPr>
      </w:pPr>
      <w:r>
        <w:rPr>
          <w:rFonts w:ascii="Book Antiqua" w:hAnsi="Book Antiqua"/>
        </w:rPr>
        <w:t xml:space="preserve"> </w:t>
      </w:r>
      <w:r w:rsidR="0050085D">
        <w:rPr>
          <w:rFonts w:ascii="Book Antiqua" w:hAnsi="Book Antiqua"/>
        </w:rPr>
        <w:t>26</w:t>
      </w:r>
      <w:r w:rsidR="00884B3C">
        <w:rPr>
          <w:rFonts w:ascii="Book Antiqua" w:hAnsi="Book Antiqua"/>
        </w:rPr>
        <w:t>.</w:t>
      </w:r>
      <w:r w:rsidR="00884B3C">
        <w:rPr>
          <w:rFonts w:ascii="Book Antiqua" w:hAnsi="Book Antiqua"/>
        </w:rPr>
        <w:tab/>
        <w:t>The sponsor’s personal circumstances have changed since the last hearing. Although the evidence relating to his financial situation is rather limited, he has outlined his income and expenditure in a schedule. The sponsor is a credible witness. I am satisfied that I can accept his evidence.</w:t>
      </w:r>
    </w:p>
    <w:p w14:paraId="74549A8C" w14:textId="77777777" w:rsidR="00884B3C" w:rsidRDefault="0050085D" w:rsidP="00CD36E9">
      <w:pPr>
        <w:spacing w:before="160"/>
        <w:ind w:left="567" w:hanging="567"/>
        <w:jc w:val="both"/>
        <w:rPr>
          <w:rFonts w:ascii="Book Antiqua" w:hAnsi="Book Antiqua"/>
        </w:rPr>
      </w:pPr>
      <w:r>
        <w:rPr>
          <w:rFonts w:ascii="Book Antiqua" w:hAnsi="Book Antiqua"/>
        </w:rPr>
        <w:t>27</w:t>
      </w:r>
      <w:r w:rsidR="00884B3C">
        <w:rPr>
          <w:rFonts w:ascii="Book Antiqua" w:hAnsi="Book Antiqua"/>
        </w:rPr>
        <w:t>.</w:t>
      </w:r>
      <w:r w:rsidR="00884B3C">
        <w:rPr>
          <w:rFonts w:ascii="Book Antiqua" w:hAnsi="Book Antiqua"/>
        </w:rPr>
        <w:tab/>
      </w:r>
      <w:r w:rsidR="00285292">
        <w:rPr>
          <w:rFonts w:ascii="Book Antiqua" w:hAnsi="Book Antiqua"/>
        </w:rPr>
        <w:t>SM</w:t>
      </w:r>
      <w:r w:rsidR="00884B3C">
        <w:rPr>
          <w:rFonts w:ascii="Book Antiqua" w:hAnsi="Book Antiqua"/>
        </w:rPr>
        <w:t xml:space="preserve"> told me that</w:t>
      </w:r>
      <w:r w:rsidR="00D75220">
        <w:rPr>
          <w:rFonts w:ascii="Book Antiqua" w:hAnsi="Book Antiqua"/>
        </w:rPr>
        <w:t>, since the last hearing,</w:t>
      </w:r>
      <w:r w:rsidR="00884B3C">
        <w:rPr>
          <w:rFonts w:ascii="Book Antiqua" w:hAnsi="Book Antiqua"/>
        </w:rPr>
        <w:t xml:space="preserve"> </w:t>
      </w:r>
      <w:r w:rsidR="00D75220">
        <w:rPr>
          <w:rFonts w:ascii="Book Antiqua" w:hAnsi="Book Antiqua"/>
        </w:rPr>
        <w:t>he and his wife moved to B</w:t>
      </w:r>
      <w:r w:rsidR="004D71F6">
        <w:rPr>
          <w:rFonts w:ascii="Book Antiqua" w:hAnsi="Book Antiqua"/>
        </w:rPr>
        <w:t>irmingham. He spent a portion</w:t>
      </w:r>
      <w:r w:rsidR="00D75220">
        <w:rPr>
          <w:rFonts w:ascii="Book Antiqua" w:hAnsi="Book Antiqua"/>
        </w:rPr>
        <w:t xml:space="preserve"> of his savings refurbishing the house. His HSBC statement sho</w:t>
      </w:r>
      <w:r w:rsidR="004D71F6">
        <w:rPr>
          <w:rFonts w:ascii="Book Antiqua" w:hAnsi="Book Antiqua"/>
        </w:rPr>
        <w:t>w</w:t>
      </w:r>
      <w:r w:rsidR="00D75220">
        <w:rPr>
          <w:rFonts w:ascii="Book Antiqua" w:hAnsi="Book Antiqua"/>
        </w:rPr>
        <w:t xml:space="preserve">ed a balance of £27,012.68 on 10 June 2018. The level of his savings has reduced by around £20,000. </w:t>
      </w:r>
    </w:p>
    <w:p w14:paraId="6CB9F1DB" w14:textId="77777777" w:rsidR="005239EB" w:rsidRDefault="0050085D" w:rsidP="00CD36E9">
      <w:pPr>
        <w:spacing w:before="160"/>
        <w:ind w:left="567" w:hanging="567"/>
        <w:jc w:val="both"/>
        <w:rPr>
          <w:rFonts w:ascii="Book Antiqua" w:hAnsi="Book Antiqua"/>
        </w:rPr>
      </w:pPr>
      <w:r>
        <w:rPr>
          <w:rFonts w:ascii="Book Antiqua" w:hAnsi="Book Antiqua"/>
        </w:rPr>
        <w:t>28</w:t>
      </w:r>
      <w:r w:rsidR="001D3530">
        <w:rPr>
          <w:rFonts w:ascii="Book Antiqua" w:hAnsi="Book Antiqua"/>
        </w:rPr>
        <w:t>.</w:t>
      </w:r>
      <w:r w:rsidR="001D3530">
        <w:rPr>
          <w:rFonts w:ascii="Book Antiqua" w:hAnsi="Book Antiqua"/>
        </w:rPr>
        <w:tab/>
        <w:t xml:space="preserve">At the date of the First-tier Tribunal hearing </w:t>
      </w:r>
      <w:r w:rsidR="00285292">
        <w:rPr>
          <w:rFonts w:ascii="Book Antiqua" w:hAnsi="Book Antiqua"/>
        </w:rPr>
        <w:t>SM</w:t>
      </w:r>
      <w:r w:rsidR="001D3530">
        <w:rPr>
          <w:rFonts w:ascii="Book Antiqua" w:hAnsi="Book Antiqua"/>
        </w:rPr>
        <w:t xml:space="preserve"> earned income from employment and received rental income from several properties. He gave up work in August 2017 and moved to Birmingham in October 2017. He says that he has not worked since he moved to Birmingham. He is in </w:t>
      </w:r>
      <w:r w:rsidR="00332AA2">
        <w:rPr>
          <w:rFonts w:ascii="Book Antiqua" w:hAnsi="Book Antiqua"/>
        </w:rPr>
        <w:t>the</w:t>
      </w:r>
      <w:r w:rsidR="001D3530">
        <w:rPr>
          <w:rFonts w:ascii="Book Antiqua" w:hAnsi="Book Antiqua"/>
        </w:rPr>
        <w:t xml:space="preserve"> final year of a PhD and plans to start his own business. At the current time he is relying on the rental income from the three properties he owns in London, which are subject to mortgages. </w:t>
      </w:r>
      <w:r w:rsidR="00600FDD">
        <w:rPr>
          <w:rFonts w:ascii="Book Antiqua" w:hAnsi="Book Antiqua"/>
        </w:rPr>
        <w:t>He has set out a schedule of the income and outgoings on those properties. The schedule indicates that he has a gross monthly income of £1,603 from the properties. He has also set out an estimate of his monthly expenses for the family home including the costs</w:t>
      </w:r>
      <w:r w:rsidR="004D71F6">
        <w:rPr>
          <w:rFonts w:ascii="Book Antiqua" w:hAnsi="Book Antiqua"/>
        </w:rPr>
        <w:t xml:space="preserve"> of his mortgage, utilities, </w:t>
      </w:r>
      <w:r w:rsidR="00600FDD">
        <w:rPr>
          <w:rFonts w:ascii="Book Antiqua" w:hAnsi="Book Antiqua"/>
        </w:rPr>
        <w:t>food and transport expenses. He has also included a monthly remittance of £200, which is sent “abroad”. It was not</w:t>
      </w:r>
      <w:r w:rsidR="004D71F6">
        <w:rPr>
          <w:rFonts w:ascii="Book Antiqua" w:hAnsi="Book Antiqua"/>
        </w:rPr>
        <w:t xml:space="preserve"> clarified, but it seems likely</w:t>
      </w:r>
      <w:r w:rsidR="00600FDD">
        <w:rPr>
          <w:rFonts w:ascii="Book Antiqua" w:hAnsi="Book Antiqua"/>
        </w:rPr>
        <w:t xml:space="preserve"> that this may be the money sent to his brother </w:t>
      </w:r>
      <w:r w:rsidR="00285292">
        <w:rPr>
          <w:rFonts w:ascii="Book Antiqua" w:hAnsi="Book Antiqua"/>
        </w:rPr>
        <w:t>MC</w:t>
      </w:r>
      <w:r w:rsidR="00600FDD">
        <w:rPr>
          <w:rFonts w:ascii="Book Antiqua" w:hAnsi="Book Antiqua"/>
        </w:rPr>
        <w:t xml:space="preserve"> to care for the appellant. </w:t>
      </w:r>
      <w:r w:rsidR="00285292">
        <w:rPr>
          <w:rFonts w:ascii="Book Antiqua" w:hAnsi="Book Antiqua"/>
        </w:rPr>
        <w:t>SM</w:t>
      </w:r>
      <w:r w:rsidR="00600FDD">
        <w:rPr>
          <w:rFonts w:ascii="Book Antiqua" w:hAnsi="Book Antiqua"/>
        </w:rPr>
        <w:t xml:space="preserve">’s monthly living expenses come to around £1,476, thereby leaving him with very little in the way of </w:t>
      </w:r>
      <w:r w:rsidR="005239EB">
        <w:rPr>
          <w:rFonts w:ascii="Book Antiqua" w:hAnsi="Book Antiqua"/>
        </w:rPr>
        <w:t xml:space="preserve">disposable income. </w:t>
      </w:r>
    </w:p>
    <w:p w14:paraId="34804849" w14:textId="77777777" w:rsidR="0050085D" w:rsidRDefault="0050085D" w:rsidP="00CD36E9">
      <w:pPr>
        <w:spacing w:before="160"/>
        <w:ind w:left="567" w:hanging="567"/>
        <w:jc w:val="both"/>
        <w:rPr>
          <w:rFonts w:ascii="Book Antiqua" w:hAnsi="Book Antiqua"/>
        </w:rPr>
      </w:pPr>
      <w:r>
        <w:rPr>
          <w:rFonts w:ascii="Book Antiqua" w:hAnsi="Book Antiqua"/>
        </w:rPr>
        <w:t>29</w:t>
      </w:r>
      <w:r w:rsidR="005239EB">
        <w:rPr>
          <w:rFonts w:ascii="Book Antiqua" w:hAnsi="Book Antiqua"/>
        </w:rPr>
        <w:t>.</w:t>
      </w:r>
      <w:r w:rsidR="005239EB">
        <w:rPr>
          <w:rFonts w:ascii="Book Antiqua" w:hAnsi="Book Antiqua"/>
        </w:rPr>
        <w:tab/>
      </w:r>
      <w:r>
        <w:rPr>
          <w:rFonts w:ascii="Book Antiqua" w:hAnsi="Book Antiqua"/>
        </w:rPr>
        <w:t>Mr Clarke argued that the sponsor has assets that could pay for the appellant’s care in Bangladesh. He suggested that the sponsor could either (</w:t>
      </w:r>
      <w:proofErr w:type="spellStart"/>
      <w:r>
        <w:rPr>
          <w:rFonts w:ascii="Book Antiqua" w:hAnsi="Book Antiqua"/>
        </w:rPr>
        <w:t>i</w:t>
      </w:r>
      <w:proofErr w:type="spellEnd"/>
      <w:r>
        <w:rPr>
          <w:rFonts w:ascii="Book Antiqua" w:hAnsi="Book Antiqua"/>
        </w:rPr>
        <w:t>) sell a property; or (ii) release equity from the existing properties. I find that neither of these suggestions are reasonable or proportionate</w:t>
      </w:r>
      <w:r w:rsidR="000B512F">
        <w:rPr>
          <w:rFonts w:ascii="Book Antiqua" w:hAnsi="Book Antiqua"/>
        </w:rPr>
        <w:t xml:space="preserve">. </w:t>
      </w:r>
      <w:r>
        <w:rPr>
          <w:rFonts w:ascii="Book Antiqua" w:hAnsi="Book Antiqua"/>
        </w:rPr>
        <w:t xml:space="preserve">The first would require the sponsor to sell an asset upon </w:t>
      </w:r>
      <w:r>
        <w:rPr>
          <w:rFonts w:ascii="Book Antiqua" w:hAnsi="Book Antiqua"/>
        </w:rPr>
        <w:lastRenderedPageBreak/>
        <w:t xml:space="preserve">which he currently relies as his sole source of income, thereby reducing his monthly income to a level where he is not likely to be able to cover his </w:t>
      </w:r>
      <w:r w:rsidR="008E445B">
        <w:rPr>
          <w:rFonts w:ascii="Book Antiqua" w:hAnsi="Book Antiqua"/>
        </w:rPr>
        <w:t xml:space="preserve">own </w:t>
      </w:r>
      <w:r>
        <w:rPr>
          <w:rFonts w:ascii="Book Antiqua" w:hAnsi="Book Antiqua"/>
        </w:rPr>
        <w:t>expenses. The second option suggests that he should place himself in debt to pay for the appellant’s care. Given that the appell</w:t>
      </w:r>
      <w:r w:rsidR="000B512F">
        <w:rPr>
          <w:rFonts w:ascii="Book Antiqua" w:hAnsi="Book Antiqua"/>
        </w:rPr>
        <w:t xml:space="preserve">ant is likely to need </w:t>
      </w:r>
      <w:r w:rsidR="002D1073">
        <w:rPr>
          <w:rFonts w:ascii="Book Antiqua" w:hAnsi="Book Antiqua"/>
        </w:rPr>
        <w:t xml:space="preserve">ongoing </w:t>
      </w:r>
      <w:r w:rsidR="000B512F">
        <w:rPr>
          <w:rFonts w:ascii="Book Antiqua" w:hAnsi="Book Antiqua"/>
        </w:rPr>
        <w:t>long-term care, both suggestions would only provide a tempora</w:t>
      </w:r>
      <w:r w:rsidR="00332AA2">
        <w:rPr>
          <w:rFonts w:ascii="Book Antiqua" w:hAnsi="Book Antiqua"/>
        </w:rPr>
        <w:t>ry source of funding. The term ‘affordable’</w:t>
      </w:r>
      <w:r w:rsidR="000B512F">
        <w:rPr>
          <w:rFonts w:ascii="Book Antiqua" w:hAnsi="Book Antiqua"/>
        </w:rPr>
        <w:t xml:space="preserve"> should be given its ordinary meaning</w:t>
      </w:r>
      <w:r w:rsidR="008E445B">
        <w:rPr>
          <w:rFonts w:ascii="Book Antiqua" w:hAnsi="Book Antiqua"/>
        </w:rPr>
        <w:t xml:space="preserve"> and should be assessed on the facts of each case.</w:t>
      </w:r>
      <w:r w:rsidR="000B512F">
        <w:rPr>
          <w:rFonts w:ascii="Book Antiqua" w:hAnsi="Book Antiqua"/>
        </w:rPr>
        <w:t xml:space="preserve"> If the sponsor is unable to </w:t>
      </w:r>
      <w:r w:rsidR="008E445B">
        <w:rPr>
          <w:rFonts w:ascii="Book Antiqua" w:hAnsi="Book Antiqua"/>
        </w:rPr>
        <w:t>pay for</w:t>
      </w:r>
      <w:r w:rsidR="000B512F">
        <w:rPr>
          <w:rFonts w:ascii="Book Antiqua" w:hAnsi="Book Antiqua"/>
        </w:rPr>
        <w:t xml:space="preserve"> the </w:t>
      </w:r>
      <w:r w:rsidR="008E445B">
        <w:rPr>
          <w:rFonts w:ascii="Book Antiqua" w:hAnsi="Book Antiqua"/>
        </w:rPr>
        <w:t xml:space="preserve">kind of </w:t>
      </w:r>
      <w:r w:rsidR="000B512F">
        <w:rPr>
          <w:rFonts w:ascii="Book Antiqua" w:hAnsi="Book Antiqua"/>
        </w:rPr>
        <w:t xml:space="preserve">long-term care the appellant requires from </w:t>
      </w:r>
      <w:r w:rsidR="002D1073">
        <w:rPr>
          <w:rFonts w:ascii="Book Antiqua" w:hAnsi="Book Antiqua"/>
        </w:rPr>
        <w:t>resources that are reasonably available to him</w:t>
      </w:r>
      <w:r w:rsidR="008E445B">
        <w:rPr>
          <w:rFonts w:ascii="Book Antiqua" w:hAnsi="Book Antiqua"/>
        </w:rPr>
        <w:t xml:space="preserve"> it is n</w:t>
      </w:r>
      <w:r w:rsidR="004D71F6">
        <w:rPr>
          <w:rFonts w:ascii="Book Antiqua" w:hAnsi="Book Antiqua"/>
        </w:rPr>
        <w:t>ot ‘affordable’</w:t>
      </w:r>
      <w:r w:rsidR="008E445B">
        <w:rPr>
          <w:rFonts w:ascii="Book Antiqua" w:hAnsi="Book Antiqua"/>
        </w:rPr>
        <w:t xml:space="preserve"> within the meaning of the immigration rules. Even if an organisation such as Hospice Bangladesh Ltd. was able to provide the care required, the monthly costs of around £1,300-£3,200 (on the estimates outlined above) are beyond what </w:t>
      </w:r>
      <w:r w:rsidR="00285292">
        <w:rPr>
          <w:rFonts w:ascii="Book Antiqua" w:hAnsi="Book Antiqua"/>
        </w:rPr>
        <w:t>SM</w:t>
      </w:r>
      <w:r w:rsidR="008E445B">
        <w:rPr>
          <w:rFonts w:ascii="Book Antiqua" w:hAnsi="Book Antiqua"/>
        </w:rPr>
        <w:t xml:space="preserve"> could reasonably afford on his current income. For these reasons I find that the appellant also meets the requirements of paragraph </w:t>
      </w:r>
      <w:r w:rsidR="008E445B" w:rsidRPr="00617EB8">
        <w:rPr>
          <w:rFonts w:ascii="Book Antiqua" w:hAnsi="Book Antiqua"/>
          <w:color w:val="000000"/>
        </w:rPr>
        <w:t>E-ECDR.2.5</w:t>
      </w:r>
      <w:r w:rsidR="008E445B">
        <w:rPr>
          <w:rFonts w:ascii="Book Antiqua" w:hAnsi="Book Antiqua"/>
          <w:color w:val="000000"/>
        </w:rPr>
        <w:t xml:space="preserve">(b) of Appendix FM. </w:t>
      </w:r>
    </w:p>
    <w:p w14:paraId="3861D763" w14:textId="77777777" w:rsidR="00F527B9" w:rsidRPr="003450B7" w:rsidRDefault="008E445B" w:rsidP="00CD36E9">
      <w:pPr>
        <w:spacing w:before="160"/>
        <w:ind w:left="567" w:hanging="567"/>
        <w:jc w:val="both"/>
        <w:rPr>
          <w:rFonts w:ascii="Book Antiqua" w:hAnsi="Book Antiqua"/>
          <w:lang w:val="en"/>
        </w:rPr>
      </w:pPr>
      <w:r>
        <w:rPr>
          <w:rFonts w:ascii="Book Antiqua" w:hAnsi="Book Antiqua"/>
        </w:rPr>
        <w:t>30.</w:t>
      </w:r>
      <w:r>
        <w:rPr>
          <w:rFonts w:ascii="Book Antiqua" w:hAnsi="Book Antiqua"/>
        </w:rPr>
        <w:tab/>
        <w:t>The circumstances of this case engage the appellant’</w:t>
      </w:r>
      <w:r w:rsidR="003450B7">
        <w:rPr>
          <w:rFonts w:ascii="Book Antiqua" w:hAnsi="Book Antiqua"/>
        </w:rPr>
        <w:t xml:space="preserve">s private life (physical and moral integrity) and his family life with </w:t>
      </w:r>
      <w:r w:rsidR="00332AA2">
        <w:rPr>
          <w:rFonts w:ascii="Book Antiqua" w:hAnsi="Book Antiqua"/>
        </w:rPr>
        <w:t>close relatives in</w:t>
      </w:r>
      <w:r w:rsidR="003450B7">
        <w:rPr>
          <w:rFonts w:ascii="Book Antiqua" w:hAnsi="Book Antiqua"/>
        </w:rPr>
        <w:t xml:space="preserve"> the UK</w:t>
      </w:r>
      <w:r w:rsidR="00332AA2">
        <w:rPr>
          <w:rFonts w:ascii="Book Antiqua" w:hAnsi="Book Antiqua"/>
        </w:rPr>
        <w:t xml:space="preserve"> </w:t>
      </w:r>
      <w:r w:rsidR="00785AA4">
        <w:rPr>
          <w:rFonts w:ascii="Book Antiqua" w:hAnsi="Book Antiqua"/>
        </w:rPr>
        <w:t>upon whom he is entirely dependent</w:t>
      </w:r>
      <w:r w:rsidR="003450B7">
        <w:rPr>
          <w:rFonts w:ascii="Book Antiqua" w:hAnsi="Book Antiqua"/>
        </w:rPr>
        <w:t xml:space="preserve">. </w:t>
      </w:r>
      <w:r>
        <w:rPr>
          <w:rFonts w:ascii="Book Antiqua" w:hAnsi="Book Antiqua" w:cs="Arial"/>
        </w:rPr>
        <w:t xml:space="preserve">Paragraph </w:t>
      </w:r>
      <w:r w:rsidRPr="005C5517">
        <w:rPr>
          <w:rFonts w:ascii="Book Antiqua" w:hAnsi="Book Antiqua"/>
          <w:lang w:val="en"/>
        </w:rPr>
        <w:t>GEN.1.1 of Appendix FM state</w:t>
      </w:r>
      <w:r>
        <w:rPr>
          <w:rFonts w:ascii="Book Antiqua" w:hAnsi="Book Antiqua"/>
          <w:lang w:val="en"/>
        </w:rPr>
        <w:t>s</w:t>
      </w:r>
      <w:r w:rsidRPr="005C5517">
        <w:rPr>
          <w:rFonts w:ascii="Book Antiqua" w:hAnsi="Book Antiqua"/>
          <w:lang w:val="en"/>
        </w:rPr>
        <w:t xml:space="preserve"> that the requirements of the immigration rules reflect how, under Article 8 of the Human Rights Convention, the balance will be struck between the right to respect for private and family life and the legitimate aim of maintaining a</w:t>
      </w:r>
      <w:r>
        <w:rPr>
          <w:rFonts w:ascii="Book Antiqua" w:hAnsi="Book Antiqua"/>
          <w:lang w:val="en"/>
        </w:rPr>
        <w:t>n effective</w:t>
      </w:r>
      <w:r w:rsidRPr="005C5517">
        <w:rPr>
          <w:rFonts w:ascii="Book Antiqua" w:hAnsi="Book Antiqua"/>
          <w:lang w:val="en"/>
        </w:rPr>
        <w:t xml:space="preserve"> system of immigration control.</w:t>
      </w:r>
      <w:r>
        <w:rPr>
          <w:rFonts w:ascii="Book Antiqua" w:hAnsi="Book Antiqua"/>
          <w:lang w:val="en"/>
        </w:rPr>
        <w:t xml:space="preserve"> For the reasons outlined above I find that the appellant meets the requirements of the immigration rules. </w:t>
      </w:r>
      <w:r w:rsidR="003450B7">
        <w:rPr>
          <w:rFonts w:ascii="Book Antiqua" w:hAnsi="Book Antiqua"/>
          <w:lang w:val="en"/>
        </w:rPr>
        <w:t xml:space="preserve">The decision to refuse entry clearance shows a lack of respect for the appellant’s rights under Article 8 which is disproportionate on the facts of this case. </w:t>
      </w:r>
      <w:r>
        <w:rPr>
          <w:rFonts w:ascii="Book Antiqua" w:hAnsi="Book Antiqua"/>
          <w:lang w:val="en"/>
        </w:rPr>
        <w:t xml:space="preserve">I conclude that the decision is unlawful under section 6 of the Human Rights Act 1998. </w:t>
      </w:r>
    </w:p>
    <w:p w14:paraId="1C90B3A7" w14:textId="77777777" w:rsidR="003450B7" w:rsidRDefault="003450B7" w:rsidP="00CD36E9">
      <w:pPr>
        <w:spacing w:before="160"/>
        <w:ind w:left="567" w:hanging="567"/>
        <w:jc w:val="both"/>
        <w:rPr>
          <w:rFonts w:ascii="Book Antiqua" w:hAnsi="Book Antiqua"/>
        </w:rPr>
      </w:pPr>
      <w:r>
        <w:rPr>
          <w:rFonts w:ascii="Book Antiqua" w:hAnsi="Book Antiqua"/>
        </w:rPr>
        <w:t>3</w:t>
      </w:r>
      <w:r w:rsidR="00785AA4">
        <w:rPr>
          <w:rFonts w:ascii="Book Antiqua" w:hAnsi="Book Antiqua"/>
        </w:rPr>
        <w:t>1</w:t>
      </w:r>
      <w:r>
        <w:rPr>
          <w:rFonts w:ascii="Book Antiqua" w:hAnsi="Book Antiqua"/>
        </w:rPr>
        <w:t>.</w:t>
      </w:r>
      <w:r>
        <w:rPr>
          <w:rFonts w:ascii="Book Antiqua" w:hAnsi="Book Antiqua"/>
        </w:rPr>
        <w:tab/>
        <w:t xml:space="preserve">I would urge the entry clearance post to prioritise this case given the appellant’s vulnerability and </w:t>
      </w:r>
      <w:r w:rsidR="004D71F6">
        <w:rPr>
          <w:rFonts w:ascii="Book Antiqua" w:hAnsi="Book Antiqua"/>
        </w:rPr>
        <w:t>his precarious circumstances in Bangladesh</w:t>
      </w:r>
      <w:r>
        <w:rPr>
          <w:rFonts w:ascii="Book Antiqua" w:hAnsi="Book Antiqua"/>
        </w:rPr>
        <w:t>.</w:t>
      </w:r>
    </w:p>
    <w:p w14:paraId="7648DA77" w14:textId="77777777" w:rsidR="00555F13" w:rsidRPr="008E445B" w:rsidRDefault="008E445B" w:rsidP="00CD36E9">
      <w:pPr>
        <w:spacing w:before="160"/>
        <w:jc w:val="both"/>
        <w:rPr>
          <w:rFonts w:ascii="Book Antiqua" w:hAnsi="Book Antiqua"/>
          <w:u w:val="single"/>
        </w:rPr>
      </w:pPr>
      <w:r w:rsidRPr="008E445B">
        <w:rPr>
          <w:rFonts w:ascii="Book Antiqua" w:hAnsi="Book Antiqua"/>
          <w:u w:val="single"/>
        </w:rPr>
        <w:t>DECISION</w:t>
      </w:r>
    </w:p>
    <w:p w14:paraId="63F20E66" w14:textId="77777777" w:rsidR="008E445B" w:rsidRDefault="008E445B" w:rsidP="00CD36E9">
      <w:pPr>
        <w:spacing w:before="160"/>
        <w:jc w:val="both"/>
        <w:rPr>
          <w:rFonts w:ascii="Book Antiqua" w:hAnsi="Book Antiqua"/>
        </w:rPr>
      </w:pPr>
      <w:r>
        <w:rPr>
          <w:rFonts w:ascii="Book Antiqua" w:hAnsi="Book Antiqua"/>
        </w:rPr>
        <w:t>The appeal is allowed on human rights grounds</w:t>
      </w:r>
    </w:p>
    <w:p w14:paraId="581F52F8" w14:textId="77777777" w:rsidR="004D71F6" w:rsidRDefault="004D71F6" w:rsidP="00555F13">
      <w:pPr>
        <w:jc w:val="both"/>
        <w:rPr>
          <w:rFonts w:ascii="Book Antiqua" w:hAnsi="Book Antiqua"/>
        </w:rPr>
      </w:pPr>
    </w:p>
    <w:p w14:paraId="44BECDDC" w14:textId="77777777" w:rsidR="00261E2E" w:rsidRDefault="00261E2E" w:rsidP="00555F13">
      <w:pPr>
        <w:jc w:val="both"/>
        <w:rPr>
          <w:rFonts w:ascii="Book Antiqua" w:hAnsi="Book Antiqua"/>
        </w:rPr>
      </w:pPr>
    </w:p>
    <w:p w14:paraId="66EC3BA0" w14:textId="77777777" w:rsidR="00A57676" w:rsidRDefault="00115648" w:rsidP="00933B65">
      <w:pPr>
        <w:tabs>
          <w:tab w:val="left" w:pos="567"/>
        </w:tabs>
        <w:jc w:val="both"/>
        <w:rPr>
          <w:rFonts w:ascii="Book Antiqua" w:hAnsi="Book Antiqua" w:cs="Arial"/>
        </w:rPr>
      </w:pPr>
      <w:r>
        <w:rPr>
          <w:rFonts w:ascii="Book Antiqua" w:hAnsi="Book Antiqua" w:cs="Arial"/>
        </w:rPr>
        <w:t>Signed</w:t>
      </w:r>
      <w:r w:rsidR="00BB40C3">
        <w:rPr>
          <w:rFonts w:ascii="Book Antiqua" w:hAnsi="Book Antiqua" w:cs="Arial"/>
        </w:rPr>
        <w:t xml:space="preserve">   </w:t>
      </w:r>
      <w:r w:rsidR="00B730F5" w:rsidRPr="000A38E1">
        <w:rPr>
          <w:rFonts w:ascii="Book Antiqua" w:hAnsi="Book Antiqua" w:cs="Arial"/>
          <w:noProof/>
        </w:rPr>
        <w:drawing>
          <wp:inline distT="0" distB="0" distL="0" distR="0" wp14:anchorId="370E158A" wp14:editId="325D1C4F">
            <wp:extent cx="1381125" cy="3714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1125" cy="371475"/>
                    </a:xfrm>
                    <a:prstGeom prst="rect">
                      <a:avLst/>
                    </a:prstGeom>
                    <a:noFill/>
                    <a:ln>
                      <a:noFill/>
                    </a:ln>
                  </pic:spPr>
                </pic:pic>
              </a:graphicData>
            </a:graphic>
          </wp:inline>
        </w:drawing>
      </w:r>
      <w:r w:rsidR="00A57676">
        <w:rPr>
          <w:rFonts w:ascii="Book Antiqua" w:hAnsi="Book Antiqua" w:cs="Arial"/>
        </w:rPr>
        <w:tab/>
      </w:r>
      <w:r>
        <w:rPr>
          <w:rFonts w:ascii="Book Antiqua" w:hAnsi="Book Antiqua" w:cs="Arial"/>
        </w:rPr>
        <w:t>Date</w:t>
      </w:r>
      <w:r w:rsidR="00056E7C">
        <w:rPr>
          <w:rFonts w:ascii="Book Antiqua" w:hAnsi="Book Antiqua" w:cs="Arial"/>
        </w:rPr>
        <w:t xml:space="preserve"> </w:t>
      </w:r>
      <w:r w:rsidR="004D71F6">
        <w:rPr>
          <w:rFonts w:ascii="Book Antiqua" w:hAnsi="Book Antiqua" w:cs="Arial"/>
        </w:rPr>
        <w:t>09 August 2018</w:t>
      </w:r>
    </w:p>
    <w:p w14:paraId="0FB846A4" w14:textId="77777777" w:rsidR="00270D89" w:rsidRDefault="00546523" w:rsidP="00933B65">
      <w:pPr>
        <w:tabs>
          <w:tab w:val="left" w:pos="567"/>
        </w:tabs>
        <w:jc w:val="both"/>
        <w:rPr>
          <w:rFonts w:ascii="Book Antiqua" w:hAnsi="Book Antiqua" w:cs="Arial"/>
        </w:rPr>
      </w:pPr>
      <w:r>
        <w:rPr>
          <w:rFonts w:ascii="Book Antiqua" w:hAnsi="Book Antiqua" w:cs="Arial"/>
        </w:rPr>
        <w:t xml:space="preserve">Upper Tribunal Judge </w:t>
      </w:r>
      <w:r w:rsidR="00A57676">
        <w:rPr>
          <w:rFonts w:ascii="Book Antiqua" w:hAnsi="Book Antiqua" w:cs="Arial"/>
        </w:rPr>
        <w:t>Canavan</w:t>
      </w:r>
    </w:p>
    <w:p w14:paraId="2B7AA911" w14:textId="77777777" w:rsidR="00546523" w:rsidRDefault="00546523" w:rsidP="00933B65">
      <w:pPr>
        <w:tabs>
          <w:tab w:val="left" w:pos="567"/>
        </w:tabs>
        <w:jc w:val="both"/>
        <w:rPr>
          <w:rFonts w:ascii="Book Antiqua" w:hAnsi="Book Antiqua" w:cs="Arial"/>
        </w:rPr>
      </w:pPr>
    </w:p>
    <w:p w14:paraId="1BB4C074" w14:textId="77777777" w:rsidR="00261E2E" w:rsidRDefault="00261E2E" w:rsidP="00933B65">
      <w:pPr>
        <w:tabs>
          <w:tab w:val="left" w:pos="567"/>
        </w:tabs>
        <w:jc w:val="both"/>
        <w:rPr>
          <w:rFonts w:ascii="Book Antiqua" w:hAnsi="Book Antiqua" w:cs="Arial"/>
        </w:rPr>
      </w:pPr>
    </w:p>
    <w:p w14:paraId="0047DC5D" w14:textId="77777777" w:rsidR="00780FD0" w:rsidRDefault="00780FD0" w:rsidP="00546523">
      <w:pPr>
        <w:tabs>
          <w:tab w:val="left" w:pos="567"/>
        </w:tabs>
        <w:jc w:val="both"/>
        <w:rPr>
          <w:rFonts w:ascii="Book Antiqua" w:hAnsi="Book Antiqua" w:cs="Arial"/>
          <w:u w:val="single"/>
        </w:rPr>
        <w:sectPr w:rsidR="00780FD0" w:rsidSect="00B52D80">
          <w:headerReference w:type="default" r:id="rId10"/>
          <w:footerReference w:type="default" r:id="rId11"/>
          <w:footerReference w:type="first" r:id="rId12"/>
          <w:pgSz w:w="11906" w:h="16838"/>
          <w:pgMar w:top="567" w:right="1134" w:bottom="1440" w:left="1134" w:header="709" w:footer="709" w:gutter="0"/>
          <w:cols w:space="708"/>
          <w:titlePg/>
          <w:docGrid w:linePitch="360"/>
        </w:sectPr>
      </w:pPr>
    </w:p>
    <w:p w14:paraId="5FDD946E" w14:textId="77777777" w:rsidR="002A3D28" w:rsidRDefault="002A3D28" w:rsidP="00780FD0">
      <w:pPr>
        <w:jc w:val="center"/>
        <w:rPr>
          <w:rFonts w:ascii="Arial" w:hAnsi="Arial" w:cs="Arial"/>
          <w:b/>
          <w:color w:val="000000"/>
          <w:sz w:val="32"/>
          <w:szCs w:val="32"/>
        </w:rPr>
      </w:pPr>
      <w:r w:rsidRPr="002A3D28">
        <w:rPr>
          <w:rFonts w:ascii="Arial" w:hAnsi="Arial" w:cs="Arial"/>
          <w:b/>
          <w:color w:val="000000"/>
          <w:sz w:val="32"/>
          <w:szCs w:val="32"/>
        </w:rPr>
        <w:lastRenderedPageBreak/>
        <w:t>[ANNEX]</w:t>
      </w:r>
    </w:p>
    <w:p w14:paraId="52942617" w14:textId="77777777" w:rsidR="00780FD0" w:rsidRPr="00CD36E9" w:rsidRDefault="00780FD0" w:rsidP="00780FD0">
      <w:pPr>
        <w:jc w:val="center"/>
        <w:rPr>
          <w:rFonts w:ascii="Arial" w:hAnsi="Arial" w:cs="Arial"/>
          <w:b/>
          <w:color w:val="000000"/>
          <w:sz w:val="16"/>
          <w:szCs w:val="16"/>
        </w:rPr>
      </w:pPr>
    </w:p>
    <w:p w14:paraId="18861853" w14:textId="77777777" w:rsidR="002A3D28" w:rsidRPr="00CD36E9" w:rsidRDefault="00B730F5" w:rsidP="002A3D28">
      <w:pPr>
        <w:jc w:val="center"/>
        <w:rPr>
          <w:rFonts w:ascii="Book Antiqua" w:hAnsi="Book Antiqua" w:cs="Arial"/>
          <w:color w:val="000000"/>
          <w:sz w:val="16"/>
          <w:szCs w:val="16"/>
        </w:rPr>
      </w:pPr>
      <w:r w:rsidRPr="00CD36E9">
        <w:rPr>
          <w:noProof/>
          <w:sz w:val="16"/>
          <w:szCs w:val="16"/>
        </w:rPr>
        <w:drawing>
          <wp:inline distT="0" distB="0" distL="0" distR="0" wp14:anchorId="3913DFFC" wp14:editId="4A84A5DB">
            <wp:extent cx="1495425" cy="1133475"/>
            <wp:effectExtent l="0" t="0" r="0" b="0"/>
            <wp:docPr id="3"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58E3B0DD" w14:textId="77777777" w:rsidR="002A3D28" w:rsidRPr="00F97703" w:rsidRDefault="002A3D28" w:rsidP="002A3D28">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14:paraId="3204F982" w14:textId="406E4619" w:rsidR="002A3D28" w:rsidRPr="00F97703" w:rsidRDefault="002A3D28" w:rsidP="002A3D28">
      <w:pPr>
        <w:tabs>
          <w:tab w:val="right" w:pos="9720"/>
        </w:tabs>
        <w:ind w:right="-82"/>
        <w:rPr>
          <w:rFonts w:ascii="Book Antiqua" w:hAnsi="Book Antiqua" w:cs="Arial"/>
          <w:color w:val="000000"/>
        </w:rPr>
      </w:pPr>
      <w:r w:rsidRPr="00F97703">
        <w:rPr>
          <w:rFonts w:ascii="Book Antiqua" w:hAnsi="Book Antiqua" w:cs="Arial"/>
          <w:b/>
          <w:color w:val="000000"/>
        </w:rPr>
        <w:t>(</w:t>
      </w:r>
      <w:r w:rsidR="006A7BF0">
        <w:rPr>
          <w:rFonts w:ascii="Book Antiqua" w:hAnsi="Book Antiqua" w:cs="Arial"/>
          <w:b/>
          <w:color w:val="000000"/>
        </w:rPr>
        <w:t xml:space="preserve">Immigration and Asylum </w:t>
      </w:r>
      <w:proofErr w:type="gramStart"/>
      <w:r w:rsidR="006A7BF0">
        <w:rPr>
          <w:rFonts w:ascii="Book Antiqua" w:hAnsi="Book Antiqua" w:cs="Arial"/>
          <w:b/>
          <w:color w:val="000000"/>
        </w:rPr>
        <w:t xml:space="preserve">Chamber)   </w:t>
      </w:r>
      <w:proofErr w:type="gramEnd"/>
      <w:r w:rsidR="006A7BF0">
        <w:rPr>
          <w:rFonts w:ascii="Book Antiqua" w:hAnsi="Book Antiqua" w:cs="Arial"/>
          <w:b/>
          <w:color w:val="000000"/>
        </w:rPr>
        <w:t xml:space="preserve">                               </w:t>
      </w:r>
      <w:r w:rsidRPr="00BC4B59">
        <w:rPr>
          <w:rFonts w:ascii="Book Antiqua" w:hAnsi="Book Antiqua" w:cs="Arial"/>
          <w:b/>
          <w:color w:val="000000"/>
        </w:rPr>
        <w:t>Appeal Number: HU/25693/2016</w:t>
      </w:r>
    </w:p>
    <w:p w14:paraId="03E4C74C" w14:textId="77777777" w:rsidR="002A3D28" w:rsidRDefault="002A3D28" w:rsidP="002A3D28">
      <w:pPr>
        <w:jc w:val="center"/>
        <w:rPr>
          <w:rFonts w:ascii="Book Antiqua" w:hAnsi="Book Antiqua" w:cs="Arial"/>
          <w:color w:val="000000"/>
        </w:rPr>
      </w:pPr>
    </w:p>
    <w:p w14:paraId="7ABE64A1" w14:textId="77777777" w:rsidR="00780FD0" w:rsidRPr="00F97703" w:rsidRDefault="00780FD0" w:rsidP="002A3D28">
      <w:pPr>
        <w:jc w:val="center"/>
        <w:rPr>
          <w:rFonts w:ascii="Book Antiqua" w:hAnsi="Book Antiqua" w:cs="Arial"/>
          <w:color w:val="000000"/>
        </w:rPr>
      </w:pPr>
    </w:p>
    <w:p w14:paraId="75277344" w14:textId="77777777" w:rsidR="002A3D28" w:rsidRPr="00F97703" w:rsidRDefault="002A3D28" w:rsidP="002A3D28">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14:paraId="057DDE6F" w14:textId="77777777" w:rsidR="002A3D28" w:rsidRDefault="002A3D28" w:rsidP="002A3D28">
      <w:pPr>
        <w:jc w:val="center"/>
        <w:rPr>
          <w:rFonts w:ascii="Book Antiqua" w:hAnsi="Book Antiqua" w:cs="Arial"/>
          <w:b/>
          <w:u w:val="single"/>
        </w:rPr>
      </w:pPr>
    </w:p>
    <w:p w14:paraId="48CAFD00" w14:textId="77777777" w:rsidR="00780FD0" w:rsidRPr="00F97703" w:rsidRDefault="00780FD0" w:rsidP="002A3D28">
      <w:pPr>
        <w:jc w:val="center"/>
        <w:rPr>
          <w:rFonts w:ascii="Book Antiqua" w:hAnsi="Book Antiqua" w:cs="Arial"/>
          <w:b/>
          <w:u w:val="single"/>
        </w:rPr>
      </w:pPr>
    </w:p>
    <w:tbl>
      <w:tblPr>
        <w:tblW w:w="0" w:type="auto"/>
        <w:tblLook w:val="01E0" w:firstRow="1" w:lastRow="1" w:firstColumn="1" w:lastColumn="1" w:noHBand="0" w:noVBand="0"/>
      </w:tblPr>
      <w:tblGrid>
        <w:gridCol w:w="5873"/>
        <w:gridCol w:w="3765"/>
      </w:tblGrid>
      <w:tr w:rsidR="002A3D28" w:rsidRPr="00AB1DC6" w14:paraId="319851D9" w14:textId="77777777" w:rsidTr="00462346">
        <w:tc>
          <w:tcPr>
            <w:tcW w:w="6048" w:type="dxa"/>
            <w:shd w:val="clear" w:color="auto" w:fill="auto"/>
          </w:tcPr>
          <w:p w14:paraId="2E58B714" w14:textId="77777777" w:rsidR="002A3D28" w:rsidRPr="00AB1DC6" w:rsidRDefault="002A3D28" w:rsidP="00462346">
            <w:pPr>
              <w:jc w:val="both"/>
              <w:rPr>
                <w:rFonts w:ascii="Book Antiqua" w:hAnsi="Book Antiqua" w:cs="Arial"/>
                <w:b/>
              </w:rPr>
            </w:pPr>
            <w:r w:rsidRPr="00AB1DC6">
              <w:rPr>
                <w:rFonts w:ascii="Book Antiqua" w:hAnsi="Book Antiqua" w:cs="Arial"/>
                <w:b/>
              </w:rPr>
              <w:t>Heard at Field House</w:t>
            </w:r>
          </w:p>
        </w:tc>
        <w:tc>
          <w:tcPr>
            <w:tcW w:w="3780" w:type="dxa"/>
            <w:shd w:val="clear" w:color="auto" w:fill="auto"/>
          </w:tcPr>
          <w:p w14:paraId="1C743815" w14:textId="77777777" w:rsidR="002A3D28" w:rsidRPr="00AB1DC6" w:rsidRDefault="002A3D28" w:rsidP="00462346">
            <w:pPr>
              <w:jc w:val="both"/>
              <w:rPr>
                <w:rFonts w:ascii="Book Antiqua" w:hAnsi="Book Antiqua" w:cs="Arial"/>
                <w:b/>
                <w:color w:val="000000"/>
              </w:rPr>
            </w:pPr>
            <w:r w:rsidRPr="00AB1DC6">
              <w:rPr>
                <w:rFonts w:ascii="Book Antiqua" w:hAnsi="Book Antiqua" w:cs="Arial"/>
                <w:b/>
                <w:color w:val="000000"/>
              </w:rPr>
              <w:t>Decision Promulgated</w:t>
            </w:r>
          </w:p>
        </w:tc>
      </w:tr>
      <w:tr w:rsidR="002A3D28" w:rsidRPr="00AB1DC6" w14:paraId="130931BD" w14:textId="77777777" w:rsidTr="00462346">
        <w:tc>
          <w:tcPr>
            <w:tcW w:w="6048" w:type="dxa"/>
            <w:shd w:val="clear" w:color="auto" w:fill="auto"/>
          </w:tcPr>
          <w:p w14:paraId="3B88D1F7" w14:textId="77777777" w:rsidR="002A3D28" w:rsidRPr="00AB1DC6" w:rsidRDefault="002A3D28" w:rsidP="00462346">
            <w:pPr>
              <w:jc w:val="both"/>
              <w:rPr>
                <w:rFonts w:ascii="Book Antiqua" w:hAnsi="Book Antiqua" w:cs="Arial"/>
                <w:b/>
              </w:rPr>
            </w:pPr>
            <w:r w:rsidRPr="00AB1DC6">
              <w:rPr>
                <w:rFonts w:ascii="Book Antiqua" w:hAnsi="Book Antiqua" w:cs="Arial"/>
                <w:b/>
              </w:rPr>
              <w:t xml:space="preserve">On </w:t>
            </w:r>
            <w:r>
              <w:rPr>
                <w:rFonts w:ascii="Book Antiqua" w:hAnsi="Book Antiqua" w:cs="Arial"/>
                <w:b/>
              </w:rPr>
              <w:t>23 April 2018</w:t>
            </w:r>
          </w:p>
        </w:tc>
        <w:tc>
          <w:tcPr>
            <w:tcW w:w="3780" w:type="dxa"/>
            <w:shd w:val="clear" w:color="auto" w:fill="auto"/>
          </w:tcPr>
          <w:p w14:paraId="0AEBCC4C" w14:textId="77777777" w:rsidR="002A3D28" w:rsidRPr="00AB1DC6" w:rsidRDefault="002A3D28" w:rsidP="00462346">
            <w:pPr>
              <w:jc w:val="both"/>
              <w:rPr>
                <w:rFonts w:ascii="Book Antiqua" w:hAnsi="Book Antiqua" w:cs="Arial"/>
                <w:b/>
              </w:rPr>
            </w:pPr>
          </w:p>
        </w:tc>
      </w:tr>
      <w:tr w:rsidR="002A3D28" w:rsidRPr="00AB1DC6" w14:paraId="4D08C761" w14:textId="77777777" w:rsidTr="00462346">
        <w:tc>
          <w:tcPr>
            <w:tcW w:w="6048" w:type="dxa"/>
            <w:shd w:val="clear" w:color="auto" w:fill="auto"/>
          </w:tcPr>
          <w:p w14:paraId="62C5E6FD" w14:textId="77777777" w:rsidR="002A3D28" w:rsidRPr="00AB1DC6" w:rsidRDefault="002A3D28" w:rsidP="00462346">
            <w:pPr>
              <w:jc w:val="both"/>
              <w:rPr>
                <w:rFonts w:ascii="Book Antiqua" w:hAnsi="Book Antiqua" w:cs="Arial"/>
                <w:b/>
              </w:rPr>
            </w:pPr>
          </w:p>
        </w:tc>
        <w:tc>
          <w:tcPr>
            <w:tcW w:w="3780" w:type="dxa"/>
            <w:shd w:val="clear" w:color="auto" w:fill="auto"/>
          </w:tcPr>
          <w:p w14:paraId="5D3B751D" w14:textId="77777777" w:rsidR="002A3D28" w:rsidRPr="00AB1DC6" w:rsidRDefault="002A3D28" w:rsidP="00462346">
            <w:pPr>
              <w:jc w:val="both"/>
              <w:rPr>
                <w:rFonts w:ascii="Book Antiqua" w:hAnsi="Book Antiqua" w:cs="Arial"/>
                <w:b/>
              </w:rPr>
            </w:pPr>
            <w:r w:rsidRPr="00AB1DC6">
              <w:rPr>
                <w:rFonts w:ascii="Book Antiqua" w:hAnsi="Book Antiqua" w:cs="Arial"/>
              </w:rPr>
              <w:t>…………………………………</w:t>
            </w:r>
          </w:p>
        </w:tc>
      </w:tr>
    </w:tbl>
    <w:p w14:paraId="64D5B904" w14:textId="77777777" w:rsidR="002A3D28" w:rsidRDefault="002A3D28" w:rsidP="002A3D28">
      <w:pPr>
        <w:jc w:val="center"/>
        <w:rPr>
          <w:rFonts w:ascii="Book Antiqua" w:hAnsi="Book Antiqua" w:cs="Arial"/>
          <w:b/>
          <w:u w:val="single"/>
        </w:rPr>
      </w:pPr>
    </w:p>
    <w:p w14:paraId="7627B40E" w14:textId="77777777" w:rsidR="00CD36E9" w:rsidRPr="00F97703" w:rsidRDefault="00CD36E9" w:rsidP="002A3D28">
      <w:pPr>
        <w:jc w:val="center"/>
        <w:rPr>
          <w:rFonts w:ascii="Book Antiqua" w:hAnsi="Book Antiqua" w:cs="Arial"/>
          <w:b/>
          <w:u w:val="single"/>
        </w:rPr>
      </w:pPr>
    </w:p>
    <w:p w14:paraId="6C33629D" w14:textId="77777777" w:rsidR="002A3D28" w:rsidRPr="00F97703" w:rsidRDefault="002A3D28" w:rsidP="002A3D28">
      <w:pPr>
        <w:jc w:val="center"/>
        <w:rPr>
          <w:rFonts w:ascii="Book Antiqua" w:hAnsi="Book Antiqua" w:cs="Arial"/>
          <w:b/>
        </w:rPr>
      </w:pPr>
      <w:r w:rsidRPr="00F97703">
        <w:rPr>
          <w:rFonts w:ascii="Book Antiqua" w:hAnsi="Book Antiqua" w:cs="Arial"/>
          <w:b/>
        </w:rPr>
        <w:t>Before</w:t>
      </w:r>
    </w:p>
    <w:p w14:paraId="0A5AFFAC" w14:textId="77777777" w:rsidR="002A3D28" w:rsidRDefault="002A3D28" w:rsidP="002A3D28">
      <w:pPr>
        <w:jc w:val="center"/>
        <w:rPr>
          <w:rFonts w:ascii="Book Antiqua" w:hAnsi="Book Antiqua" w:cs="Arial"/>
          <w:b/>
        </w:rPr>
      </w:pPr>
    </w:p>
    <w:p w14:paraId="600F2CD8" w14:textId="77777777" w:rsidR="002A3D28" w:rsidRPr="00F97703" w:rsidRDefault="002A3D28" w:rsidP="002A3D28">
      <w:pPr>
        <w:jc w:val="center"/>
        <w:rPr>
          <w:rFonts w:ascii="Book Antiqua" w:hAnsi="Book Antiqua" w:cs="Arial"/>
          <w:b/>
          <w:color w:val="000000"/>
        </w:rPr>
      </w:pPr>
      <w:r>
        <w:rPr>
          <w:rFonts w:ascii="Book Antiqua" w:hAnsi="Book Antiqua" w:cs="Arial"/>
          <w:b/>
          <w:color w:val="000000"/>
        </w:rPr>
        <w:t>UPPER TRIBUNAL JUDGE CANAVAN</w:t>
      </w:r>
    </w:p>
    <w:p w14:paraId="41383F9F" w14:textId="77777777" w:rsidR="002A3D28" w:rsidRDefault="002A3D28" w:rsidP="002A3D28">
      <w:pPr>
        <w:jc w:val="center"/>
        <w:rPr>
          <w:rFonts w:ascii="Book Antiqua" w:hAnsi="Book Antiqua" w:cs="Arial"/>
          <w:b/>
        </w:rPr>
      </w:pPr>
    </w:p>
    <w:p w14:paraId="25ED98D8" w14:textId="77777777" w:rsidR="002A3D28" w:rsidRPr="00F97703" w:rsidRDefault="002A3D28" w:rsidP="002A3D28">
      <w:pPr>
        <w:jc w:val="center"/>
        <w:rPr>
          <w:rFonts w:ascii="Book Antiqua" w:hAnsi="Book Antiqua" w:cs="Arial"/>
          <w:b/>
        </w:rPr>
      </w:pPr>
    </w:p>
    <w:p w14:paraId="270D6765" w14:textId="77777777" w:rsidR="002A3D28" w:rsidRDefault="002A3D28" w:rsidP="002A3D28">
      <w:pPr>
        <w:jc w:val="center"/>
        <w:rPr>
          <w:rFonts w:ascii="Book Antiqua" w:hAnsi="Book Antiqua" w:cs="Arial"/>
          <w:b/>
        </w:rPr>
      </w:pPr>
      <w:r w:rsidRPr="00F97703">
        <w:rPr>
          <w:rFonts w:ascii="Book Antiqua" w:hAnsi="Book Antiqua" w:cs="Arial"/>
          <w:b/>
        </w:rPr>
        <w:t>Between</w:t>
      </w:r>
    </w:p>
    <w:p w14:paraId="484447C3" w14:textId="77777777" w:rsidR="002A3D28" w:rsidRDefault="002A3D28" w:rsidP="002A3D28">
      <w:pPr>
        <w:jc w:val="center"/>
        <w:rPr>
          <w:rFonts w:ascii="Book Antiqua" w:hAnsi="Book Antiqua" w:cs="Arial"/>
          <w:b/>
        </w:rPr>
      </w:pPr>
    </w:p>
    <w:p w14:paraId="7E81D4E9" w14:textId="5D733210" w:rsidR="002A3D28" w:rsidRDefault="00171FFA" w:rsidP="002A3D28">
      <w:pPr>
        <w:jc w:val="center"/>
        <w:rPr>
          <w:rFonts w:ascii="Book Antiqua" w:hAnsi="Book Antiqua" w:cs="Arial"/>
          <w:b/>
        </w:rPr>
      </w:pPr>
      <w:r>
        <w:rPr>
          <w:rFonts w:ascii="Book Antiqua" w:hAnsi="Book Antiqua" w:cs="Arial"/>
          <w:b/>
        </w:rPr>
        <w:t>S B</w:t>
      </w:r>
    </w:p>
    <w:p w14:paraId="55D1DD03" w14:textId="77777777" w:rsidR="002A3D28" w:rsidRDefault="002A3D28" w:rsidP="002A3D28">
      <w:pPr>
        <w:jc w:val="right"/>
        <w:rPr>
          <w:rFonts w:ascii="Book Antiqua" w:hAnsi="Book Antiqua" w:cs="Arial"/>
          <w:u w:val="single"/>
        </w:rPr>
      </w:pPr>
      <w:r w:rsidRPr="00F97703">
        <w:rPr>
          <w:rFonts w:ascii="Book Antiqua" w:hAnsi="Book Antiqua" w:cs="Arial"/>
          <w:u w:val="single"/>
        </w:rPr>
        <w:t>Appellant</w:t>
      </w:r>
    </w:p>
    <w:p w14:paraId="6F18AB5B" w14:textId="77777777" w:rsidR="002A3D28" w:rsidRPr="00F97703" w:rsidRDefault="002A3D28" w:rsidP="002A3D28">
      <w:pPr>
        <w:jc w:val="center"/>
        <w:rPr>
          <w:rFonts w:ascii="Book Antiqua" w:hAnsi="Book Antiqua" w:cs="Arial"/>
          <w:b/>
        </w:rPr>
      </w:pPr>
      <w:r w:rsidRPr="00F97703">
        <w:rPr>
          <w:rFonts w:ascii="Book Antiqua" w:hAnsi="Book Antiqua" w:cs="Arial"/>
          <w:b/>
        </w:rPr>
        <w:t>and</w:t>
      </w:r>
    </w:p>
    <w:p w14:paraId="2072B826" w14:textId="77777777" w:rsidR="002A3D28" w:rsidRPr="00F97703" w:rsidRDefault="002A3D28" w:rsidP="002A3D28">
      <w:pPr>
        <w:jc w:val="center"/>
        <w:rPr>
          <w:rFonts w:ascii="Book Antiqua" w:hAnsi="Book Antiqua" w:cs="Arial"/>
          <w:b/>
        </w:rPr>
      </w:pPr>
    </w:p>
    <w:p w14:paraId="6C0F4778" w14:textId="77777777" w:rsidR="002A3D28" w:rsidRPr="00F97703" w:rsidRDefault="002A3D28" w:rsidP="002A3D28">
      <w:pPr>
        <w:jc w:val="center"/>
        <w:rPr>
          <w:rFonts w:ascii="Book Antiqua" w:hAnsi="Book Antiqua" w:cs="Arial"/>
          <w:b/>
        </w:rPr>
      </w:pPr>
      <w:r>
        <w:rPr>
          <w:rFonts w:ascii="Book Antiqua" w:hAnsi="Book Antiqua" w:cs="Arial"/>
          <w:b/>
        </w:rPr>
        <w:t>ENTRY CLEARANCE OFFICER (NEW DELHI)</w:t>
      </w:r>
    </w:p>
    <w:p w14:paraId="2135B33E" w14:textId="77777777" w:rsidR="002A3D28" w:rsidRPr="00F97703" w:rsidRDefault="002A3D28" w:rsidP="002A3D28">
      <w:pPr>
        <w:jc w:val="right"/>
        <w:rPr>
          <w:rFonts w:ascii="Book Antiqua" w:hAnsi="Book Antiqua" w:cs="Arial"/>
          <w:u w:val="single"/>
        </w:rPr>
      </w:pPr>
      <w:r w:rsidRPr="00F97703">
        <w:rPr>
          <w:rFonts w:ascii="Book Antiqua" w:hAnsi="Book Antiqua" w:cs="Arial"/>
          <w:u w:val="single"/>
        </w:rPr>
        <w:t>Respondent</w:t>
      </w:r>
    </w:p>
    <w:p w14:paraId="242A13B0" w14:textId="77777777" w:rsidR="002A3D28" w:rsidRDefault="002A3D28" w:rsidP="002A3D28">
      <w:pPr>
        <w:rPr>
          <w:rFonts w:ascii="Book Antiqua" w:hAnsi="Book Antiqua" w:cs="Arial"/>
          <w:u w:val="single"/>
        </w:rPr>
      </w:pPr>
    </w:p>
    <w:p w14:paraId="696C8C71" w14:textId="36387158" w:rsidR="002A3D28" w:rsidRDefault="002A3D28" w:rsidP="002A3D28">
      <w:pPr>
        <w:rPr>
          <w:rFonts w:ascii="Book Antiqua" w:hAnsi="Book Antiqua" w:cs="Arial"/>
          <w:b/>
          <w:u w:val="single"/>
        </w:rPr>
      </w:pPr>
      <w:r w:rsidRPr="00405694">
        <w:rPr>
          <w:rFonts w:ascii="Book Antiqua" w:hAnsi="Book Antiqua" w:cs="Arial"/>
          <w:b/>
          <w:u w:val="single"/>
        </w:rPr>
        <w:t>Representation:</w:t>
      </w:r>
    </w:p>
    <w:p w14:paraId="2E611C47" w14:textId="77777777" w:rsidR="007F6C24" w:rsidRDefault="007F6C24" w:rsidP="002A3D28">
      <w:pPr>
        <w:rPr>
          <w:rFonts w:ascii="Book Antiqua" w:hAnsi="Book Antiqua" w:cs="Arial"/>
          <w:b/>
          <w:u w:val="single"/>
        </w:rPr>
      </w:pPr>
      <w:bookmarkStart w:id="0" w:name="_GoBack"/>
      <w:bookmarkEnd w:id="0"/>
    </w:p>
    <w:p w14:paraId="0454BC6C" w14:textId="77777777" w:rsidR="002A3D28" w:rsidRDefault="002A3D28" w:rsidP="002A3D28">
      <w:pPr>
        <w:rPr>
          <w:rFonts w:ascii="Book Antiqua" w:hAnsi="Book Antiqua" w:cs="Arial"/>
        </w:rPr>
      </w:pPr>
      <w:r>
        <w:rPr>
          <w:rFonts w:ascii="Book Antiqua" w:hAnsi="Book Antiqua" w:cs="Arial"/>
        </w:rPr>
        <w:t>For the appellant:</w:t>
      </w:r>
      <w:r>
        <w:rPr>
          <w:rFonts w:ascii="Book Antiqua" w:hAnsi="Book Antiqua" w:cs="Arial"/>
        </w:rPr>
        <w:tab/>
      </w:r>
      <w:r>
        <w:rPr>
          <w:rFonts w:ascii="Book Antiqua" w:hAnsi="Book Antiqua" w:cs="Arial"/>
        </w:rPr>
        <w:tab/>
        <w:t xml:space="preserve">Mr M. West, Counsel instructed by </w:t>
      </w:r>
      <w:proofErr w:type="spellStart"/>
      <w:r>
        <w:rPr>
          <w:rFonts w:ascii="Book Antiqua" w:hAnsi="Book Antiqua" w:cs="Arial"/>
        </w:rPr>
        <w:t>Londonium</w:t>
      </w:r>
      <w:proofErr w:type="spellEnd"/>
      <w:r>
        <w:rPr>
          <w:rFonts w:ascii="Book Antiqua" w:hAnsi="Book Antiqua" w:cs="Arial"/>
        </w:rPr>
        <w:t xml:space="preserve"> Solicitors</w:t>
      </w:r>
    </w:p>
    <w:p w14:paraId="41CD27E4" w14:textId="77777777" w:rsidR="002A3D28" w:rsidRDefault="002A3D28" w:rsidP="002A3D28">
      <w:pPr>
        <w:rPr>
          <w:rFonts w:ascii="Book Antiqua" w:hAnsi="Book Antiqua" w:cs="Arial"/>
        </w:rPr>
      </w:pPr>
      <w:r>
        <w:rPr>
          <w:rFonts w:ascii="Book Antiqua" w:hAnsi="Book Antiqua" w:cs="Arial"/>
        </w:rPr>
        <w:t>For the respondent:</w:t>
      </w:r>
      <w:r>
        <w:rPr>
          <w:rFonts w:ascii="Book Antiqua" w:hAnsi="Book Antiqua" w:cs="Arial"/>
        </w:rPr>
        <w:tab/>
      </w:r>
      <w:r>
        <w:rPr>
          <w:rFonts w:ascii="Book Antiqua" w:hAnsi="Book Antiqua" w:cs="Arial"/>
        </w:rPr>
        <w:tab/>
        <w:t>Mr I. Jarvis, Senior Home Office Presenting Officer</w:t>
      </w:r>
    </w:p>
    <w:p w14:paraId="7680398E" w14:textId="77777777" w:rsidR="002A3D28" w:rsidRDefault="002A3D28" w:rsidP="002A3D28">
      <w:pPr>
        <w:rPr>
          <w:rFonts w:ascii="Book Antiqua" w:hAnsi="Book Antiqua" w:cs="Arial"/>
        </w:rPr>
      </w:pPr>
    </w:p>
    <w:p w14:paraId="302CF3B9" w14:textId="77777777" w:rsidR="002A3D28" w:rsidRPr="00405694" w:rsidRDefault="002A3D28" w:rsidP="002A3D28">
      <w:pPr>
        <w:rPr>
          <w:rFonts w:ascii="Book Antiqua" w:hAnsi="Book Antiqua" w:cs="Arial"/>
        </w:rPr>
      </w:pPr>
    </w:p>
    <w:p w14:paraId="478ED2DA" w14:textId="77777777" w:rsidR="002A3D28" w:rsidRDefault="002A3D28" w:rsidP="002A3D28">
      <w:pPr>
        <w:tabs>
          <w:tab w:val="left" w:pos="2520"/>
        </w:tabs>
        <w:jc w:val="center"/>
        <w:rPr>
          <w:rFonts w:ascii="Book Antiqua" w:hAnsi="Book Antiqua" w:cs="Arial"/>
        </w:rPr>
      </w:pPr>
      <w:r>
        <w:rPr>
          <w:rFonts w:ascii="Book Antiqua" w:hAnsi="Book Antiqua" w:cs="Arial"/>
          <w:b/>
          <w:u w:val="single"/>
        </w:rPr>
        <w:t>DECISION</w:t>
      </w:r>
      <w:r w:rsidRPr="00F97703">
        <w:rPr>
          <w:rFonts w:ascii="Book Antiqua" w:hAnsi="Book Antiqua" w:cs="Arial"/>
          <w:b/>
          <w:u w:val="single"/>
        </w:rPr>
        <w:t xml:space="preserve"> AND REASONS</w:t>
      </w:r>
    </w:p>
    <w:p w14:paraId="4D3BDC72" w14:textId="77777777" w:rsidR="002A3D28" w:rsidRPr="00D9322B" w:rsidRDefault="002A3D28" w:rsidP="00CD36E9">
      <w:pPr>
        <w:pStyle w:val="NormalWeb"/>
        <w:spacing w:beforeLines="0" w:before="160" w:afterLines="0"/>
        <w:ind w:left="567" w:hanging="567"/>
        <w:jc w:val="both"/>
        <w:rPr>
          <w:rFonts w:ascii="Book Antiqua" w:hAnsi="Book Antiqua"/>
          <w:color w:val="000000"/>
          <w:sz w:val="24"/>
        </w:rPr>
      </w:pPr>
      <w:r w:rsidRPr="00D9322B">
        <w:rPr>
          <w:rFonts w:ascii="Book Antiqua" w:hAnsi="Book Antiqua"/>
          <w:color w:val="000000"/>
          <w:sz w:val="24"/>
        </w:rPr>
        <w:t xml:space="preserve">1. </w:t>
      </w:r>
      <w:r w:rsidRPr="00D9322B">
        <w:rPr>
          <w:rFonts w:ascii="Book Antiqua" w:hAnsi="Book Antiqua"/>
          <w:color w:val="000000"/>
          <w:sz w:val="24"/>
        </w:rPr>
        <w:tab/>
        <w:t xml:space="preserve">The appellant appealed the respondent’s decision dated 19 October 2016 to refuse </w:t>
      </w:r>
      <w:proofErr w:type="gramStart"/>
      <w:r w:rsidRPr="00D9322B">
        <w:rPr>
          <w:rFonts w:ascii="Book Antiqua" w:hAnsi="Book Antiqua"/>
          <w:color w:val="000000"/>
          <w:sz w:val="24"/>
        </w:rPr>
        <w:t>a human rights</w:t>
      </w:r>
      <w:proofErr w:type="gramEnd"/>
      <w:r w:rsidRPr="00D9322B">
        <w:rPr>
          <w:rFonts w:ascii="Book Antiqua" w:hAnsi="Book Antiqua"/>
          <w:color w:val="000000"/>
          <w:sz w:val="24"/>
        </w:rPr>
        <w:t xml:space="preserve"> claim in the context of an application for entry clearance as an Adult Dependent Relative.</w:t>
      </w:r>
      <w:r w:rsidRPr="00D9322B">
        <w:rPr>
          <w:rStyle w:val="apple-converted-space"/>
          <w:rFonts w:ascii="Book Antiqua" w:hAnsi="Book Antiqua"/>
          <w:color w:val="000000"/>
          <w:sz w:val="24"/>
        </w:rPr>
        <w:t> </w:t>
      </w:r>
    </w:p>
    <w:p w14:paraId="0C84E6CC" w14:textId="77777777" w:rsidR="002A3D28" w:rsidRPr="00D9322B" w:rsidRDefault="002A3D28" w:rsidP="00CD36E9">
      <w:pPr>
        <w:pStyle w:val="NormalWeb"/>
        <w:spacing w:beforeLines="0" w:before="160" w:afterLines="0"/>
        <w:ind w:left="567" w:hanging="567"/>
        <w:jc w:val="both"/>
        <w:rPr>
          <w:rFonts w:ascii="Book Antiqua" w:hAnsi="Book Antiqua"/>
          <w:color w:val="000000"/>
          <w:sz w:val="24"/>
        </w:rPr>
      </w:pPr>
      <w:r w:rsidRPr="00D9322B">
        <w:rPr>
          <w:rFonts w:ascii="Book Antiqua" w:hAnsi="Book Antiqua"/>
          <w:color w:val="000000"/>
          <w:sz w:val="24"/>
        </w:rPr>
        <w:lastRenderedPageBreak/>
        <w:t xml:space="preserve">2. </w:t>
      </w:r>
      <w:r w:rsidRPr="00D9322B">
        <w:rPr>
          <w:rFonts w:ascii="Book Antiqua" w:hAnsi="Book Antiqua"/>
          <w:color w:val="000000"/>
          <w:sz w:val="24"/>
        </w:rPr>
        <w:tab/>
        <w:t>First-tier Tribunal Judge Callow (“the judge”) dismissed the appeal in a decision promulgated on 10 November 2017. The judge made the following findings relating to the requirements of Appendix FM of the immigration rules:</w:t>
      </w:r>
      <w:r w:rsidRPr="00D9322B">
        <w:rPr>
          <w:rStyle w:val="apple-converted-space"/>
          <w:rFonts w:ascii="Book Antiqua" w:hAnsi="Book Antiqua"/>
          <w:color w:val="000000"/>
          <w:sz w:val="24"/>
        </w:rPr>
        <w:t> </w:t>
      </w:r>
    </w:p>
    <w:p w14:paraId="6196CA5E" w14:textId="77777777" w:rsidR="002A3D28" w:rsidRPr="00CD36E9" w:rsidRDefault="002A3D28" w:rsidP="00CD36E9">
      <w:pPr>
        <w:pStyle w:val="NormalWeb"/>
        <w:spacing w:beforeLines="0" w:before="120" w:afterLines="0"/>
        <w:ind w:left="1701" w:right="567" w:hanging="567"/>
        <w:jc w:val="both"/>
        <w:rPr>
          <w:rFonts w:ascii="Book Antiqua" w:hAnsi="Book Antiqua"/>
          <w:color w:val="000000"/>
          <w:sz w:val="22"/>
        </w:rPr>
      </w:pPr>
      <w:r w:rsidRPr="00CD36E9">
        <w:rPr>
          <w:rFonts w:ascii="Book Antiqua" w:hAnsi="Book Antiqua"/>
          <w:color w:val="000000"/>
          <w:sz w:val="22"/>
        </w:rPr>
        <w:t xml:space="preserve">“7. </w:t>
      </w:r>
      <w:r w:rsidRPr="00CD36E9">
        <w:rPr>
          <w:rFonts w:ascii="Book Antiqua" w:hAnsi="Book Antiqua"/>
          <w:color w:val="000000"/>
          <w:sz w:val="22"/>
        </w:rPr>
        <w:tab/>
        <w:t>In giving his evidence, the sponsor impressed as being a credible witness. Notwithstanding the deficiencies in the documentary evidence it has been established on a balance of probabilities that the parties are related as claimed and that the appellant, financially supported by the sponsor, needs care. However, there are facilities available in</w:t>
      </w:r>
      <w:r w:rsidRPr="00CD36E9">
        <w:rPr>
          <w:rStyle w:val="apple-converted-space"/>
          <w:rFonts w:ascii="Book Antiqua" w:hAnsi="Book Antiqua"/>
          <w:color w:val="000000"/>
          <w:sz w:val="22"/>
        </w:rPr>
        <w:t> </w:t>
      </w:r>
      <w:r w:rsidRPr="00CD36E9">
        <w:rPr>
          <w:rFonts w:ascii="Book Antiqua" w:hAnsi="Book Antiqua"/>
          <w:color w:val="000000"/>
          <w:sz w:val="22"/>
        </w:rPr>
        <w:t>Bangladesh and the sponsor, a man of means owning four properties in employment and with savings of £50,000, can pay for the appellant to be cared for by Hospice Bangladesh ltd or a similar organisation and can continue to receive treatment from psychiatrists and eye specialists in Bangladesh.</w:t>
      </w:r>
      <w:r w:rsidRPr="00CD36E9">
        <w:rPr>
          <w:rStyle w:val="apple-converted-space"/>
          <w:rFonts w:ascii="Book Antiqua" w:hAnsi="Book Antiqua"/>
          <w:color w:val="000000"/>
          <w:sz w:val="22"/>
        </w:rPr>
        <w:t> </w:t>
      </w:r>
    </w:p>
    <w:p w14:paraId="70DE6312" w14:textId="77777777" w:rsidR="002A3D28" w:rsidRPr="00CD36E9" w:rsidRDefault="002A3D28" w:rsidP="00CD36E9">
      <w:pPr>
        <w:pStyle w:val="NormalWeb"/>
        <w:spacing w:beforeLines="0" w:before="120" w:afterLines="0"/>
        <w:ind w:left="1701" w:right="567" w:hanging="567"/>
        <w:jc w:val="both"/>
        <w:rPr>
          <w:rFonts w:ascii="Book Antiqua" w:hAnsi="Book Antiqua"/>
          <w:color w:val="000000"/>
          <w:sz w:val="22"/>
        </w:rPr>
      </w:pPr>
      <w:r w:rsidRPr="00CD36E9">
        <w:rPr>
          <w:rFonts w:ascii="Book Antiqua" w:hAnsi="Book Antiqua"/>
          <w:color w:val="000000"/>
          <w:sz w:val="22"/>
        </w:rPr>
        <w:t xml:space="preserve">8. </w:t>
      </w:r>
      <w:r w:rsidRPr="00CD36E9">
        <w:rPr>
          <w:rFonts w:ascii="Book Antiqua" w:hAnsi="Book Antiqua"/>
          <w:color w:val="000000"/>
          <w:sz w:val="22"/>
        </w:rPr>
        <w:tab/>
        <w:t>As to the care required by the appellant, I draw on the guidance in BRITCITS [2017] EWCA Civ 368 at [59]: ‘Second, as is apparent from the Rules and the Guidance the focus is on whether the care required by the ADR applicant can be “reasonably” provided and to “the required level” in their home country. As Mr Sheldon confirmed in his oral submissions, the provision of care in the home country must be reasonable both from the perspective of the provider and the perspective of the applicant, and the standard of such care must be what is required for that particular applicant. It is possible that insufficient attention has been paid in the past to these considerations, which focus on what care is both necessary and reasonable for the applicant to receive in their home country. Those considerations include issues as to the accessibility and geographical location of the provision of care and the standard of care. They are capable of embracing emotional and psychological requirements verified by expert medical evidence. What is reasonable is, of course, to be objectively assessed. The facts in the present appeal are such that the required care concerning the appellant can reasonably be provided at the required level in Bangladesh.”</w:t>
      </w:r>
      <w:r w:rsidRPr="00CD36E9">
        <w:rPr>
          <w:rStyle w:val="apple-converted-space"/>
          <w:rFonts w:ascii="Book Antiqua" w:hAnsi="Book Antiqua"/>
          <w:color w:val="000000"/>
          <w:sz w:val="22"/>
        </w:rPr>
        <w:t> </w:t>
      </w:r>
    </w:p>
    <w:p w14:paraId="1E8B8B19" w14:textId="77777777" w:rsidR="002A3D28" w:rsidRPr="00D9322B" w:rsidRDefault="002A3D28" w:rsidP="00CD36E9">
      <w:pPr>
        <w:pStyle w:val="NormalWeb"/>
        <w:spacing w:beforeLines="0" w:before="160" w:afterLines="0"/>
        <w:ind w:left="567" w:hanging="567"/>
        <w:jc w:val="both"/>
        <w:rPr>
          <w:rFonts w:ascii="Book Antiqua" w:hAnsi="Book Antiqua"/>
          <w:color w:val="000000"/>
          <w:sz w:val="24"/>
        </w:rPr>
      </w:pPr>
      <w:r w:rsidRPr="00D9322B">
        <w:rPr>
          <w:rFonts w:ascii="Book Antiqua" w:hAnsi="Book Antiqua"/>
          <w:color w:val="000000"/>
          <w:sz w:val="24"/>
        </w:rPr>
        <w:t xml:space="preserve">3. </w:t>
      </w:r>
      <w:r w:rsidRPr="00D9322B">
        <w:rPr>
          <w:rFonts w:ascii="Book Antiqua" w:hAnsi="Book Antiqua"/>
          <w:color w:val="000000"/>
          <w:sz w:val="24"/>
        </w:rPr>
        <w:tab/>
        <w:t xml:space="preserve">The judge went on to consider whether the refusal of entry clearance might constitute a breach of Article 8 outside the immigration rules. He accepted that the appellant had a ‘family life’ within the meaning of Article 8 with the sponsor and his wife in the UK, but concluded that the interference was proportionate in the circumstances of the case [18]. The judge rejected the assertion that the UK had an obligation to consider whether Article 3 justified admitting the appellant to the UK on health grounds. He distinguished this case from </w:t>
      </w:r>
      <w:r w:rsidRPr="00D9322B">
        <w:rPr>
          <w:rFonts w:ascii="Book Antiqua" w:hAnsi="Book Antiqua"/>
          <w:i/>
          <w:color w:val="000000"/>
          <w:sz w:val="24"/>
        </w:rPr>
        <w:t xml:space="preserve">SSHD v MM (Zimbabwe) </w:t>
      </w:r>
      <w:r w:rsidRPr="00D9322B">
        <w:rPr>
          <w:rFonts w:ascii="Book Antiqua" w:hAnsi="Book Antiqua"/>
          <w:color w:val="000000"/>
          <w:sz w:val="24"/>
        </w:rPr>
        <w:t xml:space="preserve">[2017] EWCA Civ 797, which involved the deportation of a foreign criminal from the </w:t>
      </w:r>
      <w:r>
        <w:rPr>
          <w:rFonts w:ascii="Book Antiqua" w:hAnsi="Book Antiqua"/>
          <w:color w:val="000000"/>
          <w:sz w:val="24"/>
        </w:rPr>
        <w:t xml:space="preserve">UK </w:t>
      </w:r>
      <w:r w:rsidRPr="00D9322B">
        <w:rPr>
          <w:rFonts w:ascii="Book Antiqua" w:hAnsi="Book Antiqua"/>
          <w:color w:val="000000"/>
          <w:sz w:val="24"/>
        </w:rPr>
        <w:t>[22].</w:t>
      </w:r>
      <w:r w:rsidRPr="00D9322B">
        <w:rPr>
          <w:rStyle w:val="apple-converted-space"/>
          <w:rFonts w:ascii="Book Antiqua" w:hAnsi="Book Antiqua"/>
          <w:color w:val="000000"/>
          <w:sz w:val="24"/>
        </w:rPr>
        <w:t> </w:t>
      </w:r>
    </w:p>
    <w:p w14:paraId="6A6404BD" w14:textId="77777777" w:rsidR="002A3D28" w:rsidRPr="00D9322B" w:rsidRDefault="002A3D28" w:rsidP="00CD36E9">
      <w:pPr>
        <w:pStyle w:val="NormalWeb"/>
        <w:spacing w:beforeLines="0" w:before="160" w:afterLines="0"/>
        <w:ind w:left="567" w:hanging="567"/>
        <w:jc w:val="both"/>
        <w:rPr>
          <w:rFonts w:ascii="Book Antiqua" w:hAnsi="Book Antiqua"/>
          <w:color w:val="000000"/>
          <w:sz w:val="24"/>
        </w:rPr>
      </w:pPr>
      <w:r w:rsidRPr="00D9322B">
        <w:rPr>
          <w:rFonts w:ascii="Book Antiqua" w:hAnsi="Book Antiqua"/>
          <w:color w:val="000000"/>
          <w:sz w:val="24"/>
        </w:rPr>
        <w:t xml:space="preserve">4. </w:t>
      </w:r>
      <w:r w:rsidRPr="00D9322B">
        <w:rPr>
          <w:rFonts w:ascii="Book Antiqua" w:hAnsi="Book Antiqua"/>
          <w:color w:val="000000"/>
          <w:sz w:val="24"/>
        </w:rPr>
        <w:tab/>
        <w:t>The appellant appealed the First-tier Tribunal decision on the following grounds:</w:t>
      </w:r>
      <w:r w:rsidRPr="00D9322B">
        <w:rPr>
          <w:rStyle w:val="apple-converted-space"/>
          <w:rFonts w:ascii="Book Antiqua" w:hAnsi="Book Antiqua"/>
          <w:color w:val="000000"/>
          <w:sz w:val="24"/>
        </w:rPr>
        <w:t> </w:t>
      </w:r>
    </w:p>
    <w:p w14:paraId="1A16AB84" w14:textId="77777777" w:rsidR="002A3D28" w:rsidRPr="00D9322B" w:rsidRDefault="002A3D28" w:rsidP="00CD36E9">
      <w:pPr>
        <w:pStyle w:val="NormalWeb"/>
        <w:spacing w:beforeLines="0" w:before="120" w:afterLines="0"/>
        <w:ind w:left="1134" w:hanging="567"/>
        <w:jc w:val="both"/>
        <w:rPr>
          <w:rFonts w:ascii="Book Antiqua" w:hAnsi="Book Antiqua"/>
          <w:color w:val="000000"/>
          <w:sz w:val="24"/>
        </w:rPr>
      </w:pPr>
      <w:r w:rsidRPr="00D9322B">
        <w:rPr>
          <w:rFonts w:ascii="Book Antiqua" w:hAnsi="Book Antiqua"/>
          <w:color w:val="000000"/>
          <w:sz w:val="24"/>
        </w:rPr>
        <w:t>(</w:t>
      </w:r>
      <w:proofErr w:type="spellStart"/>
      <w:r w:rsidRPr="00D9322B">
        <w:rPr>
          <w:rFonts w:ascii="Book Antiqua" w:hAnsi="Book Antiqua"/>
          <w:color w:val="000000"/>
          <w:sz w:val="24"/>
        </w:rPr>
        <w:t>i</w:t>
      </w:r>
      <w:proofErr w:type="spellEnd"/>
      <w:r w:rsidRPr="00D9322B">
        <w:rPr>
          <w:rFonts w:ascii="Book Antiqua" w:hAnsi="Book Antiqua"/>
          <w:color w:val="000000"/>
          <w:sz w:val="24"/>
        </w:rPr>
        <w:t xml:space="preserve">) </w:t>
      </w:r>
      <w:r w:rsidRPr="00D9322B">
        <w:rPr>
          <w:rFonts w:ascii="Book Antiqua" w:hAnsi="Book Antiqua"/>
          <w:color w:val="000000"/>
          <w:sz w:val="24"/>
        </w:rPr>
        <w:tab/>
        <w:t xml:space="preserve">The First-tier Tribunal failed to give adequate reasons and/or </w:t>
      </w:r>
      <w:r>
        <w:rPr>
          <w:rFonts w:ascii="Book Antiqua" w:hAnsi="Book Antiqua"/>
          <w:color w:val="000000"/>
          <w:sz w:val="24"/>
        </w:rPr>
        <w:t xml:space="preserve">failed to </w:t>
      </w:r>
      <w:r w:rsidRPr="00D9322B">
        <w:rPr>
          <w:rFonts w:ascii="Book Antiqua" w:hAnsi="Book Antiqua"/>
          <w:color w:val="000000"/>
          <w:sz w:val="24"/>
        </w:rPr>
        <w:t>conduct an adequate analysis of the tests set out in the immigration rules.</w:t>
      </w:r>
      <w:r w:rsidRPr="00D9322B">
        <w:rPr>
          <w:rStyle w:val="apple-converted-space"/>
          <w:rFonts w:ascii="Book Antiqua" w:hAnsi="Book Antiqua"/>
          <w:color w:val="000000"/>
          <w:sz w:val="24"/>
        </w:rPr>
        <w:t> </w:t>
      </w:r>
    </w:p>
    <w:p w14:paraId="72BEAD28" w14:textId="77777777" w:rsidR="002A3D28" w:rsidRPr="00D9322B" w:rsidRDefault="002A3D28" w:rsidP="00CD36E9">
      <w:pPr>
        <w:pStyle w:val="NormalWeb"/>
        <w:spacing w:beforeLines="0" w:before="120" w:afterLines="0"/>
        <w:ind w:left="1134" w:hanging="567"/>
        <w:jc w:val="both"/>
        <w:rPr>
          <w:rFonts w:ascii="Book Antiqua" w:hAnsi="Book Antiqua"/>
          <w:color w:val="000000"/>
          <w:sz w:val="24"/>
        </w:rPr>
      </w:pPr>
      <w:r w:rsidRPr="00D9322B">
        <w:rPr>
          <w:rFonts w:ascii="Book Antiqua" w:hAnsi="Book Antiqua"/>
          <w:color w:val="000000"/>
          <w:sz w:val="24"/>
        </w:rPr>
        <w:t xml:space="preserve">(ii) </w:t>
      </w:r>
      <w:r w:rsidRPr="00D9322B">
        <w:rPr>
          <w:rFonts w:ascii="Book Antiqua" w:hAnsi="Book Antiqua"/>
          <w:color w:val="000000"/>
          <w:sz w:val="24"/>
        </w:rPr>
        <w:tab/>
        <w:t xml:space="preserve">The First-tier Tribunal’s failure to conduct an adequate analysis of the immigration rules impacted on </w:t>
      </w:r>
      <w:r>
        <w:rPr>
          <w:rFonts w:ascii="Book Antiqua" w:hAnsi="Book Antiqua"/>
          <w:color w:val="000000"/>
          <w:sz w:val="24"/>
        </w:rPr>
        <w:t>the</w:t>
      </w:r>
      <w:r w:rsidRPr="00D9322B">
        <w:rPr>
          <w:rFonts w:ascii="Book Antiqua" w:hAnsi="Book Antiqua"/>
          <w:color w:val="000000"/>
          <w:sz w:val="24"/>
        </w:rPr>
        <w:t xml:space="preserve"> assessment of where a fair balance should be struck under Article 8 of the European Convention</w:t>
      </w:r>
      <w:r>
        <w:rPr>
          <w:rFonts w:ascii="Book Antiqua" w:hAnsi="Book Antiqua"/>
          <w:color w:val="000000"/>
          <w:sz w:val="24"/>
        </w:rPr>
        <w:t xml:space="preserve"> outside the rules. </w:t>
      </w:r>
      <w:r w:rsidRPr="00D9322B">
        <w:rPr>
          <w:rStyle w:val="apple-converted-space"/>
          <w:rFonts w:ascii="Book Antiqua" w:hAnsi="Book Antiqua"/>
          <w:color w:val="000000"/>
          <w:sz w:val="24"/>
        </w:rPr>
        <w:t> </w:t>
      </w:r>
    </w:p>
    <w:p w14:paraId="1805DF4E" w14:textId="77777777" w:rsidR="002A3D28" w:rsidRPr="00D9322B" w:rsidRDefault="002A3D28" w:rsidP="00CD36E9">
      <w:pPr>
        <w:pStyle w:val="NormalWeb"/>
        <w:spacing w:beforeLines="0" w:before="160" w:afterLines="0"/>
        <w:ind w:left="567" w:hanging="567"/>
        <w:jc w:val="both"/>
        <w:rPr>
          <w:rFonts w:ascii="Book Antiqua" w:hAnsi="Book Antiqua"/>
          <w:color w:val="000000"/>
          <w:sz w:val="24"/>
        </w:rPr>
      </w:pPr>
      <w:r w:rsidRPr="00D9322B">
        <w:rPr>
          <w:rFonts w:ascii="Book Antiqua" w:hAnsi="Book Antiqua"/>
          <w:color w:val="000000"/>
          <w:sz w:val="24"/>
        </w:rPr>
        <w:t xml:space="preserve">5. </w:t>
      </w:r>
      <w:r w:rsidRPr="00D9322B">
        <w:rPr>
          <w:rFonts w:ascii="Book Antiqua" w:hAnsi="Book Antiqua"/>
          <w:color w:val="000000"/>
          <w:sz w:val="24"/>
        </w:rPr>
        <w:tab/>
        <w:t>First-tier Tribunal Judge P.J.M. Hollingworth granted permission to appeal in the following terms:</w:t>
      </w:r>
      <w:r w:rsidRPr="00D9322B">
        <w:rPr>
          <w:rStyle w:val="apple-converted-space"/>
          <w:rFonts w:ascii="Book Antiqua" w:hAnsi="Book Antiqua"/>
          <w:color w:val="000000"/>
          <w:sz w:val="24"/>
        </w:rPr>
        <w:t> </w:t>
      </w:r>
    </w:p>
    <w:p w14:paraId="34546BE8" w14:textId="77777777" w:rsidR="002A3D28" w:rsidRPr="00CD36E9" w:rsidRDefault="002A3D28" w:rsidP="00CD36E9">
      <w:pPr>
        <w:pStyle w:val="NormalWeb"/>
        <w:spacing w:beforeLines="0" w:before="120" w:afterLines="0"/>
        <w:ind w:left="1134" w:right="567"/>
        <w:jc w:val="both"/>
        <w:rPr>
          <w:rFonts w:ascii="Book Antiqua" w:hAnsi="Book Antiqua"/>
          <w:color w:val="000000"/>
          <w:sz w:val="22"/>
        </w:rPr>
      </w:pPr>
      <w:r w:rsidRPr="00CD36E9">
        <w:rPr>
          <w:rFonts w:ascii="Book Antiqua" w:hAnsi="Book Antiqua"/>
          <w:color w:val="000000"/>
          <w:sz w:val="22"/>
        </w:rPr>
        <w:lastRenderedPageBreak/>
        <w:t>“It is arguable that the Judge has set out an insufficient analysis in relation to whether the Immigration Rules were fulfilled or not. In these circumstances it is arguable that the Judge’s conclusion in relation to the Immigration rules has affected the carrying out of the proportionality exercise. It is arguable that the Judge should have explained the weight attached to the factors put forward in the evidence on behalf of the Appellant in relation to the argument that the Immigration Rules had been fulfilled. The permission application delineates the scope of the available evidence in relation to the question of whether the Immigration Rules had been fulfilled. It is arguable that the Judge has not analysed the financial position of the Sponsor to a sufficient degree and that the ongoing financial position has thereby been assessed wrongly. It is arguable that the background material in relation to the facilities available in Bangladesh has received insufficient analysis.”</w:t>
      </w:r>
      <w:r w:rsidRPr="00CD36E9">
        <w:rPr>
          <w:rStyle w:val="apple-converted-space"/>
          <w:rFonts w:ascii="Book Antiqua" w:hAnsi="Book Antiqua"/>
          <w:color w:val="000000"/>
          <w:sz w:val="22"/>
        </w:rPr>
        <w:t> </w:t>
      </w:r>
    </w:p>
    <w:p w14:paraId="25BC8271" w14:textId="77777777" w:rsidR="002A3D28" w:rsidRPr="0072334D" w:rsidRDefault="002A3D28" w:rsidP="00CD36E9">
      <w:pPr>
        <w:pStyle w:val="NormalWeb"/>
        <w:spacing w:beforeLines="0" w:before="160" w:afterLines="0"/>
        <w:jc w:val="both"/>
        <w:rPr>
          <w:rStyle w:val="apple-converted-space"/>
        </w:rPr>
      </w:pPr>
      <w:r w:rsidRPr="0072334D">
        <w:rPr>
          <w:rFonts w:ascii="Book Antiqua" w:hAnsi="Book Antiqua"/>
          <w:b/>
          <w:color w:val="000000"/>
          <w:sz w:val="24"/>
          <w:u w:val="single"/>
        </w:rPr>
        <w:t>Decision and reasons</w:t>
      </w:r>
      <w:r w:rsidRPr="0072334D">
        <w:rPr>
          <w:rStyle w:val="apple-converted-space"/>
          <w:rFonts w:ascii="Book Antiqua" w:hAnsi="Book Antiqua"/>
          <w:b/>
          <w:color w:val="000000"/>
          <w:sz w:val="24"/>
          <w:u w:val="single"/>
        </w:rPr>
        <w:t> </w:t>
      </w:r>
    </w:p>
    <w:p w14:paraId="4BE4F6C0" w14:textId="77777777" w:rsidR="002A3D28" w:rsidRDefault="002A3D28" w:rsidP="00CD36E9">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6.</w:t>
      </w:r>
      <w:r>
        <w:rPr>
          <w:rFonts w:ascii="Book Antiqua" w:hAnsi="Book Antiqua"/>
          <w:color w:val="000000"/>
          <w:sz w:val="24"/>
        </w:rPr>
        <w:tab/>
        <w:t xml:space="preserve">This is a borderline decision, but having considered the evidence put forward in support of the appeal before the First-tier Tribunal, I conclude that the First-tier Tribunal failed to give adequate reasons to explain why the appellant failed to meet the requirements of the relevant immigration rules and that this impacts on the First-tier Tribunal’s overall assessment of Article 8. </w:t>
      </w:r>
    </w:p>
    <w:p w14:paraId="29DB0B74" w14:textId="77777777" w:rsidR="002A3D28" w:rsidRDefault="002A3D28" w:rsidP="00CD36E9">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7.</w:t>
      </w:r>
      <w:r>
        <w:rPr>
          <w:rFonts w:ascii="Book Antiqua" w:hAnsi="Book Antiqua"/>
          <w:color w:val="000000"/>
          <w:sz w:val="24"/>
        </w:rPr>
        <w:tab/>
        <w:t xml:space="preserve">The judge outlined the relevant aspects of the immigration rules [4]. He noted some of the evidence when he summarised what happened at the hearing. However, the only findings relating to the evidence were contained at [7]. The judge concluded that the sponsor would be able to afford to pay for care in a facility such as Hospice Bangladesh Ltd. The judge then cited the decision in </w:t>
      </w:r>
      <w:r w:rsidRPr="00B453F5">
        <w:rPr>
          <w:rFonts w:ascii="Book Antiqua" w:hAnsi="Book Antiqua"/>
          <w:i/>
          <w:color w:val="000000"/>
          <w:sz w:val="24"/>
        </w:rPr>
        <w:t xml:space="preserve">BRITCITS </w:t>
      </w:r>
      <w:r>
        <w:rPr>
          <w:rFonts w:ascii="Book Antiqua" w:hAnsi="Book Antiqua"/>
          <w:color w:val="000000"/>
          <w:sz w:val="24"/>
        </w:rPr>
        <w:t xml:space="preserve">and stated that the appellant’s care could </w:t>
      </w:r>
      <w:r w:rsidRPr="00B453F5">
        <w:rPr>
          <w:rFonts w:ascii="Book Antiqua" w:hAnsi="Book Antiqua"/>
          <w:i/>
          <w:color w:val="000000"/>
          <w:sz w:val="24"/>
        </w:rPr>
        <w:t>“reasonably be provided at the required level in Bangladesh”</w:t>
      </w:r>
      <w:r>
        <w:rPr>
          <w:rFonts w:ascii="Book Antiqua" w:hAnsi="Book Antiqua"/>
          <w:color w:val="000000"/>
          <w:sz w:val="24"/>
        </w:rPr>
        <w:t xml:space="preserve"> [8]. </w:t>
      </w:r>
    </w:p>
    <w:p w14:paraId="5353239A" w14:textId="77777777" w:rsidR="002A3D28" w:rsidRDefault="002A3D28" w:rsidP="00CD36E9">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8.</w:t>
      </w:r>
      <w:r>
        <w:rPr>
          <w:rFonts w:ascii="Book Antiqua" w:hAnsi="Book Antiqua"/>
          <w:color w:val="000000"/>
          <w:sz w:val="24"/>
        </w:rPr>
        <w:tab/>
        <w:t xml:space="preserve">Whether the judge’s findings were sufficient depends on the nature of the evidence before him. If the evidence was not capable of meeting the requirements of the immigration rules, it is unlikely that any failure to give adequate reasons would amount to a material error of law. </w:t>
      </w:r>
    </w:p>
    <w:p w14:paraId="3789A935" w14:textId="77777777" w:rsidR="002A3D28" w:rsidRDefault="002A3D28" w:rsidP="00CD36E9">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9.</w:t>
      </w:r>
      <w:r>
        <w:rPr>
          <w:rFonts w:ascii="Book Antiqua" w:hAnsi="Book Antiqua"/>
          <w:color w:val="000000"/>
          <w:sz w:val="24"/>
        </w:rPr>
        <w:tab/>
        <w:t xml:space="preserve">In this case there was evidence from an organisation called Hospice Bangladesh Ltd. in Dhaka to show that the organisation could provide a certain level of nursing and adult care services. In his enquiry, the sponsor listed the medical issues the appellant suffers from and provided details about the appellant’s age and current circumstances. Hospice International replied in short form stating that they did not have inpatient facilities, but did have a </w:t>
      </w:r>
      <w:r w:rsidRPr="00B453F5">
        <w:rPr>
          <w:rFonts w:ascii="Book Antiqua" w:hAnsi="Book Antiqua"/>
          <w:i/>
          <w:color w:val="000000"/>
          <w:sz w:val="24"/>
        </w:rPr>
        <w:t xml:space="preserve">“collaborative inpatient </w:t>
      </w:r>
      <w:proofErr w:type="spellStart"/>
      <w:r w:rsidRPr="00B453F5">
        <w:rPr>
          <w:rFonts w:ascii="Book Antiqua" w:hAnsi="Book Antiqua"/>
          <w:i/>
          <w:color w:val="000000"/>
          <w:sz w:val="24"/>
        </w:rPr>
        <w:t>center</w:t>
      </w:r>
      <w:proofErr w:type="spellEnd"/>
      <w:r w:rsidRPr="00B453F5">
        <w:rPr>
          <w:rFonts w:ascii="Book Antiqua" w:hAnsi="Book Antiqua"/>
          <w:i/>
          <w:color w:val="000000"/>
          <w:sz w:val="24"/>
        </w:rPr>
        <w:t xml:space="preserve"> where you can keep the patient and our care giver take care of the person.”</w:t>
      </w:r>
      <w:r>
        <w:rPr>
          <w:rFonts w:ascii="Book Antiqua" w:hAnsi="Book Antiqua"/>
          <w:color w:val="000000"/>
          <w:sz w:val="24"/>
        </w:rPr>
        <w:t xml:space="preserve">. When the sponsor asked for a rough estimate of the prices Hospice International confirmed that nursing care was 2,000 Taka per day and a room would cost 3,000-10,000 Taka per day with discounts for long term stay. The evidence showed that the cost of care in the facility was likely to be around 5,000-12,000 Taka per day (OANDA conversion = circa. £45-£105 per day). This would amount to basic costs of care amounting to something in the region of £16,500-£38,000 a year. </w:t>
      </w:r>
    </w:p>
    <w:p w14:paraId="372D1D10" w14:textId="77777777" w:rsidR="002A3D28" w:rsidRDefault="002A3D28" w:rsidP="00CD36E9">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10.</w:t>
      </w:r>
      <w:r>
        <w:rPr>
          <w:rFonts w:ascii="Book Antiqua" w:hAnsi="Book Antiqua"/>
          <w:color w:val="000000"/>
          <w:sz w:val="24"/>
        </w:rPr>
        <w:tab/>
        <w:t xml:space="preserve">Even if the sponsor was in full time employment at a supermarket and had savings of £50,000, he also has financial commitments in the form of mortgages and responsibility </w:t>
      </w:r>
      <w:r>
        <w:rPr>
          <w:rFonts w:ascii="Book Antiqua" w:hAnsi="Book Antiqua"/>
          <w:color w:val="000000"/>
          <w:sz w:val="24"/>
        </w:rPr>
        <w:lastRenderedPageBreak/>
        <w:t>for supporting his family in the UK. On the evidence, the cost of care in the facility that the judge considered would be available for the appellant’s care was likely to be a significant financial outlay, but the decision discloses no consideration of whether this level of financial commitment was affordable to the sponsor in the long term.</w:t>
      </w:r>
    </w:p>
    <w:p w14:paraId="58C0BB3D" w14:textId="77777777" w:rsidR="002A3D28" w:rsidRDefault="002A3D28" w:rsidP="00CD36E9">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11.</w:t>
      </w:r>
      <w:r>
        <w:rPr>
          <w:rFonts w:ascii="Book Antiqua" w:hAnsi="Book Antiqua"/>
          <w:color w:val="000000"/>
          <w:sz w:val="24"/>
        </w:rPr>
        <w:tab/>
        <w:t xml:space="preserve">Nor was there any analysis of the medical evidence produced in support of the appeal. At [8] the judge stated that the </w:t>
      </w:r>
      <w:r w:rsidRPr="00B453F5">
        <w:rPr>
          <w:rFonts w:ascii="Book Antiqua" w:hAnsi="Book Antiqua"/>
          <w:i/>
          <w:color w:val="000000"/>
          <w:sz w:val="24"/>
        </w:rPr>
        <w:t>“required care concerning the appellant can reasonably be provided at the required level in Bangladesh”</w:t>
      </w:r>
      <w:r>
        <w:rPr>
          <w:rFonts w:ascii="Book Antiqua" w:hAnsi="Book Antiqua"/>
          <w:color w:val="000000"/>
          <w:sz w:val="24"/>
        </w:rPr>
        <w:t xml:space="preserve">, but failed to give any reasons to explain this finding. </w:t>
      </w:r>
    </w:p>
    <w:p w14:paraId="74DBF77C" w14:textId="77777777" w:rsidR="002A3D28" w:rsidRDefault="002A3D28" w:rsidP="00CD36E9">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12.</w:t>
      </w:r>
      <w:r>
        <w:rPr>
          <w:rFonts w:ascii="Book Antiqua" w:hAnsi="Book Antiqua"/>
          <w:color w:val="000000"/>
          <w:sz w:val="24"/>
        </w:rPr>
        <w:tab/>
        <w:t xml:space="preserve">Although there was evidence to indicate that the appellant had been in receipt of some medical care in Bangladesh, the First-tier Tribunal decision discloses no assessment of whether the appellant was able to obtain the ‘required level of care’ in Bangladesh. The evidence from Professor </w:t>
      </w:r>
      <w:proofErr w:type="spellStart"/>
      <w:r>
        <w:rPr>
          <w:rFonts w:ascii="Book Antiqua" w:hAnsi="Book Antiqua"/>
          <w:color w:val="000000"/>
          <w:sz w:val="24"/>
        </w:rPr>
        <w:t>Alam</w:t>
      </w:r>
      <w:proofErr w:type="spellEnd"/>
      <w:r>
        <w:rPr>
          <w:rFonts w:ascii="Book Antiqua" w:hAnsi="Book Antiqua"/>
          <w:color w:val="000000"/>
          <w:sz w:val="24"/>
        </w:rPr>
        <w:t xml:space="preserve">, a psychiatrist who had been treating the appellant for a </w:t>
      </w:r>
      <w:r w:rsidRPr="00B453F5">
        <w:rPr>
          <w:rFonts w:ascii="Book Antiqua" w:hAnsi="Book Antiqua"/>
          <w:i/>
          <w:color w:val="000000"/>
          <w:sz w:val="24"/>
        </w:rPr>
        <w:t>“couple of years”</w:t>
      </w:r>
      <w:r>
        <w:rPr>
          <w:rFonts w:ascii="Book Antiqua" w:hAnsi="Book Antiqua"/>
          <w:color w:val="000000"/>
          <w:sz w:val="24"/>
        </w:rPr>
        <w:t xml:space="preserve"> was that, despite his treatment, the appellant’s condition had not improved. In his opinion it was likely that he was not taking his medication regularly due to his </w:t>
      </w:r>
      <w:r w:rsidRPr="00B453F5">
        <w:rPr>
          <w:rFonts w:ascii="Book Antiqua" w:hAnsi="Book Antiqua"/>
          <w:i/>
          <w:color w:val="000000"/>
          <w:sz w:val="24"/>
        </w:rPr>
        <w:t>“physical and mental instability”</w:t>
      </w:r>
      <w:r>
        <w:rPr>
          <w:rFonts w:ascii="Book Antiqua" w:hAnsi="Book Antiqua"/>
          <w:color w:val="000000"/>
          <w:sz w:val="24"/>
        </w:rPr>
        <w:t xml:space="preserve">. He made clear that the appellant required </w:t>
      </w:r>
      <w:r w:rsidRPr="00B453F5">
        <w:rPr>
          <w:rFonts w:ascii="Book Antiqua" w:hAnsi="Book Antiqua"/>
          <w:i/>
          <w:color w:val="000000"/>
          <w:sz w:val="24"/>
        </w:rPr>
        <w:t>“full support from someone that he is not getting”</w:t>
      </w:r>
      <w:r>
        <w:rPr>
          <w:rFonts w:ascii="Book Antiqua" w:hAnsi="Book Antiqua"/>
          <w:color w:val="000000"/>
          <w:sz w:val="24"/>
        </w:rPr>
        <w:t xml:space="preserve">. In his opinion others could not provide the care he needed. Close monitoring was better provided by a close relative. </w:t>
      </w:r>
    </w:p>
    <w:p w14:paraId="35B25891" w14:textId="77777777" w:rsidR="002A3D28" w:rsidRDefault="002A3D28" w:rsidP="00CD36E9">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13.</w:t>
      </w:r>
      <w:r>
        <w:rPr>
          <w:rFonts w:ascii="Book Antiqua" w:hAnsi="Book Antiqua"/>
          <w:color w:val="000000"/>
          <w:sz w:val="24"/>
        </w:rPr>
        <w:tab/>
        <w:t xml:space="preserve">Dr Noman, a consultant at the Chittagong Eye Care </w:t>
      </w:r>
      <w:proofErr w:type="spellStart"/>
      <w:r>
        <w:rPr>
          <w:rFonts w:ascii="Book Antiqua" w:hAnsi="Book Antiqua"/>
          <w:color w:val="000000"/>
          <w:sz w:val="24"/>
        </w:rPr>
        <w:t>Center</w:t>
      </w:r>
      <w:proofErr w:type="spellEnd"/>
      <w:r>
        <w:rPr>
          <w:rFonts w:ascii="Book Antiqua" w:hAnsi="Book Antiqua"/>
          <w:color w:val="000000"/>
          <w:sz w:val="24"/>
        </w:rPr>
        <w:t xml:space="preserve">, stated that the appellant was suffering from glaucoma. He had lost the vision in one eye and the other eye had </w:t>
      </w:r>
      <w:r w:rsidRPr="00B453F5">
        <w:rPr>
          <w:rFonts w:ascii="Book Antiqua" w:hAnsi="Book Antiqua"/>
          <w:i/>
          <w:color w:val="000000"/>
          <w:sz w:val="24"/>
        </w:rPr>
        <w:t>“few percentage of eye vision”</w:t>
      </w:r>
      <w:r>
        <w:rPr>
          <w:rFonts w:ascii="Book Antiqua" w:hAnsi="Book Antiqua"/>
          <w:color w:val="000000"/>
          <w:sz w:val="24"/>
        </w:rPr>
        <w:t xml:space="preserve">. He concluded: </w:t>
      </w:r>
      <w:r w:rsidRPr="00B453F5">
        <w:rPr>
          <w:rFonts w:ascii="Book Antiqua" w:hAnsi="Book Antiqua"/>
          <w:i/>
          <w:color w:val="000000"/>
          <w:sz w:val="24"/>
        </w:rPr>
        <w:t>“He is in danger conditions as he might be completely blind in future and it is advisable to look for better treatment somewhere as this is not available in Bangladesh”</w:t>
      </w:r>
      <w:r>
        <w:rPr>
          <w:rFonts w:ascii="Book Antiqua" w:hAnsi="Book Antiqua"/>
          <w:color w:val="000000"/>
          <w:sz w:val="24"/>
        </w:rPr>
        <w:t>.</w:t>
      </w:r>
    </w:p>
    <w:p w14:paraId="15FC8AB8" w14:textId="77777777" w:rsidR="002A3D28" w:rsidRDefault="002A3D28" w:rsidP="00CD36E9">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14.</w:t>
      </w:r>
      <w:r>
        <w:rPr>
          <w:rFonts w:ascii="Book Antiqua" w:hAnsi="Book Antiqua"/>
          <w:color w:val="000000"/>
          <w:sz w:val="24"/>
        </w:rPr>
        <w:tab/>
        <w:t xml:space="preserve">The evidence before the First-tier Tribunal was at least capable of supporting a claim that the level of care and treatment that the appellant required was not likely to be available in Bangladesh, and that despite the sponsor’s financial assets, the cost of care might not be affordable on a long-term basis. In such circumstances, it was incumbent on the First-tier Tribunal to give adequate reasons with reference to the relevant requirements set out in the immigration rules. In my assessment, the findings made at [7-8] of the decision did not engage sufficiently with the evidence. The failure to give adequate reasons amounts to an error of law. </w:t>
      </w:r>
    </w:p>
    <w:p w14:paraId="146278BB" w14:textId="77777777" w:rsidR="002A3D28" w:rsidRDefault="002A3D28" w:rsidP="00CD36E9">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15.</w:t>
      </w:r>
      <w:r>
        <w:rPr>
          <w:rFonts w:ascii="Book Antiqua" w:hAnsi="Book Antiqua"/>
          <w:color w:val="000000"/>
          <w:sz w:val="24"/>
        </w:rPr>
        <w:tab/>
        <w:t xml:space="preserve">The First-tier Tribunal decision involved the making of an error of law. The decision is set aside. The normal course of action is to remake the decision in the Upper Tribunal even if some further fact finding is necessary (Practice Statement – 25 September 2012).   </w:t>
      </w:r>
    </w:p>
    <w:p w14:paraId="20BE6724" w14:textId="77777777" w:rsidR="002A3D28" w:rsidRPr="00B4091D" w:rsidRDefault="002A3D28" w:rsidP="00CD36E9">
      <w:pPr>
        <w:pStyle w:val="NormalWeb"/>
        <w:spacing w:beforeLines="0" w:before="160" w:afterLines="0"/>
        <w:jc w:val="both"/>
        <w:rPr>
          <w:rFonts w:ascii="Book Antiqua" w:hAnsi="Book Antiqua"/>
          <w:b/>
          <w:color w:val="000000"/>
          <w:sz w:val="24"/>
          <w:u w:val="single"/>
        </w:rPr>
      </w:pPr>
      <w:r>
        <w:rPr>
          <w:rFonts w:ascii="Book Antiqua" w:hAnsi="Book Antiqua"/>
          <w:b/>
          <w:color w:val="000000"/>
          <w:sz w:val="24"/>
          <w:u w:val="single"/>
        </w:rPr>
        <w:t>Directions</w:t>
      </w:r>
    </w:p>
    <w:p w14:paraId="43879550" w14:textId="77777777" w:rsidR="002A3D28" w:rsidRDefault="002A3D28" w:rsidP="00CD36E9">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16.</w:t>
      </w:r>
      <w:r>
        <w:rPr>
          <w:rFonts w:ascii="Book Antiqua" w:hAnsi="Book Antiqua"/>
          <w:color w:val="000000"/>
          <w:sz w:val="24"/>
        </w:rPr>
        <w:tab/>
        <w:t xml:space="preserve">The parties shall file any further evidence relied upon with an application to adduce such evidence under paragraph 15(2A) of The Tribunal Procedure (Upper Tribunal) Rules 2008 (as amended) at least </w:t>
      </w:r>
      <w:r w:rsidRPr="00B4091D">
        <w:rPr>
          <w:rFonts w:ascii="Book Antiqua" w:hAnsi="Book Antiqua"/>
          <w:b/>
          <w:color w:val="000000"/>
          <w:sz w:val="24"/>
          <w:u w:val="single"/>
        </w:rPr>
        <w:t>seven days</w:t>
      </w:r>
      <w:r>
        <w:rPr>
          <w:rFonts w:ascii="Book Antiqua" w:hAnsi="Book Antiqua"/>
          <w:color w:val="000000"/>
          <w:sz w:val="24"/>
        </w:rPr>
        <w:t xml:space="preserve"> before the next hearing. </w:t>
      </w:r>
    </w:p>
    <w:p w14:paraId="4377F19C" w14:textId="77777777" w:rsidR="002A3D28" w:rsidRDefault="002A3D28" w:rsidP="00CD36E9">
      <w:pPr>
        <w:pStyle w:val="NormalWeb"/>
        <w:spacing w:beforeLines="0" w:before="160" w:afterLines="0"/>
        <w:ind w:left="567" w:hanging="567"/>
        <w:jc w:val="both"/>
        <w:rPr>
          <w:rFonts w:ascii="Book Antiqua" w:hAnsi="Book Antiqua"/>
          <w:color w:val="000000"/>
          <w:sz w:val="24"/>
        </w:rPr>
      </w:pPr>
      <w:r>
        <w:rPr>
          <w:rFonts w:ascii="Book Antiqua" w:hAnsi="Book Antiqua"/>
          <w:color w:val="000000"/>
          <w:sz w:val="24"/>
        </w:rPr>
        <w:t>17.</w:t>
      </w:r>
      <w:r>
        <w:rPr>
          <w:rFonts w:ascii="Book Antiqua" w:hAnsi="Book Antiqua"/>
          <w:color w:val="000000"/>
          <w:sz w:val="24"/>
        </w:rPr>
        <w:tab/>
        <w:t xml:space="preserve">If the appellant intends to call any additional evidence from witnesses, he must notify the Upper Tribunal </w:t>
      </w:r>
      <w:r w:rsidRPr="00491E0B">
        <w:rPr>
          <w:rFonts w:ascii="Book Antiqua" w:hAnsi="Book Antiqua"/>
          <w:b/>
          <w:color w:val="000000"/>
          <w:sz w:val="24"/>
        </w:rPr>
        <w:t xml:space="preserve">within </w:t>
      </w:r>
      <w:r w:rsidRPr="00491E0B">
        <w:rPr>
          <w:rFonts w:ascii="Book Antiqua" w:hAnsi="Book Antiqua"/>
          <w:b/>
          <w:color w:val="000000"/>
          <w:sz w:val="24"/>
          <w:u w:val="single"/>
        </w:rPr>
        <w:t>21 days</w:t>
      </w:r>
      <w:r w:rsidRPr="00491E0B">
        <w:rPr>
          <w:rFonts w:ascii="Book Antiqua" w:hAnsi="Book Antiqua"/>
          <w:b/>
          <w:color w:val="000000"/>
          <w:sz w:val="24"/>
        </w:rPr>
        <w:t xml:space="preserve"> of the date this decision is sent</w:t>
      </w:r>
      <w:r>
        <w:rPr>
          <w:rFonts w:ascii="Book Antiqua" w:hAnsi="Book Antiqua"/>
          <w:color w:val="000000"/>
          <w:sz w:val="24"/>
        </w:rPr>
        <w:t xml:space="preserve"> of (</w:t>
      </w:r>
      <w:proofErr w:type="spellStart"/>
      <w:r>
        <w:rPr>
          <w:rFonts w:ascii="Book Antiqua" w:hAnsi="Book Antiqua"/>
          <w:color w:val="000000"/>
          <w:sz w:val="24"/>
        </w:rPr>
        <w:t>i</w:t>
      </w:r>
      <w:proofErr w:type="spellEnd"/>
      <w:r>
        <w:rPr>
          <w:rFonts w:ascii="Book Antiqua" w:hAnsi="Book Antiqua"/>
          <w:color w:val="000000"/>
          <w:sz w:val="24"/>
        </w:rPr>
        <w:t xml:space="preserve">) the name of the witness: (ii) file a witness statement for each witness; and (iii) confirm whether the witness requires the assistance of an interpreter. </w:t>
      </w:r>
    </w:p>
    <w:p w14:paraId="6B7CB573" w14:textId="77777777" w:rsidR="00CD36E9" w:rsidRDefault="00CD36E9" w:rsidP="00CD36E9">
      <w:pPr>
        <w:tabs>
          <w:tab w:val="left" w:pos="567"/>
        </w:tabs>
        <w:spacing w:before="160"/>
        <w:jc w:val="both"/>
        <w:rPr>
          <w:rFonts w:ascii="Book Antiqua" w:hAnsi="Book Antiqua" w:cs="Arial"/>
          <w:u w:val="single"/>
        </w:rPr>
      </w:pPr>
    </w:p>
    <w:p w14:paraId="2A49FD6E" w14:textId="77777777" w:rsidR="002A3D28" w:rsidRPr="00936032" w:rsidRDefault="002A3D28" w:rsidP="00CD36E9">
      <w:pPr>
        <w:tabs>
          <w:tab w:val="left" w:pos="567"/>
        </w:tabs>
        <w:spacing w:before="160"/>
        <w:jc w:val="both"/>
        <w:rPr>
          <w:rFonts w:ascii="Book Antiqua" w:hAnsi="Book Antiqua" w:cs="Arial"/>
          <w:u w:val="single"/>
        </w:rPr>
      </w:pPr>
      <w:r w:rsidRPr="00936032">
        <w:rPr>
          <w:rFonts w:ascii="Book Antiqua" w:hAnsi="Book Antiqua" w:cs="Arial"/>
          <w:u w:val="single"/>
        </w:rPr>
        <w:lastRenderedPageBreak/>
        <w:t>DECISION</w:t>
      </w:r>
    </w:p>
    <w:p w14:paraId="738C3A27" w14:textId="77777777" w:rsidR="002A3D28" w:rsidRDefault="002A3D28" w:rsidP="00CD36E9">
      <w:pPr>
        <w:tabs>
          <w:tab w:val="left" w:pos="567"/>
        </w:tabs>
        <w:spacing w:before="160"/>
        <w:jc w:val="both"/>
        <w:rPr>
          <w:rFonts w:ascii="Book Antiqua" w:hAnsi="Book Antiqua" w:cs="Arial"/>
        </w:rPr>
      </w:pPr>
      <w:r>
        <w:rPr>
          <w:rFonts w:ascii="Book Antiqua" w:hAnsi="Book Antiqua" w:cs="Arial"/>
        </w:rPr>
        <w:t>The First-tier Tribunal decision involved the making of an error on a point of law</w:t>
      </w:r>
    </w:p>
    <w:p w14:paraId="659FD829" w14:textId="77777777" w:rsidR="002A3D28" w:rsidRDefault="002A3D28" w:rsidP="00CD36E9">
      <w:pPr>
        <w:tabs>
          <w:tab w:val="left" w:pos="567"/>
        </w:tabs>
        <w:spacing w:before="160"/>
        <w:jc w:val="both"/>
        <w:rPr>
          <w:rFonts w:ascii="Book Antiqua" w:hAnsi="Book Antiqua" w:cs="Arial"/>
        </w:rPr>
      </w:pPr>
      <w:r>
        <w:rPr>
          <w:rFonts w:ascii="Book Antiqua" w:hAnsi="Book Antiqua" w:cs="Arial"/>
        </w:rPr>
        <w:t>The decision is set aside</w:t>
      </w:r>
    </w:p>
    <w:p w14:paraId="40348F9C" w14:textId="77777777" w:rsidR="002A3D28" w:rsidRDefault="002A3D28" w:rsidP="00CD36E9">
      <w:pPr>
        <w:tabs>
          <w:tab w:val="left" w:pos="567"/>
        </w:tabs>
        <w:spacing w:before="160"/>
        <w:jc w:val="both"/>
        <w:rPr>
          <w:rFonts w:ascii="Book Antiqua" w:hAnsi="Book Antiqua" w:cs="Arial"/>
        </w:rPr>
      </w:pPr>
      <w:r>
        <w:rPr>
          <w:rFonts w:ascii="Book Antiqua" w:hAnsi="Book Antiqua" w:cs="Arial"/>
        </w:rPr>
        <w:t>The appeal will be listed for a resumed hearing in the Upper Tribunal</w:t>
      </w:r>
    </w:p>
    <w:p w14:paraId="3B763108" w14:textId="77777777" w:rsidR="002A3D28" w:rsidRDefault="002A3D28" w:rsidP="002A3D28">
      <w:pPr>
        <w:tabs>
          <w:tab w:val="left" w:pos="567"/>
        </w:tabs>
        <w:jc w:val="both"/>
        <w:rPr>
          <w:rFonts w:ascii="Book Antiqua" w:hAnsi="Book Antiqua" w:cs="Arial"/>
        </w:rPr>
      </w:pPr>
    </w:p>
    <w:p w14:paraId="4043E62F" w14:textId="77777777" w:rsidR="002A3D28" w:rsidRDefault="002A3D28" w:rsidP="002A3D28">
      <w:pPr>
        <w:tabs>
          <w:tab w:val="left" w:pos="567"/>
        </w:tabs>
        <w:jc w:val="both"/>
        <w:rPr>
          <w:rFonts w:ascii="Book Antiqua" w:hAnsi="Book Antiqua" w:cs="Arial"/>
        </w:rPr>
      </w:pPr>
    </w:p>
    <w:p w14:paraId="07E27098" w14:textId="77777777" w:rsidR="002A3D28" w:rsidRDefault="002A3D28" w:rsidP="002A3D28">
      <w:pPr>
        <w:tabs>
          <w:tab w:val="left" w:pos="567"/>
        </w:tabs>
        <w:jc w:val="both"/>
        <w:rPr>
          <w:rFonts w:ascii="Book Antiqua" w:hAnsi="Book Antiqua" w:cs="Arial"/>
        </w:rPr>
      </w:pPr>
      <w:r>
        <w:rPr>
          <w:rFonts w:ascii="Book Antiqua" w:hAnsi="Book Antiqua" w:cs="Arial"/>
        </w:rPr>
        <w:t xml:space="preserve">Signed   </w:t>
      </w:r>
      <w:r w:rsidR="00B730F5" w:rsidRPr="00271DC6">
        <w:rPr>
          <w:rFonts w:ascii="Book Antiqua" w:hAnsi="Book Antiqua" w:cs="Arial"/>
          <w:noProof/>
        </w:rPr>
        <w:drawing>
          <wp:inline distT="0" distB="0" distL="0" distR="0" wp14:anchorId="5DDB9E32" wp14:editId="4D50C39F">
            <wp:extent cx="1381125" cy="3714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1125" cy="371475"/>
                    </a:xfrm>
                    <a:prstGeom prst="rect">
                      <a:avLst/>
                    </a:prstGeom>
                    <a:noFill/>
                    <a:ln>
                      <a:noFill/>
                    </a:ln>
                  </pic:spPr>
                </pic:pic>
              </a:graphicData>
            </a:graphic>
          </wp:inline>
        </w:drawing>
      </w:r>
      <w:r>
        <w:rPr>
          <w:rFonts w:ascii="Book Antiqua" w:hAnsi="Book Antiqua" w:cs="Arial"/>
        </w:rPr>
        <w:tab/>
        <w:t>Date 11 June 2018</w:t>
      </w:r>
    </w:p>
    <w:p w14:paraId="150630B1" w14:textId="77777777" w:rsidR="002A3D28" w:rsidRDefault="002A3D28" w:rsidP="002A3D28">
      <w:pPr>
        <w:tabs>
          <w:tab w:val="left" w:pos="567"/>
        </w:tabs>
        <w:jc w:val="both"/>
        <w:rPr>
          <w:rFonts w:ascii="Book Antiqua" w:hAnsi="Book Antiqua" w:cs="Arial"/>
        </w:rPr>
      </w:pPr>
      <w:r>
        <w:rPr>
          <w:rFonts w:ascii="Book Antiqua" w:hAnsi="Book Antiqua" w:cs="Arial"/>
        </w:rPr>
        <w:t>Upper Tribunal Judge Canavan</w:t>
      </w:r>
    </w:p>
    <w:p w14:paraId="2986B5FE" w14:textId="77777777" w:rsidR="002A3D28" w:rsidRDefault="002A3D28" w:rsidP="002A3D28">
      <w:pPr>
        <w:tabs>
          <w:tab w:val="left" w:pos="567"/>
        </w:tabs>
        <w:jc w:val="both"/>
        <w:rPr>
          <w:rFonts w:ascii="Book Antiqua" w:hAnsi="Book Antiqua" w:cs="Arial"/>
        </w:rPr>
      </w:pPr>
    </w:p>
    <w:sectPr w:rsidR="002A3D28" w:rsidSect="00614E94">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B9AD2" w14:textId="77777777" w:rsidR="00F55E19" w:rsidRDefault="00F55E19">
      <w:r>
        <w:separator/>
      </w:r>
    </w:p>
  </w:endnote>
  <w:endnote w:type="continuationSeparator" w:id="0">
    <w:p w14:paraId="55FEBF29" w14:textId="77777777" w:rsidR="00F55E19" w:rsidRDefault="00F55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altName w:val="Palatino Linotype"/>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CF683" w14:textId="2547F83E" w:rsidR="00F75541" w:rsidRPr="00B52D80" w:rsidRDefault="00F75541" w:rsidP="00614E94">
    <w:pPr>
      <w:pStyle w:val="Footer"/>
      <w:jc w:val="center"/>
      <w:rPr>
        <w:rFonts w:ascii="Book Antiqua" w:hAnsi="Book Antiqua" w:cs="Arial"/>
      </w:rPr>
    </w:pPr>
    <w:r w:rsidRPr="00B52D80">
      <w:rPr>
        <w:rStyle w:val="PageNumber"/>
        <w:rFonts w:ascii="Book Antiqua" w:hAnsi="Book Antiqua" w:cs="Arial"/>
      </w:rPr>
      <w:fldChar w:fldCharType="begin"/>
    </w:r>
    <w:r w:rsidRPr="00B52D80">
      <w:rPr>
        <w:rStyle w:val="PageNumber"/>
        <w:rFonts w:ascii="Book Antiqua" w:hAnsi="Book Antiqua" w:cs="Arial"/>
      </w:rPr>
      <w:instrText xml:space="preserve"> PAGE </w:instrText>
    </w:r>
    <w:r w:rsidRPr="00B52D80">
      <w:rPr>
        <w:rStyle w:val="PageNumber"/>
        <w:rFonts w:ascii="Book Antiqua" w:hAnsi="Book Antiqua" w:cs="Arial"/>
      </w:rPr>
      <w:fldChar w:fldCharType="separate"/>
    </w:r>
    <w:r w:rsidR="007E26DC">
      <w:rPr>
        <w:rStyle w:val="PageNumber"/>
        <w:rFonts w:ascii="Book Antiqua" w:hAnsi="Book Antiqua" w:cs="Arial"/>
        <w:noProof/>
      </w:rPr>
      <w:t>13</w:t>
    </w:r>
    <w:r w:rsidRPr="00B52D8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044C6" w14:textId="77777777" w:rsidR="00F75541" w:rsidRPr="00B52D80" w:rsidRDefault="00F75541" w:rsidP="00614E94">
    <w:pPr>
      <w:jc w:val="center"/>
      <w:rPr>
        <w:rFonts w:ascii="Book Antiqua" w:hAnsi="Book Antiqua" w:cs="Arial"/>
        <w:b/>
      </w:rPr>
    </w:pPr>
    <w:r w:rsidRPr="00B52D80">
      <w:rPr>
        <w:rFonts w:ascii="Book Antiqua" w:hAnsi="Book Antiqua" w:cs="Arial"/>
        <w:b/>
        <w:spacing w:val="-6"/>
      </w:rPr>
      <w:t>©</w:t>
    </w:r>
    <w:r w:rsidR="00816668" w:rsidRPr="00B52D80">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831EA" w14:textId="77777777" w:rsidR="00F55E19" w:rsidRDefault="00F55E19">
      <w:r>
        <w:separator/>
      </w:r>
    </w:p>
  </w:footnote>
  <w:footnote w:type="continuationSeparator" w:id="0">
    <w:p w14:paraId="4349BBB9" w14:textId="77777777" w:rsidR="00F55E19" w:rsidRDefault="00F55E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C2C7C" w14:textId="77777777" w:rsidR="00CF2453" w:rsidRPr="009E7FF0" w:rsidRDefault="00F75541" w:rsidP="00CF2453">
    <w:pPr>
      <w:tabs>
        <w:tab w:val="right" w:pos="9720"/>
      </w:tabs>
      <w:ind w:right="-82"/>
      <w:jc w:val="right"/>
      <w:rPr>
        <w:rFonts w:ascii="Book Antiqua" w:hAnsi="Book Antiqua" w:cs="Arial"/>
        <w:color w:val="000000"/>
        <w:sz w:val="16"/>
        <w:szCs w:val="16"/>
      </w:rPr>
    </w:pPr>
    <w:r w:rsidRPr="001C2435">
      <w:rPr>
        <w:rFonts w:ascii="Book Antiqua" w:hAnsi="Book Antiqua" w:cs="Arial"/>
        <w:sz w:val="16"/>
        <w:szCs w:val="16"/>
      </w:rPr>
      <w:t>Appeal Number</w:t>
    </w:r>
    <w:r w:rsidR="008F0F73">
      <w:rPr>
        <w:rFonts w:ascii="Book Antiqua" w:hAnsi="Book Antiqua" w:cs="Arial"/>
        <w:sz w:val="16"/>
        <w:szCs w:val="16"/>
      </w:rPr>
      <w:t xml:space="preserve">: </w:t>
    </w:r>
    <w:r w:rsidR="009E7FF0" w:rsidRPr="009E7FF0">
      <w:rPr>
        <w:rFonts w:ascii="Book Antiqua" w:hAnsi="Book Antiqua" w:cs="Arial"/>
        <w:color w:val="000000"/>
        <w:sz w:val="16"/>
        <w:szCs w:val="16"/>
      </w:rPr>
      <w:t>HU/25693/2016</w:t>
    </w:r>
  </w:p>
  <w:p w14:paraId="3713693D" w14:textId="77777777" w:rsidR="00F75541" w:rsidRPr="001C2435" w:rsidRDefault="00F75541"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31155"/>
    <w:multiLevelType w:val="multilevel"/>
    <w:tmpl w:val="4014C9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79B4335"/>
    <w:multiLevelType w:val="hybridMultilevel"/>
    <w:tmpl w:val="FA9E25E0"/>
    <w:lvl w:ilvl="0" w:tplc="649C1A72">
      <w:start w:val="1"/>
      <w:numFmt w:val="lowerRoman"/>
      <w:lvlText w:val="(%1)"/>
      <w:lvlJc w:val="left"/>
      <w:pPr>
        <w:ind w:left="1290" w:hanging="72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3" w15:restartNumberingAfterBreak="0">
    <w:nsid w:val="4808157A"/>
    <w:multiLevelType w:val="hybridMultilevel"/>
    <w:tmpl w:val="4C3023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575E6FF5"/>
    <w:multiLevelType w:val="multilevel"/>
    <w:tmpl w:val="4014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AF4B14"/>
    <w:multiLevelType w:val="hybridMultilevel"/>
    <w:tmpl w:val="C6C61CE6"/>
    <w:lvl w:ilvl="0" w:tplc="032AB2D0">
      <w:start w:val="1"/>
      <w:numFmt w:val="decimal"/>
      <w:lvlText w:val="%1."/>
      <w:lvlJc w:val="left"/>
      <w:pPr>
        <w:tabs>
          <w:tab w:val="num" w:pos="851"/>
        </w:tabs>
        <w:ind w:left="1078" w:hanging="737"/>
      </w:pPr>
      <w:rPr>
        <w:rFonts w:hint="default"/>
      </w:rPr>
    </w:lvl>
    <w:lvl w:ilvl="1" w:tplc="08090019" w:tentative="1">
      <w:start w:val="1"/>
      <w:numFmt w:val="lowerLetter"/>
      <w:lvlText w:val="%2."/>
      <w:lvlJc w:val="left"/>
      <w:pPr>
        <w:tabs>
          <w:tab w:val="num" w:pos="760"/>
        </w:tabs>
        <w:ind w:left="760" w:hanging="360"/>
      </w:pPr>
    </w:lvl>
    <w:lvl w:ilvl="2" w:tplc="0809001B" w:tentative="1">
      <w:start w:val="1"/>
      <w:numFmt w:val="lowerRoman"/>
      <w:lvlText w:val="%3."/>
      <w:lvlJc w:val="right"/>
      <w:pPr>
        <w:tabs>
          <w:tab w:val="num" w:pos="1480"/>
        </w:tabs>
        <w:ind w:left="1480" w:hanging="180"/>
      </w:pPr>
    </w:lvl>
    <w:lvl w:ilvl="3" w:tplc="0809000F" w:tentative="1">
      <w:start w:val="1"/>
      <w:numFmt w:val="decimal"/>
      <w:lvlText w:val="%4."/>
      <w:lvlJc w:val="left"/>
      <w:pPr>
        <w:tabs>
          <w:tab w:val="num" w:pos="2200"/>
        </w:tabs>
        <w:ind w:left="2200" w:hanging="360"/>
      </w:pPr>
    </w:lvl>
    <w:lvl w:ilvl="4" w:tplc="08090019" w:tentative="1">
      <w:start w:val="1"/>
      <w:numFmt w:val="lowerLetter"/>
      <w:lvlText w:val="%5."/>
      <w:lvlJc w:val="left"/>
      <w:pPr>
        <w:tabs>
          <w:tab w:val="num" w:pos="2920"/>
        </w:tabs>
        <w:ind w:left="2920" w:hanging="360"/>
      </w:pPr>
    </w:lvl>
    <w:lvl w:ilvl="5" w:tplc="0809001B" w:tentative="1">
      <w:start w:val="1"/>
      <w:numFmt w:val="lowerRoman"/>
      <w:lvlText w:val="%6."/>
      <w:lvlJc w:val="right"/>
      <w:pPr>
        <w:tabs>
          <w:tab w:val="num" w:pos="3640"/>
        </w:tabs>
        <w:ind w:left="3640" w:hanging="180"/>
      </w:pPr>
    </w:lvl>
    <w:lvl w:ilvl="6" w:tplc="0809000F" w:tentative="1">
      <w:start w:val="1"/>
      <w:numFmt w:val="decimal"/>
      <w:lvlText w:val="%7."/>
      <w:lvlJc w:val="left"/>
      <w:pPr>
        <w:tabs>
          <w:tab w:val="num" w:pos="4360"/>
        </w:tabs>
        <w:ind w:left="4360" w:hanging="360"/>
      </w:pPr>
    </w:lvl>
    <w:lvl w:ilvl="7" w:tplc="08090019" w:tentative="1">
      <w:start w:val="1"/>
      <w:numFmt w:val="lowerLetter"/>
      <w:lvlText w:val="%8."/>
      <w:lvlJc w:val="left"/>
      <w:pPr>
        <w:tabs>
          <w:tab w:val="num" w:pos="5080"/>
        </w:tabs>
        <w:ind w:left="5080" w:hanging="360"/>
      </w:pPr>
    </w:lvl>
    <w:lvl w:ilvl="8" w:tplc="0809001B" w:tentative="1">
      <w:start w:val="1"/>
      <w:numFmt w:val="lowerRoman"/>
      <w:lvlText w:val="%9."/>
      <w:lvlJc w:val="right"/>
      <w:pPr>
        <w:tabs>
          <w:tab w:val="num" w:pos="5800"/>
        </w:tabs>
        <w:ind w:left="5800" w:hanging="180"/>
      </w:pPr>
    </w:lvl>
  </w:abstractNum>
  <w:num w:numId="1">
    <w:abstractNumId w:val="4"/>
  </w:num>
  <w:num w:numId="2">
    <w:abstractNumId w:val="1"/>
  </w:num>
  <w:num w:numId="3">
    <w:abstractNumId w:val="3"/>
  </w:num>
  <w:num w:numId="4">
    <w:abstractNumId w:val="6"/>
  </w:num>
  <w:num w:numId="5">
    <w:abstractNumId w:val="2"/>
  </w:num>
  <w:num w:numId="6">
    <w:abstractNumId w:val="0"/>
    <w:lvlOverride w:ilvl="0">
      <w:startOverride w:val="58"/>
    </w:lvlOverride>
  </w:num>
  <w:num w:numId="7">
    <w:abstractNumId w:val="0"/>
    <w:lvlOverride w:ilvl="0">
      <w:startOverride w:val="59"/>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10B88"/>
    <w:rsid w:val="00047060"/>
    <w:rsid w:val="00056E7C"/>
    <w:rsid w:val="00057A96"/>
    <w:rsid w:val="000644CE"/>
    <w:rsid w:val="00085D02"/>
    <w:rsid w:val="000B512F"/>
    <w:rsid w:val="000D0603"/>
    <w:rsid w:val="00101C7B"/>
    <w:rsid w:val="00107892"/>
    <w:rsid w:val="00115648"/>
    <w:rsid w:val="00171FFA"/>
    <w:rsid w:val="00194BB6"/>
    <w:rsid w:val="00194FB4"/>
    <w:rsid w:val="001A14A2"/>
    <w:rsid w:val="001A373D"/>
    <w:rsid w:val="001A6363"/>
    <w:rsid w:val="001C2435"/>
    <w:rsid w:val="001D3530"/>
    <w:rsid w:val="00200671"/>
    <w:rsid w:val="002323C6"/>
    <w:rsid w:val="00261E2E"/>
    <w:rsid w:val="00266FFE"/>
    <w:rsid w:val="00270D89"/>
    <w:rsid w:val="00272712"/>
    <w:rsid w:val="00285292"/>
    <w:rsid w:val="00294F41"/>
    <w:rsid w:val="002A3D28"/>
    <w:rsid w:val="002D1073"/>
    <w:rsid w:val="002F6D78"/>
    <w:rsid w:val="003049FE"/>
    <w:rsid w:val="00332AA2"/>
    <w:rsid w:val="003450B7"/>
    <w:rsid w:val="00345182"/>
    <w:rsid w:val="00350D9E"/>
    <w:rsid w:val="003553A9"/>
    <w:rsid w:val="00396C97"/>
    <w:rsid w:val="00396F7B"/>
    <w:rsid w:val="003B36AE"/>
    <w:rsid w:val="003C6D43"/>
    <w:rsid w:val="003D394B"/>
    <w:rsid w:val="003F2172"/>
    <w:rsid w:val="003F7B85"/>
    <w:rsid w:val="004044E6"/>
    <w:rsid w:val="00405694"/>
    <w:rsid w:val="00407E66"/>
    <w:rsid w:val="00411E9D"/>
    <w:rsid w:val="004171D0"/>
    <w:rsid w:val="004233D4"/>
    <w:rsid w:val="00426F9F"/>
    <w:rsid w:val="00445C34"/>
    <w:rsid w:val="00462346"/>
    <w:rsid w:val="00474A5A"/>
    <w:rsid w:val="00497CC7"/>
    <w:rsid w:val="004A012D"/>
    <w:rsid w:val="004D71F6"/>
    <w:rsid w:val="004F15F3"/>
    <w:rsid w:val="004F4BE7"/>
    <w:rsid w:val="0050085D"/>
    <w:rsid w:val="00513C9B"/>
    <w:rsid w:val="00522661"/>
    <w:rsid w:val="005239EB"/>
    <w:rsid w:val="00546523"/>
    <w:rsid w:val="00555F13"/>
    <w:rsid w:val="0057020B"/>
    <w:rsid w:val="005819E4"/>
    <w:rsid w:val="005907D8"/>
    <w:rsid w:val="00597BD3"/>
    <w:rsid w:val="00600FDD"/>
    <w:rsid w:val="00614E94"/>
    <w:rsid w:val="00631E34"/>
    <w:rsid w:val="00636120"/>
    <w:rsid w:val="00662048"/>
    <w:rsid w:val="0068059E"/>
    <w:rsid w:val="006A364A"/>
    <w:rsid w:val="006A7BF0"/>
    <w:rsid w:val="006B470B"/>
    <w:rsid w:val="007025D6"/>
    <w:rsid w:val="00730897"/>
    <w:rsid w:val="00731039"/>
    <w:rsid w:val="0073630A"/>
    <w:rsid w:val="00773270"/>
    <w:rsid w:val="00780FD0"/>
    <w:rsid w:val="00785AA4"/>
    <w:rsid w:val="007B09CD"/>
    <w:rsid w:val="007E26DC"/>
    <w:rsid w:val="007F6C24"/>
    <w:rsid w:val="00806F77"/>
    <w:rsid w:val="00816668"/>
    <w:rsid w:val="00821972"/>
    <w:rsid w:val="00844C0D"/>
    <w:rsid w:val="00851101"/>
    <w:rsid w:val="008516B5"/>
    <w:rsid w:val="008832E8"/>
    <w:rsid w:val="00884B3C"/>
    <w:rsid w:val="008A3B24"/>
    <w:rsid w:val="008C6C6D"/>
    <w:rsid w:val="008E01FB"/>
    <w:rsid w:val="008E445B"/>
    <w:rsid w:val="008F0F73"/>
    <w:rsid w:val="00906245"/>
    <w:rsid w:val="00933B65"/>
    <w:rsid w:val="0094479E"/>
    <w:rsid w:val="009701EB"/>
    <w:rsid w:val="009942DD"/>
    <w:rsid w:val="009D5EB6"/>
    <w:rsid w:val="009E7FF0"/>
    <w:rsid w:val="009F0B52"/>
    <w:rsid w:val="00A03E4C"/>
    <w:rsid w:val="00A34267"/>
    <w:rsid w:val="00A472B6"/>
    <w:rsid w:val="00A57676"/>
    <w:rsid w:val="00A621AC"/>
    <w:rsid w:val="00A7051D"/>
    <w:rsid w:val="00A70F8E"/>
    <w:rsid w:val="00A86A8D"/>
    <w:rsid w:val="00AB1DC6"/>
    <w:rsid w:val="00AB5EA3"/>
    <w:rsid w:val="00AB703E"/>
    <w:rsid w:val="00AC6D40"/>
    <w:rsid w:val="00AE6BC6"/>
    <w:rsid w:val="00AF276F"/>
    <w:rsid w:val="00B01E77"/>
    <w:rsid w:val="00B52D80"/>
    <w:rsid w:val="00B730F5"/>
    <w:rsid w:val="00BB40C3"/>
    <w:rsid w:val="00BC1D72"/>
    <w:rsid w:val="00BC4B59"/>
    <w:rsid w:val="00BE39BC"/>
    <w:rsid w:val="00C56E05"/>
    <w:rsid w:val="00C61D30"/>
    <w:rsid w:val="00C91E16"/>
    <w:rsid w:val="00C97B45"/>
    <w:rsid w:val="00CD1010"/>
    <w:rsid w:val="00CD36E9"/>
    <w:rsid w:val="00CE5C94"/>
    <w:rsid w:val="00CF2453"/>
    <w:rsid w:val="00CF66B6"/>
    <w:rsid w:val="00D25C76"/>
    <w:rsid w:val="00D3274C"/>
    <w:rsid w:val="00D36F32"/>
    <w:rsid w:val="00D40718"/>
    <w:rsid w:val="00D75220"/>
    <w:rsid w:val="00DA52F3"/>
    <w:rsid w:val="00DE3D56"/>
    <w:rsid w:val="00E15512"/>
    <w:rsid w:val="00E17240"/>
    <w:rsid w:val="00E2527C"/>
    <w:rsid w:val="00E303E6"/>
    <w:rsid w:val="00E445FA"/>
    <w:rsid w:val="00E468D9"/>
    <w:rsid w:val="00E63B55"/>
    <w:rsid w:val="00E96B33"/>
    <w:rsid w:val="00ED1E61"/>
    <w:rsid w:val="00F079DC"/>
    <w:rsid w:val="00F47FAC"/>
    <w:rsid w:val="00F527B9"/>
    <w:rsid w:val="00F55E19"/>
    <w:rsid w:val="00F648C0"/>
    <w:rsid w:val="00F66C52"/>
    <w:rsid w:val="00F75541"/>
    <w:rsid w:val="00F8752A"/>
    <w:rsid w:val="00FA0A2E"/>
    <w:rsid w:val="00FB0516"/>
    <w:rsid w:val="00FC1493"/>
    <w:rsid w:val="00FD266C"/>
    <w:rsid w:val="00FD7BE0"/>
    <w:rsid w:val="00FE33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80C72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CF2453"/>
    <w:pPr>
      <w:ind w:left="720"/>
    </w:pPr>
  </w:style>
  <w:style w:type="paragraph" w:styleId="NormalWeb">
    <w:name w:val="Normal (Web)"/>
    <w:basedOn w:val="Normal"/>
    <w:uiPriority w:val="99"/>
    <w:rsid w:val="002A3D28"/>
    <w:pPr>
      <w:spacing w:beforeLines="1" w:afterLines="1"/>
    </w:pPr>
    <w:rPr>
      <w:rFonts w:ascii="Times" w:eastAsia="Cambria" w:hAnsi="Times"/>
      <w:sz w:val="20"/>
      <w:szCs w:val="20"/>
      <w:lang w:eastAsia="en-US"/>
    </w:rPr>
  </w:style>
  <w:style w:type="character" w:customStyle="1" w:styleId="apple-converted-space">
    <w:name w:val="apple-converted-space"/>
    <w:rsid w:val="002A3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8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940AD-62C7-48B5-846F-355B30D1E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5774</Words>
  <Characters>28896</Characters>
  <Application>Microsoft Office Word</Application>
  <DocSecurity>0</DocSecurity>
  <Lines>240</Lines>
  <Paragraphs>69</Paragraphs>
  <ScaleCrop>false</ScaleCrop>
  <Company/>
  <LinksUpToDate>false</LinksUpToDate>
  <CharactersWithSpaces>34601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2018-09-03T16:42:00Z</dcterms:created>
  <dcterms:modified xsi:type="dcterms:W3CDTF">2018-09-03T16:42:00Z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