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8CBA2" w14:textId="58BFFD0D" w:rsidR="00C321B5" w:rsidRPr="00F5664C" w:rsidRDefault="00147B04" w:rsidP="00C321B5">
      <w:pPr>
        <w:jc w:val="center"/>
        <w:rPr>
          <w:rFonts w:ascii="Book Antiqua" w:hAnsi="Book Antiqua" w:cs="Arial"/>
          <w:sz w:val="16"/>
          <w:szCs w:val="16"/>
        </w:rPr>
      </w:pPr>
      <w:r>
        <w:rPr>
          <w:noProof/>
        </w:rPr>
        <w:drawing>
          <wp:inline distT="0" distB="0" distL="0" distR="0" wp14:anchorId="00576AAE" wp14:editId="7E9C99AA">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293A6120" w14:textId="77777777" w:rsidR="00D94AFC" w:rsidRPr="00F5664C" w:rsidRDefault="00D94AFC">
      <w:pPr>
        <w:rPr>
          <w:rFonts w:ascii="Book Antiqua" w:hAnsi="Book Antiqua" w:cs="Arial"/>
        </w:rPr>
      </w:pPr>
    </w:p>
    <w:p w14:paraId="3FACD61A"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49E763D" w14:textId="136EE4D5"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2A33AC">
        <w:rPr>
          <w:rFonts w:ascii="Book Antiqua" w:hAnsi="Book Antiqua" w:cs="Arial"/>
          <w:caps/>
        </w:rPr>
        <w:t>HU/25919/2016</w:t>
      </w:r>
    </w:p>
    <w:p w14:paraId="2E2AF759" w14:textId="77777777" w:rsidR="00C345E1" w:rsidRPr="00F5664C" w:rsidRDefault="00C345E1" w:rsidP="00C345E1">
      <w:pPr>
        <w:jc w:val="center"/>
        <w:rPr>
          <w:rFonts w:ascii="Book Antiqua" w:hAnsi="Book Antiqua" w:cs="Arial"/>
        </w:rPr>
      </w:pPr>
    </w:p>
    <w:p w14:paraId="415FEE78" w14:textId="77777777" w:rsidR="00C345E1" w:rsidRPr="00F5664C" w:rsidRDefault="00C345E1" w:rsidP="00C345E1">
      <w:pPr>
        <w:jc w:val="center"/>
        <w:rPr>
          <w:rFonts w:ascii="Book Antiqua" w:hAnsi="Book Antiqua" w:cs="Arial"/>
        </w:rPr>
      </w:pPr>
    </w:p>
    <w:p w14:paraId="184C42F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328FC63" w14:textId="53A8F2D1" w:rsidR="00C345E1" w:rsidRDefault="00C345E1" w:rsidP="00835039">
      <w:pPr>
        <w:rPr>
          <w:rFonts w:ascii="Book Antiqua" w:hAnsi="Book Antiqua" w:cs="Arial"/>
          <w:b/>
          <w:u w:val="single"/>
        </w:rPr>
      </w:pPr>
    </w:p>
    <w:p w14:paraId="1378255A" w14:textId="77777777" w:rsidR="00C81969" w:rsidRPr="00F5664C" w:rsidRDefault="00C81969" w:rsidP="00835039">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62B1DD57" w14:textId="77777777" w:rsidTr="00F13D39">
        <w:tc>
          <w:tcPr>
            <w:tcW w:w="6048" w:type="dxa"/>
          </w:tcPr>
          <w:p w14:paraId="566705DB" w14:textId="77FA7C5B"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2A33AC">
              <w:rPr>
                <w:rFonts w:ascii="Book Antiqua" w:hAnsi="Book Antiqua" w:cs="Arial"/>
                <w:b/>
              </w:rPr>
              <w:t>Field House</w:t>
            </w:r>
          </w:p>
        </w:tc>
        <w:tc>
          <w:tcPr>
            <w:tcW w:w="3960" w:type="dxa"/>
          </w:tcPr>
          <w:p w14:paraId="49587CA0"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73C59C53" w14:textId="77777777" w:rsidTr="00F13D39">
        <w:tc>
          <w:tcPr>
            <w:tcW w:w="6048" w:type="dxa"/>
          </w:tcPr>
          <w:p w14:paraId="5C853CED" w14:textId="222FCD52"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2A33AC">
              <w:rPr>
                <w:rFonts w:ascii="Book Antiqua" w:hAnsi="Book Antiqua" w:cs="Arial"/>
                <w:b/>
              </w:rPr>
              <w:t>6</w:t>
            </w:r>
            <w:r w:rsidR="002A33AC" w:rsidRPr="002A33AC">
              <w:rPr>
                <w:rFonts w:ascii="Book Antiqua" w:hAnsi="Book Antiqua" w:cs="Arial"/>
                <w:b/>
                <w:vertAlign w:val="superscript"/>
              </w:rPr>
              <w:t>th</w:t>
            </w:r>
            <w:r w:rsidR="002A33AC">
              <w:rPr>
                <w:rFonts w:ascii="Book Antiqua" w:hAnsi="Book Antiqua" w:cs="Arial"/>
                <w:b/>
              </w:rPr>
              <w:t xml:space="preserve"> July 2018</w:t>
            </w:r>
          </w:p>
        </w:tc>
        <w:tc>
          <w:tcPr>
            <w:tcW w:w="3960" w:type="dxa"/>
          </w:tcPr>
          <w:p w14:paraId="7E7F46A1" w14:textId="4528531E" w:rsidR="00D22636" w:rsidRPr="00F5664C" w:rsidRDefault="00ED7174" w:rsidP="004A1848">
            <w:pPr>
              <w:jc w:val="both"/>
              <w:rPr>
                <w:rFonts w:ascii="Book Antiqua" w:hAnsi="Book Antiqua" w:cs="Arial"/>
                <w:b/>
              </w:rPr>
            </w:pPr>
            <w:r>
              <w:rPr>
                <w:rFonts w:ascii="Book Antiqua" w:hAnsi="Book Antiqua" w:cs="Arial"/>
                <w:b/>
              </w:rPr>
              <w:t>On 18</w:t>
            </w:r>
            <w:r w:rsidRPr="00ED7174">
              <w:rPr>
                <w:rFonts w:ascii="Book Antiqua" w:hAnsi="Book Antiqua" w:cs="Arial"/>
                <w:b/>
                <w:vertAlign w:val="superscript"/>
              </w:rPr>
              <w:t>th</w:t>
            </w:r>
            <w:r>
              <w:rPr>
                <w:rFonts w:ascii="Book Antiqua" w:hAnsi="Book Antiqua" w:cs="Arial"/>
                <w:b/>
              </w:rPr>
              <w:t xml:space="preserve"> July 2018</w:t>
            </w:r>
          </w:p>
        </w:tc>
      </w:tr>
      <w:tr w:rsidR="00D22636" w:rsidRPr="00F5664C" w14:paraId="1EF09BCD" w14:textId="77777777" w:rsidTr="00F13D39">
        <w:tc>
          <w:tcPr>
            <w:tcW w:w="6048" w:type="dxa"/>
          </w:tcPr>
          <w:p w14:paraId="7F0B1682" w14:textId="77777777" w:rsidR="00D22636" w:rsidRPr="00F5664C" w:rsidRDefault="00D22636" w:rsidP="004A1848">
            <w:pPr>
              <w:jc w:val="both"/>
              <w:rPr>
                <w:rFonts w:ascii="Book Antiqua" w:hAnsi="Book Antiqua" w:cs="Arial"/>
                <w:b/>
              </w:rPr>
            </w:pPr>
          </w:p>
        </w:tc>
        <w:tc>
          <w:tcPr>
            <w:tcW w:w="3960" w:type="dxa"/>
          </w:tcPr>
          <w:p w14:paraId="676B6AE4" w14:textId="153A81DF" w:rsidR="00D22636" w:rsidRPr="00F5664C" w:rsidRDefault="00D22636" w:rsidP="004A1848">
            <w:pPr>
              <w:jc w:val="both"/>
              <w:rPr>
                <w:rFonts w:ascii="Book Antiqua" w:hAnsi="Book Antiqua" w:cs="Arial"/>
                <w:b/>
              </w:rPr>
            </w:pPr>
          </w:p>
        </w:tc>
      </w:tr>
    </w:tbl>
    <w:p w14:paraId="7E402D4D" w14:textId="77777777" w:rsidR="00A15234" w:rsidRPr="00F5664C" w:rsidRDefault="00A15234" w:rsidP="00A15234">
      <w:pPr>
        <w:jc w:val="center"/>
        <w:rPr>
          <w:rFonts w:ascii="Book Antiqua" w:hAnsi="Book Antiqua" w:cs="Arial"/>
        </w:rPr>
      </w:pPr>
    </w:p>
    <w:p w14:paraId="7F16CE1E"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8EE4B83" w14:textId="77777777" w:rsidR="00A15234" w:rsidRPr="00F5664C" w:rsidRDefault="00A15234" w:rsidP="00A15234">
      <w:pPr>
        <w:jc w:val="center"/>
        <w:rPr>
          <w:rFonts w:ascii="Book Antiqua" w:hAnsi="Book Antiqua" w:cs="Arial"/>
          <w:b/>
        </w:rPr>
      </w:pPr>
    </w:p>
    <w:p w14:paraId="58D3A8BF"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4245DFE5" w14:textId="0BFDC193" w:rsidR="00B16F58" w:rsidRDefault="00B16F58" w:rsidP="00A15234">
      <w:pPr>
        <w:jc w:val="center"/>
        <w:rPr>
          <w:rFonts w:ascii="Book Antiqua" w:hAnsi="Book Antiqua" w:cs="Arial"/>
          <w:b/>
        </w:rPr>
      </w:pPr>
    </w:p>
    <w:p w14:paraId="20F7ECB6" w14:textId="77777777" w:rsidR="00C81969" w:rsidRDefault="00C81969" w:rsidP="00A15234">
      <w:pPr>
        <w:jc w:val="center"/>
        <w:rPr>
          <w:rFonts w:ascii="Book Antiqua" w:hAnsi="Book Antiqua" w:cs="Arial"/>
          <w:b/>
        </w:rPr>
      </w:pPr>
    </w:p>
    <w:p w14:paraId="0DAB396C"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CC6A6EB" w14:textId="77777777" w:rsidR="00A845DC" w:rsidRPr="00F5664C" w:rsidRDefault="00A845DC" w:rsidP="00A15234">
      <w:pPr>
        <w:jc w:val="center"/>
        <w:rPr>
          <w:rFonts w:ascii="Book Antiqua" w:hAnsi="Book Antiqua" w:cs="Arial"/>
          <w:b/>
        </w:rPr>
      </w:pPr>
    </w:p>
    <w:p w14:paraId="1C6300A8" w14:textId="4C429146" w:rsidR="00F13D39" w:rsidRDefault="00C80EDB" w:rsidP="00F13D39">
      <w:pPr>
        <w:jc w:val="center"/>
        <w:rPr>
          <w:rFonts w:ascii="Book Antiqua" w:hAnsi="Book Antiqua" w:cs="Arial"/>
          <w:b/>
          <w:caps/>
        </w:rPr>
      </w:pPr>
      <w:r>
        <w:rPr>
          <w:rFonts w:ascii="Book Antiqua" w:hAnsi="Book Antiqua" w:cs="Arial"/>
          <w:b/>
          <w:caps/>
        </w:rPr>
        <w:t>THE SECRETARY OF STATE FOR THE HOME DEPARTMENT</w:t>
      </w:r>
    </w:p>
    <w:p w14:paraId="1D1CDB44"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71475F3" w14:textId="77777777" w:rsidR="006D1DFA" w:rsidRPr="00F5664C" w:rsidRDefault="006D1DFA" w:rsidP="00704B61">
      <w:pPr>
        <w:jc w:val="center"/>
        <w:rPr>
          <w:rFonts w:ascii="Book Antiqua" w:hAnsi="Book Antiqua" w:cs="Arial"/>
          <w:b/>
        </w:rPr>
      </w:pPr>
    </w:p>
    <w:p w14:paraId="66FDD898"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36B4006" w14:textId="77777777" w:rsidR="00DD5071" w:rsidRPr="00F5664C" w:rsidRDefault="00DD5071" w:rsidP="00704B61">
      <w:pPr>
        <w:jc w:val="center"/>
        <w:rPr>
          <w:rFonts w:ascii="Book Antiqua" w:hAnsi="Book Antiqua" w:cs="Arial"/>
          <w:b/>
        </w:rPr>
      </w:pPr>
    </w:p>
    <w:p w14:paraId="3483E2DF" w14:textId="6AD8630A" w:rsidR="00DD5071" w:rsidRDefault="00C80EDB" w:rsidP="00704B61">
      <w:pPr>
        <w:jc w:val="center"/>
        <w:rPr>
          <w:rFonts w:ascii="Book Antiqua" w:hAnsi="Book Antiqua" w:cs="Arial"/>
          <w:b/>
          <w:caps/>
        </w:rPr>
      </w:pPr>
      <w:r>
        <w:rPr>
          <w:rFonts w:ascii="Book Antiqua" w:hAnsi="Book Antiqua" w:cs="Arial"/>
          <w:b/>
          <w:caps/>
        </w:rPr>
        <w:t>ERHUNMWWUNSE ORHUE</w:t>
      </w:r>
    </w:p>
    <w:p w14:paraId="0A5C77BD" w14:textId="3B764ABF" w:rsidR="00C80EDB" w:rsidRPr="00F5664C" w:rsidRDefault="00C80EDB" w:rsidP="00704B61">
      <w:pPr>
        <w:jc w:val="center"/>
        <w:rPr>
          <w:rFonts w:ascii="Book Antiqua" w:hAnsi="Book Antiqua" w:cs="Arial"/>
          <w:b/>
          <w:caps/>
        </w:rPr>
      </w:pPr>
      <w:r>
        <w:rPr>
          <w:rFonts w:ascii="Book Antiqua" w:hAnsi="Book Antiqua" w:cs="Arial"/>
          <w:b/>
          <w:caps/>
        </w:rPr>
        <w:t>(ANONYMITY DIRECTION NOT MADE)</w:t>
      </w:r>
    </w:p>
    <w:p w14:paraId="42A363CC" w14:textId="77777777" w:rsidR="00DD5071" w:rsidRPr="00F5664C" w:rsidRDefault="00DD5071" w:rsidP="00704B61">
      <w:pPr>
        <w:jc w:val="center"/>
        <w:rPr>
          <w:rFonts w:ascii="Book Antiqua" w:hAnsi="Book Antiqua" w:cs="Arial"/>
          <w:b/>
          <w:caps/>
        </w:rPr>
      </w:pPr>
    </w:p>
    <w:p w14:paraId="11385A56"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4D3133F" w14:textId="5F494E7C" w:rsidR="00DD5071" w:rsidRPr="00F5664C" w:rsidRDefault="00DD5071" w:rsidP="00DD5071">
      <w:pPr>
        <w:rPr>
          <w:rFonts w:ascii="Book Antiqua" w:hAnsi="Book Antiqua" w:cs="Arial"/>
          <w:u w:val="single"/>
        </w:rPr>
      </w:pPr>
    </w:p>
    <w:p w14:paraId="3095FB08"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4CC1CA7" w14:textId="77777777" w:rsidR="00DE7DB7" w:rsidRPr="00F5664C" w:rsidRDefault="00DE7DB7" w:rsidP="00DD5071">
      <w:pPr>
        <w:rPr>
          <w:rFonts w:ascii="Book Antiqua" w:hAnsi="Book Antiqua" w:cs="Arial"/>
        </w:rPr>
      </w:pPr>
    </w:p>
    <w:p w14:paraId="2573F5BB" w14:textId="06D1A9B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A33AC">
        <w:rPr>
          <w:rFonts w:ascii="Book Antiqua" w:hAnsi="Book Antiqua" w:cs="Arial"/>
        </w:rPr>
        <w:t>Mrs L Kenny, Senior Home Office Presenting Officer</w:t>
      </w:r>
    </w:p>
    <w:p w14:paraId="6CA6D036" w14:textId="016A06ED"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A33AC">
        <w:rPr>
          <w:rFonts w:ascii="Book Antiqua" w:hAnsi="Book Antiqua" w:cs="Arial"/>
        </w:rPr>
        <w:t>No legal representation</w:t>
      </w:r>
    </w:p>
    <w:p w14:paraId="568E9A2E" w14:textId="77777777" w:rsidR="00DE7DB7" w:rsidRPr="00F5664C" w:rsidRDefault="00DE7DB7" w:rsidP="00402B9E">
      <w:pPr>
        <w:tabs>
          <w:tab w:val="left" w:pos="2520"/>
        </w:tabs>
        <w:jc w:val="center"/>
        <w:rPr>
          <w:rFonts w:ascii="Book Antiqua" w:hAnsi="Book Antiqua" w:cs="Arial"/>
        </w:rPr>
      </w:pPr>
    </w:p>
    <w:p w14:paraId="37BDCC93" w14:textId="77777777" w:rsidR="00DE7DB7" w:rsidRPr="00F5664C" w:rsidRDefault="00DE7DB7" w:rsidP="00402B9E">
      <w:pPr>
        <w:tabs>
          <w:tab w:val="left" w:pos="2520"/>
        </w:tabs>
        <w:jc w:val="center"/>
        <w:rPr>
          <w:rFonts w:ascii="Book Antiqua" w:hAnsi="Book Antiqua" w:cs="Arial"/>
        </w:rPr>
      </w:pPr>
    </w:p>
    <w:p w14:paraId="075DF288"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64BDE99" w14:textId="6C6FF2AF" w:rsidR="00637245" w:rsidRPr="002A33AC" w:rsidRDefault="00637245" w:rsidP="00402B9E">
      <w:pPr>
        <w:tabs>
          <w:tab w:val="left" w:pos="2520"/>
        </w:tabs>
        <w:jc w:val="both"/>
        <w:rPr>
          <w:rFonts w:ascii="Book Antiqua" w:hAnsi="Book Antiqua" w:cs="Arial"/>
          <w:b/>
          <w:u w:val="single"/>
        </w:rPr>
      </w:pPr>
    </w:p>
    <w:p w14:paraId="47302BA4" w14:textId="1AEDE6CE" w:rsidR="002A33AC" w:rsidRPr="002A33AC" w:rsidRDefault="002A33AC" w:rsidP="00402B9E">
      <w:pPr>
        <w:tabs>
          <w:tab w:val="left" w:pos="2520"/>
        </w:tabs>
        <w:jc w:val="both"/>
        <w:rPr>
          <w:rFonts w:ascii="Book Antiqua" w:hAnsi="Book Antiqua" w:cs="Arial"/>
          <w:b/>
        </w:rPr>
      </w:pPr>
      <w:r w:rsidRPr="002A33AC">
        <w:rPr>
          <w:rFonts w:ascii="Book Antiqua" w:hAnsi="Book Antiqua" w:cs="Arial"/>
          <w:b/>
        </w:rPr>
        <w:t>Introduction and Background</w:t>
      </w:r>
    </w:p>
    <w:p w14:paraId="10840231" w14:textId="0E8D6A6D" w:rsidR="005E5DFF" w:rsidRDefault="002A33AC" w:rsidP="005E5DFF">
      <w:pPr>
        <w:numPr>
          <w:ilvl w:val="0"/>
          <w:numId w:val="3"/>
        </w:numPr>
        <w:spacing w:before="240"/>
        <w:jc w:val="both"/>
        <w:rPr>
          <w:rFonts w:ascii="Book Antiqua" w:hAnsi="Book Antiqua" w:cs="Arial"/>
        </w:rPr>
      </w:pPr>
      <w:r>
        <w:rPr>
          <w:rFonts w:ascii="Book Antiqua" w:hAnsi="Book Antiqua" w:cs="Arial"/>
        </w:rPr>
        <w:t>The Secretary of State appeals against a decision of Judge Rayner (the judge) of the First-tier Tribunal (the FTT) promulgated on 7</w:t>
      </w:r>
      <w:r w:rsidRPr="002A33AC">
        <w:rPr>
          <w:rFonts w:ascii="Book Antiqua" w:hAnsi="Book Antiqua" w:cs="Arial"/>
          <w:vertAlign w:val="superscript"/>
        </w:rPr>
        <w:t>th</w:t>
      </w:r>
      <w:r>
        <w:rPr>
          <w:rFonts w:ascii="Book Antiqua" w:hAnsi="Book Antiqua" w:cs="Arial"/>
        </w:rPr>
        <w:t xml:space="preserve"> March 2018.  </w:t>
      </w:r>
    </w:p>
    <w:p w14:paraId="2F3E11C9" w14:textId="77777777" w:rsidR="002A33AC" w:rsidRDefault="002A33AC" w:rsidP="005E5DFF">
      <w:pPr>
        <w:numPr>
          <w:ilvl w:val="0"/>
          <w:numId w:val="3"/>
        </w:numPr>
        <w:spacing w:before="240"/>
        <w:jc w:val="both"/>
        <w:rPr>
          <w:rFonts w:ascii="Book Antiqua" w:hAnsi="Book Antiqua" w:cs="Arial"/>
        </w:rPr>
      </w:pPr>
      <w:r>
        <w:rPr>
          <w:rFonts w:ascii="Book Antiqua" w:hAnsi="Book Antiqua" w:cs="Arial"/>
        </w:rPr>
        <w:lastRenderedPageBreak/>
        <w:t xml:space="preserve">The Respondent before the Upper Tribunal was the Appellant before the FTT and I will refer to him as the Claimant.  </w:t>
      </w:r>
    </w:p>
    <w:p w14:paraId="6F546268" w14:textId="77777777" w:rsidR="002A33AC" w:rsidRDefault="002A33AC" w:rsidP="005E5DFF">
      <w:pPr>
        <w:numPr>
          <w:ilvl w:val="0"/>
          <w:numId w:val="3"/>
        </w:numPr>
        <w:spacing w:before="240"/>
        <w:jc w:val="both"/>
        <w:rPr>
          <w:rFonts w:ascii="Book Antiqua" w:hAnsi="Book Antiqua" w:cs="Arial"/>
        </w:rPr>
      </w:pPr>
      <w:r>
        <w:rPr>
          <w:rFonts w:ascii="Book Antiqua" w:hAnsi="Book Antiqua" w:cs="Arial"/>
        </w:rPr>
        <w:t>The Claimant is a male national of Nigeria born 17</w:t>
      </w:r>
      <w:r w:rsidRPr="002A33AC">
        <w:rPr>
          <w:rFonts w:ascii="Book Antiqua" w:hAnsi="Book Antiqua" w:cs="Arial"/>
          <w:vertAlign w:val="superscript"/>
        </w:rPr>
        <w:t>th</w:t>
      </w:r>
      <w:r>
        <w:rPr>
          <w:rFonts w:ascii="Book Antiqua" w:hAnsi="Book Antiqua" w:cs="Arial"/>
        </w:rPr>
        <w:t xml:space="preserve"> April 1984 who applied for leave to remain in the UK as the spouse of a British citizen.  He married </w:t>
      </w:r>
      <w:proofErr w:type="spellStart"/>
      <w:r>
        <w:rPr>
          <w:rFonts w:ascii="Book Antiqua" w:hAnsi="Book Antiqua" w:cs="Arial"/>
        </w:rPr>
        <w:t>Amora</w:t>
      </w:r>
      <w:proofErr w:type="spellEnd"/>
      <w:r>
        <w:rPr>
          <w:rFonts w:ascii="Book Antiqua" w:hAnsi="Book Antiqua" w:cs="Arial"/>
        </w:rPr>
        <w:t xml:space="preserve"> Francisco in the UK on 9</w:t>
      </w:r>
      <w:r w:rsidRPr="002A33AC">
        <w:rPr>
          <w:rFonts w:ascii="Book Antiqua" w:hAnsi="Book Antiqua" w:cs="Arial"/>
          <w:vertAlign w:val="superscript"/>
        </w:rPr>
        <w:t>th</w:t>
      </w:r>
      <w:r>
        <w:rPr>
          <w:rFonts w:ascii="Book Antiqua" w:hAnsi="Book Antiqua" w:cs="Arial"/>
        </w:rPr>
        <w:t xml:space="preserve"> July 2016.  </w:t>
      </w:r>
    </w:p>
    <w:p w14:paraId="7567C3BD" w14:textId="77777777" w:rsidR="002A33AC" w:rsidRDefault="002A33AC" w:rsidP="005E5DFF">
      <w:pPr>
        <w:numPr>
          <w:ilvl w:val="0"/>
          <w:numId w:val="3"/>
        </w:numPr>
        <w:spacing w:before="240"/>
        <w:jc w:val="both"/>
        <w:rPr>
          <w:rFonts w:ascii="Book Antiqua" w:hAnsi="Book Antiqua" w:cs="Arial"/>
        </w:rPr>
      </w:pPr>
      <w:r>
        <w:rPr>
          <w:rFonts w:ascii="Book Antiqua" w:hAnsi="Book Antiqua" w:cs="Arial"/>
        </w:rPr>
        <w:t>The application was refused on 8</w:t>
      </w:r>
      <w:r w:rsidRPr="002A33AC">
        <w:rPr>
          <w:rFonts w:ascii="Book Antiqua" w:hAnsi="Book Antiqua" w:cs="Arial"/>
          <w:vertAlign w:val="superscript"/>
        </w:rPr>
        <w:t>th</w:t>
      </w:r>
      <w:r>
        <w:rPr>
          <w:rFonts w:ascii="Book Antiqua" w:hAnsi="Book Antiqua" w:cs="Arial"/>
        </w:rPr>
        <w:t xml:space="preserve"> November 2016 and the appeal was heard by the FTT on 26</w:t>
      </w:r>
      <w:r w:rsidRPr="002A33AC">
        <w:rPr>
          <w:rFonts w:ascii="Book Antiqua" w:hAnsi="Book Antiqua" w:cs="Arial"/>
          <w:vertAlign w:val="superscript"/>
        </w:rPr>
        <w:t>th</w:t>
      </w:r>
      <w:r>
        <w:rPr>
          <w:rFonts w:ascii="Book Antiqua" w:hAnsi="Book Antiqua" w:cs="Arial"/>
        </w:rPr>
        <w:t xml:space="preserve"> February 2018.  The judge found that the couple had married knowing that the Claimant had a precarious immigration status, in that he had entered the UK with entry clearance as a Tier 4 Student valid from 16</w:t>
      </w:r>
      <w:r w:rsidRPr="002A33AC">
        <w:rPr>
          <w:rFonts w:ascii="Book Antiqua" w:hAnsi="Book Antiqua" w:cs="Arial"/>
          <w:vertAlign w:val="superscript"/>
        </w:rPr>
        <w:t>th</w:t>
      </w:r>
      <w:r>
        <w:rPr>
          <w:rFonts w:ascii="Book Antiqua" w:hAnsi="Book Antiqua" w:cs="Arial"/>
        </w:rPr>
        <w:t xml:space="preserve"> December 2014 to 8</w:t>
      </w:r>
      <w:r w:rsidRPr="002A33AC">
        <w:rPr>
          <w:rFonts w:ascii="Book Antiqua" w:hAnsi="Book Antiqua" w:cs="Arial"/>
          <w:vertAlign w:val="superscript"/>
        </w:rPr>
        <w:t>th</w:t>
      </w:r>
      <w:r>
        <w:rPr>
          <w:rFonts w:ascii="Book Antiqua" w:hAnsi="Book Antiqua" w:cs="Arial"/>
        </w:rPr>
        <w:t xml:space="preserve"> May 2016. </w:t>
      </w:r>
    </w:p>
    <w:p w14:paraId="3BEBDF34" w14:textId="77777777" w:rsidR="002A33AC" w:rsidRDefault="002A33AC" w:rsidP="005E5DFF">
      <w:pPr>
        <w:numPr>
          <w:ilvl w:val="0"/>
          <w:numId w:val="3"/>
        </w:numPr>
        <w:spacing w:before="240"/>
        <w:jc w:val="both"/>
        <w:rPr>
          <w:rFonts w:ascii="Book Antiqua" w:hAnsi="Book Antiqua" w:cs="Arial"/>
        </w:rPr>
      </w:pPr>
      <w:r>
        <w:rPr>
          <w:rFonts w:ascii="Book Antiqua" w:hAnsi="Book Antiqua" w:cs="Arial"/>
        </w:rPr>
        <w:t xml:space="preserve">The judge considered EX.1. of Appendix FM, finding there would be no insurmountable obstacles to family life continuing outside the UK.  The judge considered paragraph 276ADE(1)(vi) finding that there would be no very significant obstacles to the Claimant reintegrating in Nigeria.  </w:t>
      </w:r>
    </w:p>
    <w:p w14:paraId="7F8EB0D2" w14:textId="77777777" w:rsidR="002A33AC" w:rsidRDefault="002A33AC" w:rsidP="005E5DFF">
      <w:pPr>
        <w:numPr>
          <w:ilvl w:val="0"/>
          <w:numId w:val="3"/>
        </w:numPr>
        <w:spacing w:before="240"/>
        <w:jc w:val="both"/>
        <w:rPr>
          <w:rFonts w:ascii="Book Antiqua" w:hAnsi="Book Antiqua" w:cs="Arial"/>
        </w:rPr>
      </w:pPr>
      <w:r>
        <w:rPr>
          <w:rFonts w:ascii="Book Antiqua" w:hAnsi="Book Antiqua" w:cs="Arial"/>
        </w:rPr>
        <w:t xml:space="preserve">The judge found that there were no exceptional circumstances which would justify granting leave to remain pursuant to Article 8 of the 1950 European Convention on Human Rights (the 1950 Convention) outside the Immigration Rules.  </w:t>
      </w:r>
    </w:p>
    <w:p w14:paraId="11370031" w14:textId="389FB061" w:rsidR="002A33AC" w:rsidRDefault="002A33AC" w:rsidP="005E5DFF">
      <w:pPr>
        <w:numPr>
          <w:ilvl w:val="0"/>
          <w:numId w:val="3"/>
        </w:numPr>
        <w:spacing w:before="240"/>
        <w:jc w:val="both"/>
        <w:rPr>
          <w:rFonts w:ascii="Book Antiqua" w:hAnsi="Book Antiqua" w:cs="Arial"/>
        </w:rPr>
      </w:pPr>
      <w:r>
        <w:rPr>
          <w:rFonts w:ascii="Book Antiqua" w:hAnsi="Book Antiqua" w:cs="Arial"/>
        </w:rPr>
        <w:t xml:space="preserve">The judge at paragraph 24 confirmed that the Claimant did not satisfy any provisions of the Immigration Rules, and the decision made by the Secretary of State was lawful and proportionate and did not breach </w:t>
      </w:r>
      <w:r w:rsidR="00637245">
        <w:rPr>
          <w:rFonts w:ascii="Book Antiqua" w:hAnsi="Book Antiqua" w:cs="Arial"/>
        </w:rPr>
        <w:t>s</w:t>
      </w:r>
      <w:r>
        <w:rPr>
          <w:rFonts w:ascii="Book Antiqua" w:hAnsi="Book Antiqua" w:cs="Arial"/>
        </w:rPr>
        <w:t xml:space="preserve">ection 6 of the Human Rights Act 1998.  </w:t>
      </w:r>
    </w:p>
    <w:p w14:paraId="3475BE67" w14:textId="052CDA85" w:rsidR="002A33AC" w:rsidRDefault="002A33AC" w:rsidP="005E5DFF">
      <w:pPr>
        <w:numPr>
          <w:ilvl w:val="0"/>
          <w:numId w:val="3"/>
        </w:numPr>
        <w:spacing w:before="240"/>
        <w:jc w:val="both"/>
        <w:rPr>
          <w:rFonts w:ascii="Book Antiqua" w:hAnsi="Book Antiqua" w:cs="Arial"/>
        </w:rPr>
      </w:pPr>
      <w:r>
        <w:rPr>
          <w:rFonts w:ascii="Book Antiqua" w:hAnsi="Book Antiqua" w:cs="Arial"/>
        </w:rPr>
        <w:t xml:space="preserve">However, under the heading “Notice of Decision” the judge recorded; </w:t>
      </w:r>
    </w:p>
    <w:p w14:paraId="24C7D2E5" w14:textId="7F30A0EB" w:rsidR="002A33AC" w:rsidRDefault="002A33AC" w:rsidP="002A33AC">
      <w:pPr>
        <w:spacing w:before="240"/>
        <w:ind w:left="1134"/>
        <w:jc w:val="both"/>
        <w:rPr>
          <w:rFonts w:ascii="Book Antiqua" w:hAnsi="Book Antiqua" w:cs="Arial"/>
        </w:rPr>
      </w:pPr>
      <w:r>
        <w:rPr>
          <w:rFonts w:ascii="Book Antiqua" w:hAnsi="Book Antiqua" w:cs="Arial"/>
        </w:rPr>
        <w:t>“This appeal is allowed.  The Respondent’</w:t>
      </w:r>
      <w:r w:rsidR="00DA103C">
        <w:rPr>
          <w:rFonts w:ascii="Book Antiqua" w:hAnsi="Book Antiqua" w:cs="Arial"/>
        </w:rPr>
        <w:t>s decision</w:t>
      </w:r>
      <w:r>
        <w:rPr>
          <w:rFonts w:ascii="Book Antiqua" w:hAnsi="Book Antiqua" w:cs="Arial"/>
        </w:rPr>
        <w:t xml:space="preserve"> is not unlawful under </w:t>
      </w:r>
      <w:r w:rsidR="00637245">
        <w:rPr>
          <w:rFonts w:ascii="Book Antiqua" w:hAnsi="Book Antiqua" w:cs="Arial"/>
        </w:rPr>
        <w:t>s</w:t>
      </w:r>
      <w:r>
        <w:rPr>
          <w:rFonts w:ascii="Book Antiqua" w:hAnsi="Book Antiqua" w:cs="Arial"/>
        </w:rPr>
        <w:t>ection 6 of the Human Rights Act 1998.”</w:t>
      </w:r>
    </w:p>
    <w:p w14:paraId="623897CF" w14:textId="71538E51" w:rsidR="002A33AC" w:rsidRDefault="002A33AC" w:rsidP="005E5DFF">
      <w:pPr>
        <w:numPr>
          <w:ilvl w:val="0"/>
          <w:numId w:val="3"/>
        </w:numPr>
        <w:spacing w:before="240"/>
        <w:jc w:val="both"/>
        <w:rPr>
          <w:rFonts w:ascii="Book Antiqua" w:hAnsi="Book Antiqua" w:cs="Arial"/>
        </w:rPr>
      </w:pPr>
      <w:r>
        <w:rPr>
          <w:rFonts w:ascii="Book Antiqua" w:hAnsi="Book Antiqua" w:cs="Arial"/>
        </w:rPr>
        <w:t xml:space="preserve">The Secretary of State applied for permission to appeal to the Upper Tribunal.  It was submitted that the </w:t>
      </w:r>
      <w:r w:rsidR="00374750">
        <w:rPr>
          <w:rFonts w:ascii="Book Antiqua" w:hAnsi="Book Antiqua" w:cs="Arial"/>
        </w:rPr>
        <w:t xml:space="preserve">decision to allow the appeal was inconsistent with conclusions made by the judge at paragraphs 23 and 24, and it was submitted that the decision to allow the appeal appeared to be “a slip of the pen and therefore an inadvertent error of law”.  </w:t>
      </w:r>
    </w:p>
    <w:p w14:paraId="2D87BF79" w14:textId="3DAA3292" w:rsidR="00374750" w:rsidRDefault="00374750" w:rsidP="005E5DFF">
      <w:pPr>
        <w:numPr>
          <w:ilvl w:val="0"/>
          <w:numId w:val="3"/>
        </w:numPr>
        <w:spacing w:before="240"/>
        <w:jc w:val="both"/>
        <w:rPr>
          <w:rFonts w:ascii="Book Antiqua" w:hAnsi="Book Antiqua" w:cs="Arial"/>
        </w:rPr>
      </w:pPr>
      <w:r>
        <w:rPr>
          <w:rFonts w:ascii="Book Antiqua" w:hAnsi="Book Antiqua" w:cs="Arial"/>
        </w:rPr>
        <w:t>It was submitted, in the alternative, that the judge’s conclusion that the appeal should be allowed was irrati</w:t>
      </w:r>
      <w:r w:rsidR="00DA103C">
        <w:rPr>
          <w:rFonts w:ascii="Book Antiqua" w:hAnsi="Book Antiqua" w:cs="Arial"/>
        </w:rPr>
        <w:t>onal, given the findings made that</w:t>
      </w:r>
      <w:r>
        <w:rPr>
          <w:rFonts w:ascii="Book Antiqua" w:hAnsi="Book Antiqua" w:cs="Arial"/>
        </w:rPr>
        <w:t xml:space="preserve"> the Claimant had failed to show that the Secretary of State’s decision was in breach of </w:t>
      </w:r>
      <w:r w:rsidR="00637245">
        <w:rPr>
          <w:rFonts w:ascii="Book Antiqua" w:hAnsi="Book Antiqua" w:cs="Arial"/>
        </w:rPr>
        <w:t>s</w:t>
      </w:r>
      <w:r>
        <w:rPr>
          <w:rFonts w:ascii="Book Antiqua" w:hAnsi="Book Antiqua" w:cs="Arial"/>
        </w:rPr>
        <w:t xml:space="preserve">ection 6 of the Human Rights Act 1998.  </w:t>
      </w:r>
    </w:p>
    <w:p w14:paraId="0C2CBCB2" w14:textId="507D5084" w:rsidR="00374750" w:rsidRDefault="00374750"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w:t>
      </w:r>
      <w:proofErr w:type="spellStart"/>
      <w:r>
        <w:rPr>
          <w:rFonts w:ascii="Book Antiqua" w:hAnsi="Book Antiqua" w:cs="Arial"/>
        </w:rPr>
        <w:t>Foudy</w:t>
      </w:r>
      <w:proofErr w:type="spellEnd"/>
      <w:r>
        <w:rPr>
          <w:rFonts w:ascii="Book Antiqua" w:hAnsi="Book Antiqua" w:cs="Arial"/>
        </w:rPr>
        <w:t xml:space="preserve"> of the FTT in the following terms; </w:t>
      </w:r>
    </w:p>
    <w:p w14:paraId="7286B29D" w14:textId="00E138E1" w:rsidR="00374750" w:rsidRDefault="00374750" w:rsidP="00374750">
      <w:pPr>
        <w:spacing w:before="240"/>
        <w:ind w:left="1701" w:hanging="567"/>
        <w:jc w:val="both"/>
        <w:rPr>
          <w:rFonts w:ascii="Book Antiqua" w:hAnsi="Book Antiqua" w:cs="Arial"/>
          <w:sz w:val="22"/>
          <w:szCs w:val="22"/>
        </w:rPr>
      </w:pPr>
      <w:r w:rsidRPr="00374750">
        <w:rPr>
          <w:rFonts w:ascii="Book Antiqua" w:hAnsi="Book Antiqua" w:cs="Arial"/>
          <w:sz w:val="22"/>
          <w:szCs w:val="22"/>
        </w:rPr>
        <w:t>“2.</w:t>
      </w:r>
      <w:r w:rsidRPr="00374750">
        <w:rPr>
          <w:rFonts w:ascii="Book Antiqua" w:hAnsi="Book Antiqua" w:cs="Arial"/>
          <w:sz w:val="22"/>
          <w:szCs w:val="22"/>
        </w:rPr>
        <w:tab/>
        <w:t xml:space="preserve">It is perfectly clear on </w:t>
      </w:r>
      <w:r>
        <w:rPr>
          <w:rFonts w:ascii="Book Antiqua" w:hAnsi="Book Antiqua" w:cs="Arial"/>
          <w:sz w:val="22"/>
          <w:szCs w:val="22"/>
        </w:rPr>
        <w:t xml:space="preserve">reading the decision as a whole that the judge intended to dismiss the appeal.  In a simple slip he wrote </w:t>
      </w:r>
      <w:r w:rsidR="00DA103C">
        <w:rPr>
          <w:rFonts w:ascii="Book Antiqua" w:hAnsi="Book Antiqua" w:cs="Arial"/>
          <w:sz w:val="22"/>
          <w:szCs w:val="22"/>
        </w:rPr>
        <w:t>t</w:t>
      </w:r>
      <w:r>
        <w:rPr>
          <w:rFonts w:ascii="Book Antiqua" w:hAnsi="Book Antiqua" w:cs="Arial"/>
          <w:sz w:val="22"/>
          <w:szCs w:val="22"/>
        </w:rPr>
        <w:t xml:space="preserve">he word ‘allowed’ at the end of a decision that gave detailed reasons why he was dismissing the appeal.  </w:t>
      </w:r>
    </w:p>
    <w:p w14:paraId="26045B63" w14:textId="43C80652" w:rsidR="00374750" w:rsidRPr="00374750" w:rsidRDefault="00374750" w:rsidP="00374750">
      <w:pPr>
        <w:spacing w:before="240"/>
        <w:ind w:left="1701" w:hanging="567"/>
        <w:jc w:val="both"/>
        <w:rPr>
          <w:rFonts w:ascii="Book Antiqua" w:hAnsi="Book Antiqua" w:cs="Arial"/>
          <w:sz w:val="22"/>
          <w:szCs w:val="22"/>
        </w:rPr>
      </w:pPr>
      <w:r>
        <w:rPr>
          <w:rFonts w:ascii="Book Antiqua" w:hAnsi="Book Antiqua" w:cs="Arial"/>
          <w:sz w:val="22"/>
          <w:szCs w:val="22"/>
        </w:rPr>
        <w:lastRenderedPageBreak/>
        <w:t>3.</w:t>
      </w:r>
      <w:r>
        <w:rPr>
          <w:rFonts w:ascii="Book Antiqua" w:hAnsi="Book Antiqua" w:cs="Arial"/>
          <w:sz w:val="22"/>
          <w:szCs w:val="22"/>
        </w:rPr>
        <w:tab/>
        <w:t xml:space="preserve">It would be sensible for the judge to be given an opportunity to correct that </w:t>
      </w:r>
      <w:proofErr w:type="gramStart"/>
      <w:r>
        <w:rPr>
          <w:rFonts w:ascii="Book Antiqua" w:hAnsi="Book Antiqua" w:cs="Arial"/>
          <w:sz w:val="22"/>
          <w:szCs w:val="22"/>
        </w:rPr>
        <w:t>one word</w:t>
      </w:r>
      <w:proofErr w:type="gramEnd"/>
      <w:r>
        <w:rPr>
          <w:rFonts w:ascii="Book Antiqua" w:hAnsi="Book Antiqua" w:cs="Arial"/>
          <w:sz w:val="22"/>
          <w:szCs w:val="22"/>
        </w:rPr>
        <w:t xml:space="preserve"> error but in accordance with </w:t>
      </w:r>
      <w:proofErr w:type="spellStart"/>
      <w:r w:rsidRPr="00637245">
        <w:rPr>
          <w:rFonts w:ascii="Book Antiqua" w:hAnsi="Book Antiqua" w:cs="Arial"/>
          <w:sz w:val="22"/>
          <w:szCs w:val="22"/>
          <w:u w:val="single"/>
        </w:rPr>
        <w:t>Katsonga</w:t>
      </w:r>
      <w:proofErr w:type="spellEnd"/>
      <w:r w:rsidRPr="00637245">
        <w:rPr>
          <w:rFonts w:ascii="Book Antiqua" w:hAnsi="Book Antiqua" w:cs="Arial"/>
          <w:sz w:val="22"/>
          <w:szCs w:val="22"/>
        </w:rPr>
        <w:t xml:space="preserve"> [2016] UKUT 228 </w:t>
      </w:r>
      <w:r>
        <w:rPr>
          <w:rFonts w:ascii="Book Antiqua" w:hAnsi="Book Antiqua" w:cs="Arial"/>
          <w:sz w:val="22"/>
          <w:szCs w:val="22"/>
        </w:rPr>
        <w:t>I can only find that an error of law has occurred, and I do so find.”</w:t>
      </w:r>
      <w:bookmarkStart w:id="0" w:name="_GoBack"/>
      <w:bookmarkEnd w:id="0"/>
    </w:p>
    <w:p w14:paraId="0F3ED8E1" w14:textId="7D03F20A" w:rsidR="00374750" w:rsidRDefault="00374750" w:rsidP="005E5DFF">
      <w:pPr>
        <w:numPr>
          <w:ilvl w:val="0"/>
          <w:numId w:val="3"/>
        </w:numPr>
        <w:spacing w:before="240"/>
        <w:jc w:val="both"/>
        <w:rPr>
          <w:rFonts w:ascii="Book Antiqua" w:hAnsi="Book Antiqua" w:cs="Arial"/>
        </w:rPr>
      </w:pPr>
      <w:r>
        <w:rPr>
          <w:rFonts w:ascii="Book Antiqua" w:hAnsi="Book Antiqua" w:cs="Arial"/>
        </w:rPr>
        <w:t xml:space="preserve">Following the grant of permission there was no response from the Claimant.  Directions were issued that there should be a hearing before the Upper Tribunal to ascertain whether the FTT had erred in law such that the decision should be set aside.  </w:t>
      </w:r>
    </w:p>
    <w:p w14:paraId="1B695D7A" w14:textId="5BBED944" w:rsidR="00374750" w:rsidRPr="00374750" w:rsidRDefault="00374750" w:rsidP="00374750">
      <w:pPr>
        <w:spacing w:before="240"/>
        <w:jc w:val="both"/>
        <w:rPr>
          <w:rFonts w:ascii="Book Antiqua" w:hAnsi="Book Antiqua" w:cs="Arial"/>
          <w:b/>
        </w:rPr>
      </w:pPr>
      <w:r w:rsidRPr="00374750">
        <w:rPr>
          <w:rFonts w:ascii="Book Antiqua" w:hAnsi="Book Antiqua" w:cs="Arial"/>
          <w:b/>
        </w:rPr>
        <w:t>The Upper Tribunal Hearing</w:t>
      </w:r>
    </w:p>
    <w:p w14:paraId="0051EA36" w14:textId="42FF0116" w:rsidR="00374750" w:rsidRDefault="00374750" w:rsidP="005E5DFF">
      <w:pPr>
        <w:numPr>
          <w:ilvl w:val="0"/>
          <w:numId w:val="3"/>
        </w:numPr>
        <w:spacing w:before="240"/>
        <w:jc w:val="both"/>
        <w:rPr>
          <w:rFonts w:ascii="Book Antiqua" w:hAnsi="Book Antiqua" w:cs="Arial"/>
        </w:rPr>
      </w:pPr>
      <w:r>
        <w:rPr>
          <w:rFonts w:ascii="Book Antiqua" w:hAnsi="Book Antiqua" w:cs="Arial"/>
        </w:rPr>
        <w:t xml:space="preserve">The Claimant attended the hearing without legal representation.  He confirmed that he was content to proceed without legal representation.  He also confirmed that he had read and understood the decision of the FTT, and that he had seen and understood the application made by the Secretary of State for permission to appeal to the Upper Tribunal, and the grant of permission to appeal.  </w:t>
      </w:r>
    </w:p>
    <w:p w14:paraId="4BD9763E" w14:textId="661BF13C" w:rsidR="00374750" w:rsidRDefault="00374750" w:rsidP="005E5DFF">
      <w:pPr>
        <w:numPr>
          <w:ilvl w:val="0"/>
          <w:numId w:val="3"/>
        </w:numPr>
        <w:spacing w:before="240"/>
        <w:jc w:val="both"/>
        <w:rPr>
          <w:rFonts w:ascii="Book Antiqua" w:hAnsi="Book Antiqua" w:cs="Arial"/>
        </w:rPr>
      </w:pPr>
      <w:r>
        <w:rPr>
          <w:rFonts w:ascii="Book Antiqua" w:hAnsi="Book Antiqua" w:cs="Arial"/>
        </w:rPr>
        <w:t xml:space="preserve">On behalf of the </w:t>
      </w:r>
      <w:r w:rsidR="00051880">
        <w:rPr>
          <w:rFonts w:ascii="Book Antiqua" w:hAnsi="Book Antiqua" w:cs="Arial"/>
        </w:rPr>
        <w:t>Secretary of State</w:t>
      </w:r>
      <w:r>
        <w:rPr>
          <w:rFonts w:ascii="Book Antiqua" w:hAnsi="Book Antiqua" w:cs="Arial"/>
        </w:rPr>
        <w:t xml:space="preserve"> reliance was placed upon the grounds upon which permission to appeal had been granted.  I was asked to find an error of law and set aside the decision of the FTT and re-make that decision by dismissing the appeal.  </w:t>
      </w:r>
    </w:p>
    <w:p w14:paraId="164E4A48" w14:textId="5A01F7B3" w:rsidR="00374750" w:rsidRDefault="00374750" w:rsidP="005E5DFF">
      <w:pPr>
        <w:numPr>
          <w:ilvl w:val="0"/>
          <w:numId w:val="3"/>
        </w:numPr>
        <w:spacing w:before="240"/>
        <w:jc w:val="both"/>
        <w:rPr>
          <w:rFonts w:ascii="Book Antiqua" w:hAnsi="Book Antiqua" w:cs="Arial"/>
        </w:rPr>
      </w:pPr>
      <w:r>
        <w:rPr>
          <w:rFonts w:ascii="Book Antiqua" w:hAnsi="Book Antiqua" w:cs="Arial"/>
        </w:rPr>
        <w:t xml:space="preserve">The </w:t>
      </w:r>
      <w:r w:rsidR="00051880">
        <w:rPr>
          <w:rFonts w:ascii="Book Antiqua" w:hAnsi="Book Antiqua" w:cs="Arial"/>
        </w:rPr>
        <w:t>Claim</w:t>
      </w:r>
      <w:r>
        <w:rPr>
          <w:rFonts w:ascii="Book Antiqua" w:hAnsi="Book Antiqua" w:cs="Arial"/>
        </w:rPr>
        <w:t>ant indicated that he did not oppose the application.  He explained that he had</w:t>
      </w:r>
      <w:r w:rsidR="00DA103C">
        <w:rPr>
          <w:rFonts w:ascii="Book Antiqua" w:hAnsi="Book Antiqua" w:cs="Arial"/>
        </w:rPr>
        <w:t>,</w:t>
      </w:r>
      <w:r>
        <w:rPr>
          <w:rFonts w:ascii="Book Antiqua" w:hAnsi="Book Antiqua" w:cs="Arial"/>
        </w:rPr>
        <w:t xml:space="preserve"> on 31</w:t>
      </w:r>
      <w:r w:rsidRPr="00374750">
        <w:rPr>
          <w:rFonts w:ascii="Book Antiqua" w:hAnsi="Book Antiqua" w:cs="Arial"/>
          <w:vertAlign w:val="superscript"/>
        </w:rPr>
        <w:t>st</w:t>
      </w:r>
      <w:r>
        <w:rPr>
          <w:rFonts w:ascii="Book Antiqua" w:hAnsi="Book Antiqua" w:cs="Arial"/>
        </w:rPr>
        <w:t xml:space="preserve"> May 2018</w:t>
      </w:r>
      <w:r w:rsidR="00DA103C">
        <w:rPr>
          <w:rFonts w:ascii="Book Antiqua" w:hAnsi="Book Antiqua" w:cs="Arial"/>
        </w:rPr>
        <w:t>,</w:t>
      </w:r>
      <w:r>
        <w:rPr>
          <w:rFonts w:ascii="Book Antiqua" w:hAnsi="Book Antiqua" w:cs="Arial"/>
        </w:rPr>
        <w:t xml:space="preserve"> lodged a further application for leave to remain, and if it was within his power, he would have withdrawn the application which is the subject of the present appeal.  </w:t>
      </w:r>
    </w:p>
    <w:p w14:paraId="1F4426AB" w14:textId="5DB28C05" w:rsidR="00374750" w:rsidRPr="00374750" w:rsidRDefault="00374750" w:rsidP="00374750">
      <w:pPr>
        <w:spacing w:before="240"/>
        <w:jc w:val="both"/>
        <w:rPr>
          <w:rFonts w:ascii="Book Antiqua" w:hAnsi="Book Antiqua" w:cs="Arial"/>
          <w:b/>
        </w:rPr>
      </w:pPr>
      <w:r w:rsidRPr="00374750">
        <w:rPr>
          <w:rFonts w:ascii="Book Antiqua" w:hAnsi="Book Antiqua" w:cs="Arial"/>
          <w:b/>
        </w:rPr>
        <w:t>My Conclusions and Reasons</w:t>
      </w:r>
    </w:p>
    <w:p w14:paraId="0605E5B3" w14:textId="57FD56D0" w:rsidR="00374750" w:rsidRDefault="00374750" w:rsidP="00374750">
      <w:pPr>
        <w:numPr>
          <w:ilvl w:val="0"/>
          <w:numId w:val="3"/>
        </w:numPr>
        <w:spacing w:before="240"/>
        <w:jc w:val="both"/>
        <w:rPr>
          <w:rFonts w:ascii="Book Antiqua" w:hAnsi="Book Antiqua" w:cs="Arial"/>
        </w:rPr>
      </w:pPr>
      <w:r>
        <w:rPr>
          <w:rFonts w:ascii="Book Antiqua" w:hAnsi="Book Antiqua" w:cs="Arial"/>
        </w:rPr>
        <w:t>The judge erred in law on one point only, and that is recording under the heading “</w:t>
      </w:r>
      <w:r w:rsidR="00DA103C">
        <w:rPr>
          <w:rFonts w:ascii="Book Antiqua" w:hAnsi="Book Antiqua" w:cs="Arial"/>
        </w:rPr>
        <w:t>N</w:t>
      </w:r>
      <w:r>
        <w:rPr>
          <w:rFonts w:ascii="Book Antiqua" w:hAnsi="Book Antiqua" w:cs="Arial"/>
        </w:rPr>
        <w:t xml:space="preserve">otice of </w:t>
      </w:r>
      <w:r w:rsidR="00DA103C">
        <w:rPr>
          <w:rFonts w:ascii="Book Antiqua" w:hAnsi="Book Antiqua" w:cs="Arial"/>
        </w:rPr>
        <w:t>D</w:t>
      </w:r>
      <w:r>
        <w:rPr>
          <w:rFonts w:ascii="Book Antiqua" w:hAnsi="Book Antiqua" w:cs="Arial"/>
        </w:rPr>
        <w:t>ecision</w:t>
      </w:r>
      <w:r w:rsidR="00DA103C">
        <w:rPr>
          <w:rFonts w:ascii="Book Antiqua" w:hAnsi="Book Antiqua" w:cs="Arial"/>
        </w:rPr>
        <w:t>”</w:t>
      </w:r>
      <w:r>
        <w:rPr>
          <w:rFonts w:ascii="Book Antiqua" w:hAnsi="Book Antiqua" w:cs="Arial"/>
        </w:rPr>
        <w:t xml:space="preserve">, that the appeal was allowed.  It is clear, and agreed by the parties, that the judge intended to dismiss the appeal.  The judge gave reasons at paragraph 19 for not accepting that insurmountable obstacles existed to family life continuing outside the UK, at paragraph 21 in finding that there were no very significant obstacles with reference to paragraph 276ADE(1)(vi), and in paragraph 23 in concluding that the appeal could not succeed with reference to Article 8 outside the Immigration Rules.  At paragraph 24 the judge summarised the conclusions, which clearly indicate that the Secretary of State’s decision was not in breach of </w:t>
      </w:r>
      <w:r w:rsidR="00637245">
        <w:rPr>
          <w:rFonts w:ascii="Book Antiqua" w:hAnsi="Book Antiqua" w:cs="Arial"/>
        </w:rPr>
        <w:t>s</w:t>
      </w:r>
      <w:r>
        <w:rPr>
          <w:rFonts w:ascii="Book Antiqua" w:hAnsi="Book Antiqua" w:cs="Arial"/>
        </w:rPr>
        <w:t>ection 6 of the Human Rights Act 1998.</w:t>
      </w:r>
    </w:p>
    <w:p w14:paraId="2B8E3EE4" w14:textId="0417ECA4" w:rsidR="00374750" w:rsidRDefault="00374750" w:rsidP="00374750">
      <w:pPr>
        <w:numPr>
          <w:ilvl w:val="0"/>
          <w:numId w:val="3"/>
        </w:numPr>
        <w:spacing w:before="240"/>
        <w:jc w:val="both"/>
        <w:rPr>
          <w:rFonts w:ascii="Book Antiqua" w:hAnsi="Book Antiqua" w:cs="Arial"/>
        </w:rPr>
      </w:pPr>
      <w:r>
        <w:rPr>
          <w:rFonts w:ascii="Book Antiqua" w:hAnsi="Book Antiqua" w:cs="Arial"/>
        </w:rPr>
        <w:t xml:space="preserve">The error of law in purporting to allow the appeal is material.  I therefore set aside the decision of the FTT.  </w:t>
      </w:r>
    </w:p>
    <w:p w14:paraId="24DDF319" w14:textId="7FF2FE1A" w:rsidR="00374750" w:rsidRDefault="00374750" w:rsidP="00374750">
      <w:pPr>
        <w:numPr>
          <w:ilvl w:val="0"/>
          <w:numId w:val="3"/>
        </w:numPr>
        <w:spacing w:before="240"/>
        <w:jc w:val="both"/>
        <w:rPr>
          <w:rFonts w:ascii="Book Antiqua" w:hAnsi="Book Antiqua" w:cs="Arial"/>
        </w:rPr>
      </w:pPr>
      <w:r>
        <w:rPr>
          <w:rFonts w:ascii="Book Antiqua" w:hAnsi="Book Antiqua" w:cs="Arial"/>
        </w:rPr>
        <w:t xml:space="preserve">However, the findings made by the FTT are preserved in their entirety.  The judge made findings on all appropriate issues, and gave sound and adequate reasons for making those findings.  </w:t>
      </w:r>
    </w:p>
    <w:p w14:paraId="1C99F685" w14:textId="149F59ED" w:rsidR="006B1DB4" w:rsidRDefault="006B1DB4" w:rsidP="006B1DB4">
      <w:pPr>
        <w:spacing w:before="240"/>
        <w:ind w:left="567"/>
        <w:jc w:val="both"/>
        <w:rPr>
          <w:rFonts w:ascii="Book Antiqua" w:hAnsi="Book Antiqua" w:cs="Arial"/>
        </w:rPr>
      </w:pPr>
    </w:p>
    <w:p w14:paraId="40499EDB" w14:textId="77777777" w:rsidR="006B1DB4" w:rsidRDefault="006B1DB4" w:rsidP="006B1DB4">
      <w:pPr>
        <w:spacing w:before="240"/>
        <w:ind w:left="567"/>
        <w:jc w:val="both"/>
        <w:rPr>
          <w:rFonts w:ascii="Book Antiqua" w:hAnsi="Book Antiqua" w:cs="Arial"/>
        </w:rPr>
      </w:pPr>
    </w:p>
    <w:p w14:paraId="4A473052" w14:textId="37D0434C" w:rsidR="00374750" w:rsidRPr="006B1DB4" w:rsidRDefault="00374750" w:rsidP="005E5DFF">
      <w:pPr>
        <w:numPr>
          <w:ilvl w:val="0"/>
          <w:numId w:val="3"/>
        </w:numPr>
        <w:spacing w:before="240"/>
        <w:jc w:val="both"/>
        <w:rPr>
          <w:rFonts w:ascii="Book Antiqua" w:hAnsi="Book Antiqua" w:cs="Arial"/>
        </w:rPr>
      </w:pPr>
      <w:r>
        <w:rPr>
          <w:rFonts w:ascii="Book Antiqua" w:hAnsi="Book Antiqua" w:cs="Arial"/>
        </w:rPr>
        <w:lastRenderedPageBreak/>
        <w:t>I re-ma</w:t>
      </w:r>
      <w:r w:rsidR="00255CFF">
        <w:rPr>
          <w:rFonts w:ascii="Book Antiqua" w:hAnsi="Book Antiqua" w:cs="Arial"/>
        </w:rPr>
        <w:t>k</w:t>
      </w:r>
      <w:r>
        <w:rPr>
          <w:rFonts w:ascii="Book Antiqua" w:hAnsi="Book Antiqua" w:cs="Arial"/>
        </w:rPr>
        <w:t>e the decision by dismissing the appeal, and the reasons for dismissal are contained within the FTT decision.</w:t>
      </w:r>
    </w:p>
    <w:p w14:paraId="3354D0D1" w14:textId="5E85B394"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57DBB28C" w14:textId="77777777" w:rsidR="00F13D39" w:rsidRPr="00F13D39" w:rsidRDefault="00F13D39" w:rsidP="00F13D39">
      <w:pPr>
        <w:jc w:val="both"/>
        <w:rPr>
          <w:rFonts w:ascii="Book Antiqua" w:hAnsi="Book Antiqua" w:cs="Arial"/>
        </w:rPr>
      </w:pPr>
    </w:p>
    <w:p w14:paraId="225D8FC9" w14:textId="3F7718D8" w:rsidR="00F13D39" w:rsidRPr="00F13D39" w:rsidRDefault="00F13D39" w:rsidP="00F13D39">
      <w:pPr>
        <w:jc w:val="both"/>
        <w:rPr>
          <w:rFonts w:ascii="Book Antiqua" w:hAnsi="Book Antiqua" w:cs="Arial"/>
        </w:rPr>
      </w:pPr>
      <w:r w:rsidRPr="00F13D39">
        <w:rPr>
          <w:rFonts w:ascii="Book Antiqua" w:hAnsi="Book Antiqua" w:cs="Arial"/>
        </w:rPr>
        <w:t xml:space="preserve">The </w:t>
      </w:r>
      <w:r w:rsidR="00374750">
        <w:rPr>
          <w:rFonts w:ascii="Book Antiqua" w:hAnsi="Book Antiqua" w:cs="Arial"/>
        </w:rPr>
        <w:t xml:space="preserve">decision of the FTT contained a material error of law and was set aside.  I re-make the </w:t>
      </w:r>
      <w:r w:rsidR="00637245">
        <w:rPr>
          <w:rFonts w:ascii="Book Antiqua" w:hAnsi="Book Antiqua" w:cs="Arial"/>
        </w:rPr>
        <w:t>decision by dismissing the appeal.</w:t>
      </w:r>
    </w:p>
    <w:p w14:paraId="7A61CD36" w14:textId="77777777" w:rsidR="00F13D39" w:rsidRPr="00F13D39" w:rsidRDefault="00F13D39" w:rsidP="00F13D39">
      <w:pPr>
        <w:jc w:val="both"/>
        <w:rPr>
          <w:rFonts w:ascii="Book Antiqua" w:hAnsi="Book Antiqua" w:cs="Arial"/>
        </w:rPr>
      </w:pPr>
    </w:p>
    <w:p w14:paraId="150A7D7E" w14:textId="7C255BE2" w:rsidR="00F13D39" w:rsidRPr="00F13D39" w:rsidRDefault="00F13D39" w:rsidP="00F13D39">
      <w:pPr>
        <w:jc w:val="both"/>
        <w:rPr>
          <w:rFonts w:ascii="Book Antiqua" w:hAnsi="Book Antiqua" w:cs="Arial"/>
        </w:rPr>
      </w:pPr>
      <w:r w:rsidRPr="00F13D39">
        <w:rPr>
          <w:rFonts w:ascii="Book Antiqua" w:hAnsi="Book Antiqua" w:cs="Arial"/>
        </w:rPr>
        <w:t xml:space="preserve">No anonymity direction </w:t>
      </w:r>
      <w:r w:rsidR="00637245">
        <w:rPr>
          <w:rFonts w:ascii="Book Antiqua" w:hAnsi="Book Antiqua" w:cs="Arial"/>
        </w:rPr>
        <w:t xml:space="preserve">was made by the FTT.  There has been no request for anonymity made to the Upper Tribunal and I see no need to make an anonymity direction.  </w:t>
      </w:r>
    </w:p>
    <w:p w14:paraId="36C756A1" w14:textId="77777777" w:rsidR="000369F5" w:rsidRPr="00F5664C" w:rsidRDefault="000369F5" w:rsidP="000369F5">
      <w:pPr>
        <w:tabs>
          <w:tab w:val="left" w:pos="2520"/>
        </w:tabs>
        <w:jc w:val="both"/>
        <w:rPr>
          <w:rFonts w:ascii="Book Antiqua" w:hAnsi="Book Antiqua" w:cs="Arial"/>
        </w:rPr>
      </w:pPr>
    </w:p>
    <w:p w14:paraId="18531D95" w14:textId="77777777" w:rsidR="000369F5" w:rsidRPr="00F5664C" w:rsidRDefault="000369F5" w:rsidP="000369F5">
      <w:pPr>
        <w:tabs>
          <w:tab w:val="left" w:pos="2520"/>
        </w:tabs>
        <w:jc w:val="both"/>
        <w:rPr>
          <w:rFonts w:ascii="Book Antiqua" w:hAnsi="Book Antiqua" w:cs="Arial"/>
        </w:rPr>
      </w:pPr>
    </w:p>
    <w:p w14:paraId="47A28E5B" w14:textId="77777777" w:rsidR="000369F5" w:rsidRPr="00F5664C" w:rsidRDefault="000369F5" w:rsidP="000369F5">
      <w:pPr>
        <w:tabs>
          <w:tab w:val="left" w:pos="2520"/>
        </w:tabs>
        <w:jc w:val="both"/>
        <w:rPr>
          <w:rFonts w:ascii="Book Antiqua" w:hAnsi="Book Antiqua" w:cs="Arial"/>
        </w:rPr>
      </w:pPr>
    </w:p>
    <w:p w14:paraId="423C1FDC" w14:textId="77777777" w:rsidR="000369F5" w:rsidRDefault="000369F5" w:rsidP="000369F5">
      <w:pPr>
        <w:tabs>
          <w:tab w:val="left" w:pos="2520"/>
        </w:tabs>
        <w:jc w:val="both"/>
        <w:rPr>
          <w:rFonts w:ascii="Book Antiqua" w:hAnsi="Book Antiqua" w:cs="Arial"/>
        </w:rPr>
      </w:pPr>
    </w:p>
    <w:p w14:paraId="179F1CDB" w14:textId="77777777" w:rsidR="00F13D39" w:rsidRDefault="00F13D39" w:rsidP="000369F5">
      <w:pPr>
        <w:tabs>
          <w:tab w:val="left" w:pos="2520"/>
        </w:tabs>
        <w:jc w:val="both"/>
        <w:rPr>
          <w:rFonts w:ascii="Book Antiqua" w:hAnsi="Book Antiqua" w:cs="Arial"/>
        </w:rPr>
      </w:pPr>
    </w:p>
    <w:p w14:paraId="4E22C08B" w14:textId="77777777" w:rsidR="00F13D39" w:rsidRPr="00F5664C" w:rsidRDefault="00F13D39" w:rsidP="000369F5">
      <w:pPr>
        <w:tabs>
          <w:tab w:val="left" w:pos="2520"/>
        </w:tabs>
        <w:jc w:val="both"/>
        <w:rPr>
          <w:rFonts w:ascii="Book Antiqua" w:hAnsi="Book Antiqua" w:cs="Arial"/>
        </w:rPr>
      </w:pPr>
    </w:p>
    <w:p w14:paraId="26417D2C"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396BD14F" w14:textId="77777777" w:rsidR="001F2716" w:rsidRPr="00F5664C" w:rsidRDefault="001F2716" w:rsidP="000369F5">
      <w:pPr>
        <w:tabs>
          <w:tab w:val="left" w:pos="2520"/>
        </w:tabs>
        <w:jc w:val="both"/>
        <w:rPr>
          <w:rFonts w:ascii="Book Antiqua" w:hAnsi="Book Antiqua" w:cs="Arial"/>
        </w:rPr>
      </w:pPr>
    </w:p>
    <w:p w14:paraId="784992BF" w14:textId="77777777" w:rsidR="001F2716" w:rsidRPr="00F5664C" w:rsidRDefault="001F2716" w:rsidP="000369F5">
      <w:pPr>
        <w:tabs>
          <w:tab w:val="left" w:pos="2520"/>
        </w:tabs>
        <w:jc w:val="both"/>
        <w:rPr>
          <w:rFonts w:ascii="Book Antiqua" w:hAnsi="Book Antiqua" w:cs="Arial"/>
        </w:rPr>
      </w:pPr>
    </w:p>
    <w:p w14:paraId="398F9B6E" w14:textId="06291EC0"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637245">
        <w:rPr>
          <w:rFonts w:ascii="Book Antiqua" w:hAnsi="Book Antiqua" w:cs="Arial"/>
        </w:rPr>
        <w:tab/>
      </w:r>
      <w:r w:rsidR="00637245">
        <w:rPr>
          <w:rFonts w:ascii="Book Antiqua" w:hAnsi="Book Antiqua" w:cs="Arial"/>
        </w:rPr>
        <w:tab/>
      </w:r>
      <w:r w:rsidR="00637245">
        <w:rPr>
          <w:rFonts w:ascii="Book Antiqua" w:hAnsi="Book Antiqua" w:cs="Arial"/>
        </w:rPr>
        <w:tab/>
        <w:t>6</w:t>
      </w:r>
      <w:r w:rsidR="00637245" w:rsidRPr="00637245">
        <w:rPr>
          <w:rFonts w:ascii="Book Antiqua" w:hAnsi="Book Antiqua" w:cs="Arial"/>
          <w:vertAlign w:val="superscript"/>
        </w:rPr>
        <w:t>th</w:t>
      </w:r>
      <w:r w:rsidR="00637245">
        <w:rPr>
          <w:rFonts w:ascii="Book Antiqua" w:hAnsi="Book Antiqua" w:cs="Arial"/>
        </w:rPr>
        <w:t xml:space="preserve"> July 2018</w:t>
      </w:r>
    </w:p>
    <w:p w14:paraId="2887C1D7" w14:textId="55BE3DF1" w:rsidR="00F13D39" w:rsidRDefault="00F13D39" w:rsidP="000369F5">
      <w:pPr>
        <w:tabs>
          <w:tab w:val="left" w:pos="2520"/>
        </w:tabs>
        <w:jc w:val="both"/>
        <w:rPr>
          <w:rFonts w:ascii="Book Antiqua" w:hAnsi="Book Antiqua" w:cs="Arial"/>
        </w:rPr>
      </w:pPr>
    </w:p>
    <w:p w14:paraId="7B242101"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341323A4"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5D4B2338" w14:textId="77777777" w:rsidR="00F13D39" w:rsidRPr="00F13D39" w:rsidRDefault="00F13D39" w:rsidP="00F13D39">
      <w:pPr>
        <w:ind w:left="567" w:hanging="567"/>
        <w:jc w:val="both"/>
        <w:rPr>
          <w:rFonts w:ascii="Book Antiqua" w:hAnsi="Book Antiqua" w:cs="Arial"/>
        </w:rPr>
      </w:pPr>
    </w:p>
    <w:p w14:paraId="4F8ADD51" w14:textId="77AA11DE" w:rsidR="00F13D39" w:rsidRDefault="00637245" w:rsidP="00F13D39">
      <w:pPr>
        <w:jc w:val="both"/>
        <w:rPr>
          <w:rFonts w:ascii="Book Antiqua" w:hAnsi="Book Antiqua" w:cs="Arial"/>
        </w:rPr>
      </w:pPr>
      <w:r>
        <w:rPr>
          <w:rFonts w:ascii="Book Antiqua" w:hAnsi="Book Antiqua" w:cs="Arial"/>
        </w:rPr>
        <w:t>The appeal is dismissed.  There is no fee award.</w:t>
      </w:r>
    </w:p>
    <w:p w14:paraId="1D593BA1" w14:textId="77777777" w:rsidR="00F13D39" w:rsidRDefault="00F13D39" w:rsidP="00F13D39">
      <w:pPr>
        <w:jc w:val="both"/>
        <w:rPr>
          <w:rFonts w:ascii="Book Antiqua" w:hAnsi="Book Antiqua" w:cs="Arial"/>
        </w:rPr>
      </w:pPr>
    </w:p>
    <w:p w14:paraId="035142BE" w14:textId="77777777" w:rsidR="00F13D39" w:rsidRDefault="00F13D39" w:rsidP="00F13D39">
      <w:pPr>
        <w:jc w:val="both"/>
        <w:rPr>
          <w:rFonts w:ascii="Book Antiqua" w:hAnsi="Book Antiqua" w:cs="Arial"/>
        </w:rPr>
      </w:pPr>
    </w:p>
    <w:p w14:paraId="5F7A2FCA" w14:textId="77777777" w:rsidR="00F13D39" w:rsidRDefault="00F13D39" w:rsidP="00F13D39">
      <w:pPr>
        <w:jc w:val="both"/>
        <w:rPr>
          <w:rFonts w:ascii="Book Antiqua" w:hAnsi="Book Antiqua" w:cs="Arial"/>
        </w:rPr>
      </w:pPr>
    </w:p>
    <w:p w14:paraId="6D883E23" w14:textId="77777777" w:rsidR="00F13D39" w:rsidRDefault="00F13D39" w:rsidP="00F13D39">
      <w:pPr>
        <w:jc w:val="both"/>
        <w:rPr>
          <w:rFonts w:ascii="Book Antiqua" w:hAnsi="Book Antiqua" w:cs="Arial"/>
        </w:rPr>
      </w:pPr>
    </w:p>
    <w:p w14:paraId="1EC4A8D2" w14:textId="77777777" w:rsidR="00F13D39" w:rsidRDefault="00F13D39" w:rsidP="00F13D39">
      <w:pPr>
        <w:jc w:val="both"/>
        <w:rPr>
          <w:rFonts w:ascii="Book Antiqua" w:hAnsi="Book Antiqua" w:cs="Arial"/>
        </w:rPr>
      </w:pPr>
    </w:p>
    <w:p w14:paraId="798D4D89" w14:textId="77777777" w:rsidR="00F13D39" w:rsidRDefault="00F13D39" w:rsidP="00F13D39">
      <w:pPr>
        <w:jc w:val="both"/>
        <w:rPr>
          <w:rFonts w:ascii="Book Antiqua" w:hAnsi="Book Antiqua" w:cs="Arial"/>
        </w:rPr>
      </w:pPr>
    </w:p>
    <w:p w14:paraId="3CE48B63"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26C4304E" w14:textId="77777777" w:rsidR="00F13D39" w:rsidRPr="00F5664C" w:rsidRDefault="00F13D39" w:rsidP="00F13D39">
      <w:pPr>
        <w:tabs>
          <w:tab w:val="left" w:pos="2520"/>
        </w:tabs>
        <w:jc w:val="both"/>
        <w:rPr>
          <w:rFonts w:ascii="Book Antiqua" w:hAnsi="Book Antiqua" w:cs="Arial"/>
        </w:rPr>
      </w:pPr>
    </w:p>
    <w:p w14:paraId="4F7DE3EC" w14:textId="77777777" w:rsidR="00F13D39" w:rsidRPr="00F5664C" w:rsidRDefault="00F13D39" w:rsidP="00F13D39">
      <w:pPr>
        <w:tabs>
          <w:tab w:val="left" w:pos="2520"/>
        </w:tabs>
        <w:jc w:val="both"/>
        <w:rPr>
          <w:rFonts w:ascii="Book Antiqua" w:hAnsi="Book Antiqua" w:cs="Arial"/>
        </w:rPr>
      </w:pPr>
    </w:p>
    <w:p w14:paraId="2B9DA86E" w14:textId="15B5C90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637245">
        <w:rPr>
          <w:rFonts w:ascii="Book Antiqua" w:hAnsi="Book Antiqua" w:cs="Arial"/>
        </w:rPr>
        <w:tab/>
      </w:r>
      <w:r w:rsidR="00637245">
        <w:rPr>
          <w:rFonts w:ascii="Book Antiqua" w:hAnsi="Book Antiqua" w:cs="Arial"/>
        </w:rPr>
        <w:tab/>
      </w:r>
      <w:r w:rsidR="00637245">
        <w:rPr>
          <w:rFonts w:ascii="Book Antiqua" w:hAnsi="Book Antiqua" w:cs="Arial"/>
        </w:rPr>
        <w:tab/>
        <w:t>6</w:t>
      </w:r>
      <w:r w:rsidR="00637245" w:rsidRPr="00637245">
        <w:rPr>
          <w:rFonts w:ascii="Book Antiqua" w:hAnsi="Book Antiqua" w:cs="Arial"/>
          <w:vertAlign w:val="superscript"/>
        </w:rPr>
        <w:t>th</w:t>
      </w:r>
      <w:r w:rsidR="00637245">
        <w:rPr>
          <w:rFonts w:ascii="Book Antiqua" w:hAnsi="Book Antiqua" w:cs="Arial"/>
        </w:rPr>
        <w:t xml:space="preserve"> July 2018</w:t>
      </w:r>
    </w:p>
    <w:p w14:paraId="508E5B75" w14:textId="2D9776D7" w:rsidR="005B7789" w:rsidRPr="00F5664C" w:rsidRDefault="00637245" w:rsidP="00ED7174">
      <w:pPr>
        <w:tabs>
          <w:tab w:val="left" w:pos="2520"/>
        </w:tabs>
        <w:jc w:val="both"/>
        <w:rPr>
          <w:rFonts w:ascii="Book Antiqua" w:hAnsi="Book Antiqua" w:cs="Arial"/>
        </w:rPr>
      </w:pPr>
      <w:r>
        <w:rPr>
          <w:rFonts w:ascii="Book Antiqua" w:hAnsi="Book Antiqua" w:cs="Arial"/>
        </w:rPr>
        <w:tab/>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4772E" w14:textId="77777777" w:rsidR="00C44870" w:rsidRDefault="00C44870">
      <w:r>
        <w:separator/>
      </w:r>
    </w:p>
  </w:endnote>
  <w:endnote w:type="continuationSeparator" w:id="0">
    <w:p w14:paraId="46F82BC6" w14:textId="77777777" w:rsidR="00C44870" w:rsidRDefault="00C4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B7C0B" w14:textId="42DE661F"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C400D">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A3084"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62BA0" w14:textId="77777777" w:rsidR="00C44870" w:rsidRDefault="00C44870">
      <w:r>
        <w:separator/>
      </w:r>
    </w:p>
  </w:footnote>
  <w:footnote w:type="continuationSeparator" w:id="0">
    <w:p w14:paraId="179DB99A" w14:textId="77777777" w:rsidR="00C44870" w:rsidRDefault="00C44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C129" w14:textId="2AF0B8B4" w:rsidR="00CF253F" w:rsidRPr="002A33AC" w:rsidRDefault="00CF253F" w:rsidP="000369F5">
    <w:pPr>
      <w:pStyle w:val="Header"/>
      <w:tabs>
        <w:tab w:val="clear" w:pos="4153"/>
        <w:tab w:val="clear" w:pos="8306"/>
        <w:tab w:val="right" w:pos="9639"/>
      </w:tabs>
      <w:jc w:val="right"/>
      <w:rPr>
        <w:rFonts w:ascii="Book Antiqua" w:hAnsi="Book Antiqua" w:cs="Arial"/>
        <w:sz w:val="16"/>
        <w:szCs w:val="16"/>
      </w:rPr>
    </w:pPr>
    <w:r w:rsidRPr="002A33AC">
      <w:rPr>
        <w:rFonts w:ascii="Book Antiqua" w:hAnsi="Book Antiqua" w:cs="Arial"/>
        <w:sz w:val="16"/>
        <w:szCs w:val="16"/>
      </w:rPr>
      <w:t>Appeal Number:</w:t>
    </w:r>
    <w:r w:rsidR="000369F5" w:rsidRPr="002A33AC">
      <w:rPr>
        <w:rFonts w:ascii="Book Antiqua" w:hAnsi="Book Antiqua" w:cs="Arial"/>
        <w:sz w:val="16"/>
        <w:szCs w:val="16"/>
      </w:rPr>
      <w:t xml:space="preserve"> </w:t>
    </w:r>
    <w:r w:rsidR="002A33AC" w:rsidRPr="002A33AC">
      <w:rPr>
        <w:rFonts w:ascii="Book Antiqua" w:hAnsi="Book Antiqua" w:cs="Arial"/>
        <w:sz w:val="16"/>
        <w:szCs w:val="16"/>
      </w:rPr>
      <w:t xml:space="preserve"> </w:t>
    </w:r>
    <w:r w:rsidR="002A33AC" w:rsidRPr="002A33AC">
      <w:rPr>
        <w:rFonts w:ascii="Book Antiqua" w:hAnsi="Book Antiqua" w:cs="Arial"/>
        <w:caps/>
        <w:sz w:val="16"/>
        <w:szCs w:val="16"/>
      </w:rPr>
      <w:t>HU/25919/2016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5C35" w14:textId="7B4E84CA"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E"/>
    <w:rsid w:val="00000621"/>
    <w:rsid w:val="000036C2"/>
    <w:rsid w:val="00030C00"/>
    <w:rsid w:val="00033D3D"/>
    <w:rsid w:val="000369F5"/>
    <w:rsid w:val="00047F27"/>
    <w:rsid w:val="00051880"/>
    <w:rsid w:val="00071A7E"/>
    <w:rsid w:val="000746C0"/>
    <w:rsid w:val="00074D1D"/>
    <w:rsid w:val="00092580"/>
    <w:rsid w:val="000D01C9"/>
    <w:rsid w:val="000D5D94"/>
    <w:rsid w:val="000E0CD7"/>
    <w:rsid w:val="00114F8B"/>
    <w:rsid w:val="001165A7"/>
    <w:rsid w:val="00147B04"/>
    <w:rsid w:val="00151BB7"/>
    <w:rsid w:val="00167D3A"/>
    <w:rsid w:val="001A1E2C"/>
    <w:rsid w:val="001F2716"/>
    <w:rsid w:val="001F5844"/>
    <w:rsid w:val="0020133A"/>
    <w:rsid w:val="00207617"/>
    <w:rsid w:val="00244BC9"/>
    <w:rsid w:val="00250D6F"/>
    <w:rsid w:val="00255071"/>
    <w:rsid w:val="00255CFF"/>
    <w:rsid w:val="0027198E"/>
    <w:rsid w:val="00283659"/>
    <w:rsid w:val="002A33AC"/>
    <w:rsid w:val="002C4E73"/>
    <w:rsid w:val="002D68BF"/>
    <w:rsid w:val="00336CBF"/>
    <w:rsid w:val="003546C8"/>
    <w:rsid w:val="00374750"/>
    <w:rsid w:val="003A7CF2"/>
    <w:rsid w:val="003C49CE"/>
    <w:rsid w:val="003C5CE5"/>
    <w:rsid w:val="003E267B"/>
    <w:rsid w:val="003E7CD1"/>
    <w:rsid w:val="00402B9E"/>
    <w:rsid w:val="00423932"/>
    <w:rsid w:val="004249CB"/>
    <w:rsid w:val="0044127D"/>
    <w:rsid w:val="004448DB"/>
    <w:rsid w:val="00446C9A"/>
    <w:rsid w:val="00465F8E"/>
    <w:rsid w:val="00477193"/>
    <w:rsid w:val="004A1848"/>
    <w:rsid w:val="00507FEC"/>
    <w:rsid w:val="00510F0E"/>
    <w:rsid w:val="005479E1"/>
    <w:rsid w:val="005570FD"/>
    <w:rsid w:val="005575EA"/>
    <w:rsid w:val="0057790C"/>
    <w:rsid w:val="00593795"/>
    <w:rsid w:val="005A75FF"/>
    <w:rsid w:val="005B7789"/>
    <w:rsid w:val="005E5DFF"/>
    <w:rsid w:val="005F7DB4"/>
    <w:rsid w:val="00637245"/>
    <w:rsid w:val="0065791C"/>
    <w:rsid w:val="00690B8A"/>
    <w:rsid w:val="006B1DB4"/>
    <w:rsid w:val="006D1DFA"/>
    <w:rsid w:val="006D506B"/>
    <w:rsid w:val="006E3C90"/>
    <w:rsid w:val="006E56F2"/>
    <w:rsid w:val="00704B61"/>
    <w:rsid w:val="00707DB1"/>
    <w:rsid w:val="007353BB"/>
    <w:rsid w:val="00742A8D"/>
    <w:rsid w:val="00752359"/>
    <w:rsid w:val="007552A9"/>
    <w:rsid w:val="00761858"/>
    <w:rsid w:val="00767D59"/>
    <w:rsid w:val="00776E97"/>
    <w:rsid w:val="00780FD7"/>
    <w:rsid w:val="007912AD"/>
    <w:rsid w:val="007A1F28"/>
    <w:rsid w:val="007B0824"/>
    <w:rsid w:val="007C0CD9"/>
    <w:rsid w:val="008303B8"/>
    <w:rsid w:val="00833DCE"/>
    <w:rsid w:val="00835039"/>
    <w:rsid w:val="00842418"/>
    <w:rsid w:val="008634DB"/>
    <w:rsid w:val="00871D34"/>
    <w:rsid w:val="00887842"/>
    <w:rsid w:val="008901DD"/>
    <w:rsid w:val="008B270C"/>
    <w:rsid w:val="008C2ED5"/>
    <w:rsid w:val="008C3D3D"/>
    <w:rsid w:val="008D4131"/>
    <w:rsid w:val="008D5128"/>
    <w:rsid w:val="008F1932"/>
    <w:rsid w:val="008F294D"/>
    <w:rsid w:val="00921062"/>
    <w:rsid w:val="0092618D"/>
    <w:rsid w:val="0093083E"/>
    <w:rsid w:val="00966ECF"/>
    <w:rsid w:val="009727A3"/>
    <w:rsid w:val="00987774"/>
    <w:rsid w:val="009A11E8"/>
    <w:rsid w:val="009D0C2C"/>
    <w:rsid w:val="009E4E62"/>
    <w:rsid w:val="009F5220"/>
    <w:rsid w:val="009F7C4D"/>
    <w:rsid w:val="00A123EF"/>
    <w:rsid w:val="00A15234"/>
    <w:rsid w:val="00A201AB"/>
    <w:rsid w:val="00A31C8B"/>
    <w:rsid w:val="00A75965"/>
    <w:rsid w:val="00A845DC"/>
    <w:rsid w:val="00A90C98"/>
    <w:rsid w:val="00A97AEE"/>
    <w:rsid w:val="00AC5CF6"/>
    <w:rsid w:val="00AF5A03"/>
    <w:rsid w:val="00B144FA"/>
    <w:rsid w:val="00B16F58"/>
    <w:rsid w:val="00B30648"/>
    <w:rsid w:val="00B337AA"/>
    <w:rsid w:val="00B3524D"/>
    <w:rsid w:val="00B35D05"/>
    <w:rsid w:val="00B40F69"/>
    <w:rsid w:val="00B4659E"/>
    <w:rsid w:val="00B46616"/>
    <w:rsid w:val="00B610E3"/>
    <w:rsid w:val="00B61205"/>
    <w:rsid w:val="00B617C4"/>
    <w:rsid w:val="00B626FA"/>
    <w:rsid w:val="00B7040A"/>
    <w:rsid w:val="00B96FA0"/>
    <w:rsid w:val="00BC3C60"/>
    <w:rsid w:val="00BC400D"/>
    <w:rsid w:val="00BD4196"/>
    <w:rsid w:val="00BE31CE"/>
    <w:rsid w:val="00BF22CA"/>
    <w:rsid w:val="00C26032"/>
    <w:rsid w:val="00C265B0"/>
    <w:rsid w:val="00C321B5"/>
    <w:rsid w:val="00C345E1"/>
    <w:rsid w:val="00C44870"/>
    <w:rsid w:val="00C70A71"/>
    <w:rsid w:val="00C80EDB"/>
    <w:rsid w:val="00C81969"/>
    <w:rsid w:val="00C977BA"/>
    <w:rsid w:val="00CB6E35"/>
    <w:rsid w:val="00CE1A46"/>
    <w:rsid w:val="00CE26B2"/>
    <w:rsid w:val="00CF253F"/>
    <w:rsid w:val="00CF56B4"/>
    <w:rsid w:val="00D20F09"/>
    <w:rsid w:val="00D22636"/>
    <w:rsid w:val="00D40FD9"/>
    <w:rsid w:val="00D45764"/>
    <w:rsid w:val="00D45A31"/>
    <w:rsid w:val="00D53769"/>
    <w:rsid w:val="00D65912"/>
    <w:rsid w:val="00D85C13"/>
    <w:rsid w:val="00D86BF3"/>
    <w:rsid w:val="00D91BE3"/>
    <w:rsid w:val="00D94AFC"/>
    <w:rsid w:val="00DA103C"/>
    <w:rsid w:val="00DB70AE"/>
    <w:rsid w:val="00DB7231"/>
    <w:rsid w:val="00DC1C00"/>
    <w:rsid w:val="00DD5071"/>
    <w:rsid w:val="00DD5C39"/>
    <w:rsid w:val="00DE26AF"/>
    <w:rsid w:val="00DE7DB7"/>
    <w:rsid w:val="00E00A0A"/>
    <w:rsid w:val="00E07F57"/>
    <w:rsid w:val="00E1040E"/>
    <w:rsid w:val="00E50BCE"/>
    <w:rsid w:val="00E61292"/>
    <w:rsid w:val="00E76309"/>
    <w:rsid w:val="00E77C4D"/>
    <w:rsid w:val="00E81D01"/>
    <w:rsid w:val="00EC3DB1"/>
    <w:rsid w:val="00ED7174"/>
    <w:rsid w:val="00EE45D8"/>
    <w:rsid w:val="00F004CD"/>
    <w:rsid w:val="00F13D39"/>
    <w:rsid w:val="00F22A22"/>
    <w:rsid w:val="00F22EDA"/>
    <w:rsid w:val="00F3224D"/>
    <w:rsid w:val="00F33E0E"/>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15B77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5346</Characters>
  <Application>Microsoft Office Word</Application>
  <DocSecurity>0</DocSecurity>
  <Lines>44</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2018-08-02T14:15:00Z</dcterms:created>
  <dcterms:modified xsi:type="dcterms:W3CDTF">2018-08-02T14:15:00Z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