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57076" w:rsidP="00C321B5">
      <w:pPr>
        <w:jc w:val="center"/>
        <w:rPr>
          <w:rFonts w:ascii="Book Antiqua" w:hAnsi="Book Antiqua" w:cs="Arial"/>
          <w:sz w:val="16"/>
          <w:szCs w:val="16"/>
        </w:rPr>
      </w:pPr>
      <w:bookmarkStart w:id="0" w:name="_GoBack"/>
      <w:bookmarkEnd w:id="0"/>
      <w:r>
        <w:rPr>
          <w:noProof/>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B339EC">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r w:rsidR="00AC3532">
        <w:rPr>
          <w:rFonts w:ascii="Book Antiqua" w:hAnsi="Book Antiqua" w:cs="Arial"/>
          <w:caps/>
        </w:rPr>
        <w:t>HU/25950/2016</w:t>
      </w:r>
    </w:p>
    <w:p w:rsidR="00AC3532" w:rsidRPr="00F5664C" w:rsidRDefault="00AC3532" w:rsidP="00B626FA">
      <w:pPr>
        <w:tabs>
          <w:tab w:val="right" w:pos="9639"/>
        </w:tabs>
        <w:rPr>
          <w:rFonts w:ascii="Book Antiqua" w:hAnsi="Book Antiqua" w:cs="Arial"/>
        </w:rPr>
      </w:pPr>
      <w:r>
        <w:rPr>
          <w:rFonts w:ascii="Book Antiqua" w:hAnsi="Book Antiqua" w:cs="Arial"/>
          <w:caps/>
        </w:rPr>
        <w:tab/>
        <w:t>HU/26536/2016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0"/>
        <w:gridCol w:w="808"/>
        <w:gridCol w:w="3960"/>
      </w:tblGrid>
      <w:tr w:rsidR="00D22636" w:rsidRPr="00E249AA" w:rsidTr="00D83116">
        <w:tc>
          <w:tcPr>
            <w:tcW w:w="5240"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AC3532">
              <w:rPr>
                <w:rFonts w:ascii="Book Antiqua" w:hAnsi="Book Antiqua" w:cs="Arial"/>
                <w:b/>
              </w:rPr>
              <w:t>Field House</w:t>
            </w:r>
          </w:p>
        </w:tc>
        <w:tc>
          <w:tcPr>
            <w:tcW w:w="4768" w:type="dxa"/>
            <w:gridSpan w:val="2"/>
            <w:shd w:val="clear" w:color="auto" w:fill="auto"/>
          </w:tcPr>
          <w:p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rsidTr="00D83116">
        <w:tc>
          <w:tcPr>
            <w:tcW w:w="5240"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AC3532">
              <w:rPr>
                <w:rFonts w:ascii="Book Antiqua" w:hAnsi="Book Antiqua" w:cs="Arial"/>
                <w:b/>
              </w:rPr>
              <w:t>12</w:t>
            </w:r>
            <w:r w:rsidR="00AC3532" w:rsidRPr="00AC3532">
              <w:rPr>
                <w:rFonts w:ascii="Book Antiqua" w:hAnsi="Book Antiqua" w:cs="Arial"/>
                <w:b/>
                <w:vertAlign w:val="superscript"/>
              </w:rPr>
              <w:t>th</w:t>
            </w:r>
            <w:r w:rsidR="00AC3532">
              <w:rPr>
                <w:rFonts w:ascii="Book Antiqua" w:hAnsi="Book Antiqua" w:cs="Arial"/>
                <w:b/>
              </w:rPr>
              <w:t xml:space="preserve"> September 2018</w:t>
            </w:r>
          </w:p>
        </w:tc>
        <w:tc>
          <w:tcPr>
            <w:tcW w:w="4768" w:type="dxa"/>
            <w:gridSpan w:val="2"/>
            <w:shd w:val="clear" w:color="auto" w:fill="auto"/>
          </w:tcPr>
          <w:p w:rsidR="00D22636" w:rsidRPr="00E249AA" w:rsidRDefault="00D83116" w:rsidP="00E249AA">
            <w:pPr>
              <w:jc w:val="both"/>
              <w:rPr>
                <w:rFonts w:ascii="Book Antiqua" w:hAnsi="Book Antiqua" w:cs="Arial"/>
                <w:b/>
              </w:rPr>
            </w:pPr>
            <w:r>
              <w:rPr>
                <w:rFonts w:ascii="Book Antiqua" w:hAnsi="Book Antiqua" w:cs="Arial"/>
                <w:b/>
              </w:rPr>
              <w:t>On 24</w:t>
            </w:r>
            <w:r w:rsidRPr="00D83116">
              <w:rPr>
                <w:rFonts w:ascii="Book Antiqua" w:hAnsi="Book Antiqua" w:cs="Arial"/>
                <w:b/>
                <w:vertAlign w:val="superscript"/>
              </w:rPr>
              <w:t>th</w:t>
            </w:r>
            <w:r>
              <w:rPr>
                <w:rFonts w:ascii="Book Antiqua" w:hAnsi="Book Antiqua" w:cs="Arial"/>
                <w:b/>
              </w:rPr>
              <w:t xml:space="preserve"> September 2018 </w:t>
            </w:r>
          </w:p>
        </w:tc>
      </w:tr>
      <w:tr w:rsidR="00D83116" w:rsidRPr="00E249AA" w:rsidTr="00E249AA">
        <w:trPr>
          <w:gridAfter w:val="1"/>
          <w:wAfter w:w="3960" w:type="dxa"/>
        </w:trPr>
        <w:tc>
          <w:tcPr>
            <w:tcW w:w="6048" w:type="dxa"/>
            <w:gridSpan w:val="2"/>
            <w:shd w:val="clear" w:color="auto" w:fill="auto"/>
          </w:tcPr>
          <w:p w:rsidR="00D83116" w:rsidRPr="00E249AA" w:rsidRDefault="00D83116" w:rsidP="00E249A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AC3532">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rsidR="00B16F58" w:rsidRPr="00F5664C" w:rsidRDefault="00B16F58"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885485" w:rsidRPr="00F5664C" w:rsidRDefault="00885485" w:rsidP="00A15234">
      <w:pPr>
        <w:jc w:val="center"/>
        <w:rPr>
          <w:rFonts w:ascii="Book Antiqua" w:hAnsi="Book Antiqua" w:cs="Arial"/>
          <w:b/>
        </w:rPr>
      </w:pPr>
    </w:p>
    <w:p w:rsidR="00885485" w:rsidRPr="00A40664" w:rsidRDefault="00885485" w:rsidP="00885485">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E65B82">
      <w:pPr>
        <w:rPr>
          <w:rFonts w:ascii="Book Antiqua" w:hAnsi="Book Antiqua" w:cs="Arial"/>
          <w:b/>
          <w:caps/>
        </w:rPr>
      </w:pPr>
      <w:bookmarkStart w:id="1" w:name="_Hlk524686507"/>
    </w:p>
    <w:p w:rsidR="00885485" w:rsidRDefault="00885485" w:rsidP="00885485">
      <w:pPr>
        <w:jc w:val="center"/>
        <w:rPr>
          <w:rFonts w:ascii="Book Antiqua" w:hAnsi="Book Antiqua" w:cs="Arial"/>
          <w:b/>
          <w:caps/>
        </w:rPr>
      </w:pPr>
      <w:r>
        <w:rPr>
          <w:rFonts w:ascii="Book Antiqua" w:hAnsi="Book Antiqua" w:cs="Arial"/>
          <w:b/>
          <w:caps/>
        </w:rPr>
        <w:t>mr marcelo guerra bustamante (1)</w:t>
      </w:r>
    </w:p>
    <w:p w:rsidR="00885485" w:rsidRDefault="00885485" w:rsidP="00885485">
      <w:pPr>
        <w:jc w:val="center"/>
        <w:rPr>
          <w:rFonts w:ascii="Book Antiqua" w:hAnsi="Book Antiqua" w:cs="Arial"/>
          <w:b/>
          <w:caps/>
        </w:rPr>
      </w:pPr>
      <w:r>
        <w:rPr>
          <w:rFonts w:ascii="Book Antiqua" w:hAnsi="Book Antiqua" w:cs="Arial"/>
          <w:b/>
          <w:caps/>
        </w:rPr>
        <w:t>miss amirah antigo bustamante (2)</w:t>
      </w:r>
    </w:p>
    <w:p w:rsidR="00885485" w:rsidRPr="00A40664" w:rsidRDefault="00885485" w:rsidP="00E65B82">
      <w:pPr>
        <w:jc w:val="center"/>
        <w:rPr>
          <w:rFonts w:ascii="Book Antiqua" w:hAnsi="Book Antiqua" w:cs="Arial"/>
          <w:b/>
          <w:caps/>
        </w:rPr>
      </w:pPr>
      <w:r w:rsidRPr="003405B7">
        <w:rPr>
          <w:rFonts w:ascii="Book Antiqua" w:hAnsi="Book Antiqua" w:cs="Arial"/>
          <w:b/>
          <w:caps/>
        </w:rPr>
        <w:t xml:space="preserve">(ANONYMITY DIRECTION </w:t>
      </w:r>
      <w:r>
        <w:rPr>
          <w:rFonts w:ascii="Book Antiqua" w:hAnsi="Book Antiqua" w:cs="Arial"/>
          <w:b/>
          <w:caps/>
        </w:rPr>
        <w:t>not made</w:t>
      </w:r>
      <w:r w:rsidRPr="003405B7">
        <w:rPr>
          <w:rFonts w:ascii="Book Antiqua" w:hAnsi="Book Antiqua" w:cs="Arial"/>
          <w:b/>
          <w:caps/>
        </w:rPr>
        <w:t>)</w:t>
      </w:r>
    </w:p>
    <w:bookmarkEnd w:id="1"/>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r w:rsidR="00E65B82">
        <w:rPr>
          <w:rFonts w:ascii="Book Antiqua" w:hAnsi="Book Antiqua" w:cs="Arial"/>
          <w:u w:val="single"/>
        </w:rPr>
        <w:t>s</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65B82">
        <w:rPr>
          <w:rFonts w:ascii="Book Antiqua" w:hAnsi="Book Antiqua" w:cs="Arial"/>
        </w:rPr>
        <w:t>Ms N Willocks-Briscoe,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AC3532">
        <w:rPr>
          <w:rFonts w:ascii="Book Antiqua" w:hAnsi="Book Antiqua" w:cs="Arial"/>
        </w:rPr>
        <w:t>s</w:t>
      </w:r>
      <w:r w:rsidRPr="00F5664C">
        <w:rPr>
          <w:rFonts w:ascii="Book Antiqua" w:hAnsi="Book Antiqua" w:cs="Arial"/>
        </w:rPr>
        <w:t>:</w:t>
      </w:r>
      <w:r w:rsidRPr="00F5664C">
        <w:rPr>
          <w:rFonts w:ascii="Book Antiqua" w:hAnsi="Book Antiqua" w:cs="Arial"/>
        </w:rPr>
        <w:tab/>
      </w:r>
      <w:r w:rsidR="00E65B82">
        <w:rPr>
          <w:rFonts w:ascii="Book Antiqua" w:hAnsi="Book Antiqua" w:cs="Arial"/>
        </w:rPr>
        <w:t>Ms C Simpson, Counsel</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AF533C" w:rsidRDefault="00AC3532" w:rsidP="00AF533C">
      <w:pPr>
        <w:numPr>
          <w:ilvl w:val="0"/>
          <w:numId w:val="3"/>
        </w:numPr>
        <w:spacing w:before="240"/>
        <w:jc w:val="both"/>
        <w:rPr>
          <w:rFonts w:ascii="Book Antiqua" w:hAnsi="Book Antiqua" w:cs="Arial"/>
        </w:rPr>
      </w:pPr>
      <w:r>
        <w:rPr>
          <w:rFonts w:ascii="Book Antiqua" w:hAnsi="Book Antiqua" w:cs="Arial"/>
        </w:rPr>
        <w:t>The Appellants are citizens of the Philippines born respectively on 2</w:t>
      </w:r>
      <w:r w:rsidRPr="00AC3532">
        <w:rPr>
          <w:rFonts w:ascii="Book Antiqua" w:hAnsi="Book Antiqua" w:cs="Arial"/>
          <w:vertAlign w:val="superscript"/>
        </w:rPr>
        <w:t>nd</w:t>
      </w:r>
      <w:r>
        <w:rPr>
          <w:rFonts w:ascii="Book Antiqua" w:hAnsi="Book Antiqua" w:cs="Arial"/>
        </w:rPr>
        <w:t xml:space="preserve"> December 1958 and 26</w:t>
      </w:r>
      <w:r w:rsidRPr="00AC3532">
        <w:rPr>
          <w:rFonts w:ascii="Book Antiqua" w:hAnsi="Book Antiqua" w:cs="Arial"/>
          <w:vertAlign w:val="superscript"/>
        </w:rPr>
        <w:t>th</w:t>
      </w:r>
      <w:r>
        <w:rPr>
          <w:rFonts w:ascii="Book Antiqua" w:hAnsi="Book Antiqua" w:cs="Arial"/>
        </w:rPr>
        <w:t xml:space="preserve"> September 1995.  They are father and daughter.  On 28</w:t>
      </w:r>
      <w:r w:rsidRPr="00AC3532">
        <w:rPr>
          <w:rFonts w:ascii="Book Antiqua" w:hAnsi="Book Antiqua" w:cs="Arial"/>
          <w:vertAlign w:val="superscript"/>
        </w:rPr>
        <w:t>th</w:t>
      </w:r>
      <w:r>
        <w:rPr>
          <w:rFonts w:ascii="Book Antiqua" w:hAnsi="Book Antiqua" w:cs="Arial"/>
        </w:rPr>
        <w:t xml:space="preserve"> June 2016 they applied for leave to remain in the United Kingdom based on the grounds that their family life </w:t>
      </w:r>
      <w:r>
        <w:rPr>
          <w:rFonts w:ascii="Book Antiqua" w:hAnsi="Book Antiqua" w:cs="Arial"/>
        </w:rPr>
        <w:lastRenderedPageBreak/>
        <w:t>as a partner (in respect of the first Appellant) and private life.  Those applications were refused by Notice of Refusal dated 8</w:t>
      </w:r>
      <w:r w:rsidRPr="00AC3532">
        <w:rPr>
          <w:rFonts w:ascii="Book Antiqua" w:hAnsi="Book Antiqua" w:cs="Arial"/>
          <w:vertAlign w:val="superscript"/>
        </w:rPr>
        <w:t>th</w:t>
      </w:r>
      <w:r>
        <w:rPr>
          <w:rFonts w:ascii="Book Antiqua" w:hAnsi="Book Antiqua" w:cs="Arial"/>
        </w:rPr>
        <w:t xml:space="preserve"> November 2016.  The Appellants appealed and the appeal came before Judge of the First-tier Tribunal Moore sitting at Taylor House on 9</w:t>
      </w:r>
      <w:r w:rsidRPr="00AC3532">
        <w:rPr>
          <w:rFonts w:ascii="Book Antiqua" w:hAnsi="Book Antiqua" w:cs="Arial"/>
          <w:vertAlign w:val="superscript"/>
        </w:rPr>
        <w:t>th</w:t>
      </w:r>
      <w:r>
        <w:rPr>
          <w:rFonts w:ascii="Book Antiqua" w:hAnsi="Book Antiqua" w:cs="Arial"/>
        </w:rPr>
        <w:t xml:space="preserve"> March 2018.  In a decision and reasons promulgated on 12</w:t>
      </w:r>
      <w:r w:rsidRPr="00AC3532">
        <w:rPr>
          <w:rFonts w:ascii="Book Antiqua" w:hAnsi="Book Antiqua" w:cs="Arial"/>
          <w:vertAlign w:val="superscript"/>
        </w:rPr>
        <w:t>th</w:t>
      </w:r>
      <w:r>
        <w:rPr>
          <w:rFonts w:ascii="Book Antiqua" w:hAnsi="Book Antiqua" w:cs="Arial"/>
        </w:rPr>
        <w:t xml:space="preserve"> March 2018 the Appellants’ appeals were allowed on human rights grounds by reference to Appendix FM of the Immigration Rules.</w:t>
      </w:r>
    </w:p>
    <w:p w:rsidR="00F14A72" w:rsidRDefault="00F14A72" w:rsidP="00AF533C">
      <w:pPr>
        <w:numPr>
          <w:ilvl w:val="0"/>
          <w:numId w:val="3"/>
        </w:numPr>
        <w:spacing w:before="240"/>
        <w:jc w:val="both"/>
        <w:rPr>
          <w:rFonts w:ascii="Book Antiqua" w:hAnsi="Book Antiqua" w:cs="Arial"/>
        </w:rPr>
      </w:pPr>
      <w:r>
        <w:rPr>
          <w:rFonts w:ascii="Book Antiqua" w:hAnsi="Book Antiqua" w:cs="Arial"/>
        </w:rPr>
        <w:t>On 27</w:t>
      </w:r>
      <w:r w:rsidRPr="00F14A72">
        <w:rPr>
          <w:rFonts w:ascii="Book Antiqua" w:hAnsi="Book Antiqua" w:cs="Arial"/>
          <w:vertAlign w:val="superscript"/>
        </w:rPr>
        <w:t>th</w:t>
      </w:r>
      <w:r>
        <w:rPr>
          <w:rFonts w:ascii="Book Antiqua" w:hAnsi="Book Antiqua" w:cs="Arial"/>
        </w:rPr>
        <w:t xml:space="preserve"> April 2018 the Secretary of State </w:t>
      </w:r>
      <w:proofErr w:type="gramStart"/>
      <w:r>
        <w:rPr>
          <w:rFonts w:ascii="Book Antiqua" w:hAnsi="Book Antiqua" w:cs="Arial"/>
        </w:rPr>
        <w:t>lodged</w:t>
      </w:r>
      <w:proofErr w:type="gramEnd"/>
      <w:r>
        <w:rPr>
          <w:rFonts w:ascii="Book Antiqua" w:hAnsi="Book Antiqua" w:cs="Arial"/>
        </w:rPr>
        <w:t xml:space="preserve"> Grounds of Appeal to the Upper Tribunal.  Those Grounds of Appeal make two contentions.  </w:t>
      </w:r>
      <w:proofErr w:type="gramStart"/>
      <w:r>
        <w:rPr>
          <w:rFonts w:ascii="Book Antiqua" w:hAnsi="Book Antiqua" w:cs="Arial"/>
        </w:rPr>
        <w:t>Firstly</w:t>
      </w:r>
      <w:proofErr w:type="gramEnd"/>
      <w:r>
        <w:rPr>
          <w:rFonts w:ascii="Book Antiqua" w:hAnsi="Book Antiqua" w:cs="Arial"/>
        </w:rPr>
        <w:t xml:space="preserve"> that the First-tier Tribunal Judge fell into error at paragraph 17 and 18 in finding that the first Appellant met the financial requirements of the Immigration Rules and secondly that the First-tier Tribunal Judge had failed to provide any consideration or reasoning as to why the appeal of the second </w:t>
      </w:r>
      <w:r w:rsidR="00A40664">
        <w:rPr>
          <w:rFonts w:ascii="Book Antiqua" w:hAnsi="Book Antiqua" w:cs="Arial"/>
        </w:rPr>
        <w:t xml:space="preserve">Appellant </w:t>
      </w:r>
      <w:r>
        <w:rPr>
          <w:rFonts w:ascii="Book Antiqua" w:hAnsi="Book Antiqua" w:cs="Arial"/>
        </w:rPr>
        <w:t xml:space="preserve">would succeed.  </w:t>
      </w:r>
    </w:p>
    <w:p w:rsidR="00A40664" w:rsidRDefault="00A40664" w:rsidP="00AF533C">
      <w:pPr>
        <w:numPr>
          <w:ilvl w:val="0"/>
          <w:numId w:val="3"/>
        </w:numPr>
        <w:spacing w:before="240"/>
        <w:jc w:val="both"/>
        <w:rPr>
          <w:rFonts w:ascii="Book Antiqua" w:hAnsi="Book Antiqua" w:cs="Arial"/>
        </w:rPr>
      </w:pPr>
      <w:r>
        <w:rPr>
          <w:rFonts w:ascii="Book Antiqua" w:hAnsi="Book Antiqua" w:cs="Arial"/>
        </w:rPr>
        <w:t>On 2</w:t>
      </w:r>
      <w:r w:rsidRPr="00A40664">
        <w:rPr>
          <w:rFonts w:ascii="Book Antiqua" w:hAnsi="Book Antiqua" w:cs="Arial"/>
          <w:vertAlign w:val="superscript"/>
        </w:rPr>
        <w:t>nd</w:t>
      </w:r>
      <w:r>
        <w:rPr>
          <w:rFonts w:ascii="Book Antiqua" w:hAnsi="Book Antiqua" w:cs="Arial"/>
        </w:rPr>
        <w:t xml:space="preserve"> July 2018 Judge of the First-tier Tribunal Hollingworth granted permission to appeal.  </w:t>
      </w:r>
    </w:p>
    <w:p w:rsidR="00A40664" w:rsidRDefault="00A40664" w:rsidP="00AF533C">
      <w:pPr>
        <w:numPr>
          <w:ilvl w:val="0"/>
          <w:numId w:val="3"/>
        </w:numPr>
        <w:spacing w:before="240"/>
        <w:jc w:val="both"/>
        <w:rPr>
          <w:rFonts w:ascii="Book Antiqua" w:hAnsi="Book Antiqua" w:cs="Arial"/>
        </w:rPr>
      </w:pPr>
      <w:r>
        <w:rPr>
          <w:rFonts w:ascii="Book Antiqua" w:hAnsi="Book Antiqua" w:cs="Arial"/>
        </w:rPr>
        <w:t>It is on that basis that the appeal comes before me to determine whether or not there are any material errors of law</w:t>
      </w:r>
      <w:r w:rsidR="00BD195C">
        <w:rPr>
          <w:rFonts w:ascii="Book Antiqua" w:hAnsi="Book Antiqua" w:cs="Arial"/>
        </w:rPr>
        <w:t xml:space="preserve"> </w:t>
      </w:r>
      <w:r>
        <w:rPr>
          <w:rFonts w:ascii="Book Antiqua" w:hAnsi="Book Antiqua" w:cs="Arial"/>
        </w:rPr>
        <w:t>in the decision of the First-tier Tribunal Judge.</w:t>
      </w:r>
      <w:r w:rsidR="00BD195C">
        <w:rPr>
          <w:rFonts w:ascii="Book Antiqua" w:hAnsi="Book Antiqua" w:cs="Arial"/>
        </w:rPr>
        <w:t xml:space="preserve">  I note that this</w:t>
      </w:r>
      <w:r w:rsidR="00E65B82">
        <w:rPr>
          <w:rFonts w:ascii="Book Antiqua" w:hAnsi="Book Antiqua" w:cs="Arial"/>
        </w:rPr>
        <w:t xml:space="preserve"> is an</w:t>
      </w:r>
      <w:r w:rsidR="00BD195C">
        <w:rPr>
          <w:rFonts w:ascii="Book Antiqua" w:hAnsi="Book Antiqua" w:cs="Arial"/>
        </w:rPr>
        <w:t xml:space="preserve"> appeal by the Secretary of State but for the sake of continuity throughout the appeal process Mr and Miss Bustamante are referred to herein as the Appellants and the Secretary of State as the Respondent.</w:t>
      </w:r>
      <w:r w:rsidR="001C22E1">
        <w:rPr>
          <w:rFonts w:ascii="Book Antiqua" w:hAnsi="Book Antiqua" w:cs="Arial"/>
        </w:rPr>
        <w:t xml:space="preserve">  The Appellants appear by their instructed Counsel, Ms Simpson.  The Secretary of State appears by her Home Office Presenting Officer </w:t>
      </w:r>
      <w:r w:rsidR="00A65866">
        <w:rPr>
          <w:rFonts w:ascii="Book Antiqua" w:hAnsi="Book Antiqua" w:cs="Arial"/>
        </w:rPr>
        <w:t>Ms Willo</w:t>
      </w:r>
      <w:r w:rsidR="001C22E1">
        <w:rPr>
          <w:rFonts w:ascii="Book Antiqua" w:hAnsi="Book Antiqua" w:cs="Arial"/>
        </w:rPr>
        <w:t>cks-Briscoe</w:t>
      </w:r>
    </w:p>
    <w:p w:rsidR="00A65866" w:rsidRPr="00A65866" w:rsidRDefault="00A65866" w:rsidP="00A65866">
      <w:pPr>
        <w:spacing w:before="240"/>
        <w:jc w:val="both"/>
        <w:rPr>
          <w:rFonts w:ascii="Book Antiqua" w:hAnsi="Book Antiqua" w:cs="Arial"/>
          <w:b/>
        </w:rPr>
      </w:pPr>
      <w:r>
        <w:rPr>
          <w:rFonts w:ascii="Book Antiqua" w:hAnsi="Book Antiqua" w:cs="Arial"/>
          <w:b/>
        </w:rPr>
        <w:t>Submissions/Discussions</w:t>
      </w:r>
    </w:p>
    <w:p w:rsidR="00C97109" w:rsidRDefault="00A65866" w:rsidP="00AF533C">
      <w:pPr>
        <w:numPr>
          <w:ilvl w:val="0"/>
          <w:numId w:val="3"/>
        </w:numPr>
        <w:spacing w:before="240"/>
        <w:jc w:val="both"/>
        <w:rPr>
          <w:rFonts w:ascii="Book Antiqua" w:hAnsi="Book Antiqua" w:cs="Arial"/>
        </w:rPr>
      </w:pPr>
      <w:r>
        <w:rPr>
          <w:rFonts w:ascii="Book Antiqua" w:hAnsi="Book Antiqua" w:cs="Arial"/>
        </w:rPr>
        <w:t>Ms Willocks-Briscoe takes me to paragraphs 17 and 18 of the decision.  It is noted therein that the first Appellant’s spouse Mrs Amor Bustamante is paid in cash and has been paid for a considerable number of years on such a basis.  It is Ms Willocks-Briscoe’s submission that she does not meet the requirements of the Immigration Rules of her income in that there have been no deposits within her bank statements and cons</w:t>
      </w:r>
      <w:r w:rsidR="00C97109">
        <w:rPr>
          <w:rFonts w:ascii="Book Antiqua" w:hAnsi="Book Antiqua" w:cs="Arial"/>
        </w:rPr>
        <w:t>equently it is difficult to reflect</w:t>
      </w:r>
      <w:r>
        <w:rPr>
          <w:rFonts w:ascii="Book Antiqua" w:hAnsi="Book Antiqua" w:cs="Arial"/>
        </w:rPr>
        <w:t xml:space="preserve"> the cash flow to show that she meets the requirements.  She submits that the Sponsor’s bank statements do not reflect her payslips and that the judge erroneously then goes on at paragraph 18 to take into account the Sponsor’s income in finding that the financial requirements are met.  She submits that the analysis at paragraph 19 when consideration is given to Section 117B of the 2002 Act is limited.  </w:t>
      </w:r>
    </w:p>
    <w:p w:rsidR="00A65866" w:rsidRDefault="00A65866" w:rsidP="00AF533C">
      <w:pPr>
        <w:numPr>
          <w:ilvl w:val="0"/>
          <w:numId w:val="3"/>
        </w:numPr>
        <w:spacing w:before="240"/>
        <w:jc w:val="both"/>
        <w:rPr>
          <w:rFonts w:ascii="Book Antiqua" w:hAnsi="Book Antiqua" w:cs="Arial"/>
        </w:rPr>
      </w:pPr>
      <w:proofErr w:type="gramStart"/>
      <w:r>
        <w:rPr>
          <w:rFonts w:ascii="Book Antiqua" w:hAnsi="Book Antiqua" w:cs="Arial"/>
        </w:rPr>
        <w:t>Secondly</w:t>
      </w:r>
      <w:proofErr w:type="gramEnd"/>
      <w:r>
        <w:rPr>
          <w:rFonts w:ascii="Book Antiqua" w:hAnsi="Book Antiqua" w:cs="Arial"/>
        </w:rPr>
        <w:t xml:space="preserve"> she contends that there has been no analysis on the case brought by the second Appellant who is an adult and she submits that there are no very significant obstacles to integration particularly bearing in mind that the judge has recognised the second Appellant is an adult aged 22.  She submits that the judge has failed to provide any consideration or reasoning as to why the appeal of the second Appellant succeeds and as to how she can succeed under the Rules or outside the Rules under Article 8 in her own right.  Further she submits that as an adult there was no route available to the Appellant under Appendix FM and that it was incumbent upon the judge to consider paragraph 276ADE and whether she could succeed in her own right outside the Rules.</w:t>
      </w:r>
    </w:p>
    <w:p w:rsidR="00A65866" w:rsidRDefault="00A65866" w:rsidP="00AF533C">
      <w:pPr>
        <w:numPr>
          <w:ilvl w:val="0"/>
          <w:numId w:val="3"/>
        </w:numPr>
        <w:spacing w:before="240"/>
        <w:jc w:val="both"/>
        <w:rPr>
          <w:rFonts w:ascii="Book Antiqua" w:hAnsi="Book Antiqua" w:cs="Arial"/>
        </w:rPr>
      </w:pPr>
      <w:r>
        <w:rPr>
          <w:rFonts w:ascii="Book Antiqua" w:hAnsi="Book Antiqua" w:cs="Arial"/>
        </w:rPr>
        <w:lastRenderedPageBreak/>
        <w:t xml:space="preserve">In reply I am taken by Ms Simpson to her detailed skeleton argument pointing out that the first Respondent was able to successfully extend his leave in February 2007 as a family dependant but when his Sponsor applied for indefinite leave to remain he was </w:t>
      </w:r>
      <w:r w:rsidR="00FB5F61">
        <w:rPr>
          <w:rFonts w:ascii="Book Antiqua" w:hAnsi="Book Antiqua" w:cs="Arial"/>
        </w:rPr>
        <w:t>un</w:t>
      </w:r>
      <w:r>
        <w:rPr>
          <w:rFonts w:ascii="Book Antiqua" w:hAnsi="Book Antiqua" w:cs="Arial"/>
        </w:rPr>
        <w:t xml:space="preserve">able to join as he failed to pass the required Life in the UK Test.  </w:t>
      </w:r>
      <w:proofErr w:type="gramStart"/>
      <w:r>
        <w:rPr>
          <w:rFonts w:ascii="Book Antiqua" w:hAnsi="Book Antiqua" w:cs="Arial"/>
        </w:rPr>
        <w:t>Thus</w:t>
      </w:r>
      <w:proofErr w:type="gramEnd"/>
      <w:r>
        <w:rPr>
          <w:rFonts w:ascii="Book Antiqua" w:hAnsi="Book Antiqua" w:cs="Arial"/>
        </w:rPr>
        <w:t xml:space="preserve"> he applied together with his children for further leave as family dependants.  She goes through the history of this matter in some detail thereafter and then addresses the grounds which are challenged.</w:t>
      </w:r>
      <w:r w:rsidR="00730F4F">
        <w:rPr>
          <w:rFonts w:ascii="Book Antiqua" w:hAnsi="Book Antiqua" w:cs="Arial"/>
        </w:rPr>
        <w:t xml:space="preserve">  She accepts that the First-tier Tribunal Judge has failed to make specific findings on the appeal of the second Appellant and that she can only apply with her father but the judge dealt with both appeals and consequently to a certain </w:t>
      </w:r>
      <w:r w:rsidR="00C414A4">
        <w:rPr>
          <w:rFonts w:ascii="Book Antiqua" w:hAnsi="Book Antiqua" w:cs="Arial"/>
        </w:rPr>
        <w:t>extent she acknowledges that the decision made therein is defective.  So far as the first Appellant is concerned she submits that whilst it is accepted that the Sponsor’s income was not shown in her bank statements since she was receiving her salary in cash since 2003 until 2016 and that she has complied with the payments of her national insurance contribution and tax as shown in her payslips that it is accepted that her employment is genuine</w:t>
      </w:r>
      <w:r w:rsidR="00C97109">
        <w:rPr>
          <w:rFonts w:ascii="Book Antiqua" w:hAnsi="Book Antiqua" w:cs="Arial"/>
        </w:rPr>
        <w:t>.  I</w:t>
      </w:r>
      <w:r w:rsidR="00C414A4">
        <w:rPr>
          <w:rFonts w:ascii="Book Antiqua" w:hAnsi="Book Antiqua" w:cs="Arial"/>
        </w:rPr>
        <w:t xml:space="preserve">mportantly </w:t>
      </w:r>
      <w:r w:rsidR="00C97109">
        <w:rPr>
          <w:rFonts w:ascii="Book Antiqua" w:hAnsi="Book Antiqua" w:cs="Arial"/>
        </w:rPr>
        <w:t xml:space="preserve">she maintains </w:t>
      </w:r>
      <w:r w:rsidR="00C414A4">
        <w:rPr>
          <w:rFonts w:ascii="Book Antiqua" w:hAnsi="Book Antiqua" w:cs="Arial"/>
        </w:rPr>
        <w:t xml:space="preserve">it was accepted that this arrangement took place until the Sponsor’s settlement in the UK.  </w:t>
      </w:r>
      <w:proofErr w:type="gramStart"/>
      <w:r w:rsidR="00CB5091">
        <w:rPr>
          <w:rFonts w:ascii="Book Antiqua" w:hAnsi="Book Antiqua" w:cs="Arial"/>
        </w:rPr>
        <w:t>However</w:t>
      </w:r>
      <w:proofErr w:type="gramEnd"/>
      <w:r w:rsidR="00CB5091">
        <w:rPr>
          <w:rFonts w:ascii="Book Antiqua" w:hAnsi="Book Antiqua" w:cs="Arial"/>
        </w:rPr>
        <w:t xml:space="preserve"> </w:t>
      </w:r>
      <w:r w:rsidR="00C97109">
        <w:rPr>
          <w:rFonts w:ascii="Book Antiqua" w:hAnsi="Book Antiqua" w:cs="Arial"/>
        </w:rPr>
        <w:t xml:space="preserve">she points out </w:t>
      </w:r>
      <w:r w:rsidR="00CB5091">
        <w:rPr>
          <w:rFonts w:ascii="Book Antiqua" w:hAnsi="Book Antiqua" w:cs="Arial"/>
        </w:rPr>
        <w:t>the Appellant’s P60 had been accepted by the Secretary of State in the Respondent’s application and a copy has been produced during the hearing.</w:t>
      </w:r>
    </w:p>
    <w:p w:rsidR="00A15C78" w:rsidRDefault="00A15C78" w:rsidP="00AF533C">
      <w:pPr>
        <w:numPr>
          <w:ilvl w:val="0"/>
          <w:numId w:val="3"/>
        </w:numPr>
        <w:spacing w:before="240"/>
        <w:jc w:val="both"/>
        <w:rPr>
          <w:rFonts w:ascii="Book Antiqua" w:hAnsi="Book Antiqua" w:cs="Arial"/>
        </w:rPr>
      </w:pPr>
      <w:r>
        <w:rPr>
          <w:rFonts w:ascii="Book Antiqua" w:hAnsi="Book Antiqua" w:cs="Arial"/>
        </w:rPr>
        <w:t xml:space="preserve">Further she submits </w:t>
      </w:r>
      <w:r w:rsidR="00A548E2">
        <w:rPr>
          <w:rFonts w:ascii="Book Antiqua" w:hAnsi="Book Antiqua" w:cs="Arial"/>
        </w:rPr>
        <w:t xml:space="preserve">that the Sponsor has genuine employment and that the Secretary of State has to make a substantial reason for not accepting the Sponsor.  As for guidance on this fact she relies on the decision of the Supreme Court in </w:t>
      </w:r>
      <w:r w:rsidR="00A548E2" w:rsidRPr="00A548E2">
        <w:rPr>
          <w:rFonts w:ascii="Book Antiqua" w:hAnsi="Book Antiqua" w:cs="Arial"/>
          <w:i/>
        </w:rPr>
        <w:t xml:space="preserve">MM (Lebanon) and Others v SSHD [2017] UKSC </w:t>
      </w:r>
      <w:r w:rsidR="00FB5F61">
        <w:rPr>
          <w:rFonts w:ascii="Book Antiqua" w:hAnsi="Book Antiqua" w:cs="Arial"/>
        </w:rPr>
        <w:t>t</w:t>
      </w:r>
      <w:r w:rsidR="00A548E2">
        <w:rPr>
          <w:rFonts w:ascii="Book Antiqua" w:hAnsi="Book Antiqua" w:cs="Arial"/>
        </w:rPr>
        <w:t>h</w:t>
      </w:r>
      <w:r w:rsidR="00FB5F61">
        <w:rPr>
          <w:rFonts w:ascii="Book Antiqua" w:hAnsi="Book Antiqua" w:cs="Arial"/>
        </w:rPr>
        <w:t>at</w:t>
      </w:r>
      <w:r w:rsidR="00A548E2">
        <w:rPr>
          <w:rFonts w:ascii="Book Antiqua" w:hAnsi="Book Antiqua" w:cs="Arial"/>
        </w:rPr>
        <w:t xml:space="preserve"> provides that if the decision could otherwise result in unjustifiably harsh consequences then other sources of income should be considered.  Bearing in mind if the Sponsor’s income is considered genuine or credible and reliable </w:t>
      </w:r>
      <w:r w:rsidR="00ED10E3">
        <w:rPr>
          <w:rFonts w:ascii="Book Antiqua" w:hAnsi="Book Antiqua" w:cs="Arial"/>
        </w:rPr>
        <w:t>then she submits that the Appellant has met the maintenance requirement and that this is exactly what the First-tier Tribunal Judge has done.</w:t>
      </w:r>
      <w:r w:rsidR="00880AD6">
        <w:rPr>
          <w:rFonts w:ascii="Book Antiqua" w:hAnsi="Book Antiqua" w:cs="Arial"/>
        </w:rPr>
        <w:t xml:space="preserve">  She points out that the </w:t>
      </w:r>
      <w:r w:rsidR="00C97109">
        <w:rPr>
          <w:rFonts w:ascii="Book Antiqua" w:hAnsi="Book Antiqua" w:cs="Arial"/>
        </w:rPr>
        <w:t xml:space="preserve">appellants’ </w:t>
      </w:r>
      <w:r w:rsidR="00880AD6">
        <w:rPr>
          <w:rFonts w:ascii="Book Antiqua" w:hAnsi="Book Antiqua" w:cs="Arial"/>
        </w:rPr>
        <w:t>i</w:t>
      </w:r>
      <w:r w:rsidR="007F1F45">
        <w:rPr>
          <w:rFonts w:ascii="Book Antiqua" w:hAnsi="Book Antiqua" w:cs="Arial"/>
        </w:rPr>
        <w:t xml:space="preserve">ncomes together amount to a total of some £28,000 and that the financial requirement consequently is met.  </w:t>
      </w:r>
    </w:p>
    <w:p w:rsidR="00691592" w:rsidRPr="005F26E7" w:rsidRDefault="00691592" w:rsidP="00691592">
      <w:pPr>
        <w:spacing w:before="240"/>
        <w:jc w:val="both"/>
        <w:rPr>
          <w:rFonts w:ascii="Book Antiqua" w:hAnsi="Book Antiqua"/>
          <w:b/>
        </w:rPr>
      </w:pPr>
      <w:r w:rsidRPr="005F26E7">
        <w:rPr>
          <w:rFonts w:ascii="Book Antiqua" w:hAnsi="Book Antiqua"/>
          <w:b/>
        </w:rPr>
        <w:t>The Law</w:t>
      </w:r>
    </w:p>
    <w:p w:rsidR="00691592" w:rsidRDefault="00691592" w:rsidP="00691592">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rsidR="00691592" w:rsidRDefault="00691592" w:rsidP="00691592">
      <w:pPr>
        <w:numPr>
          <w:ilvl w:val="0"/>
          <w:numId w:val="3"/>
        </w:numPr>
        <w:spacing w:before="240"/>
        <w:jc w:val="both"/>
        <w:rPr>
          <w:rFonts w:ascii="Book Antiqua" w:hAnsi="Book Antiqua"/>
        </w:rPr>
      </w:pPr>
      <w:r>
        <w:rPr>
          <w:rFonts w:ascii="Book Antiqua" w:hAnsi="Book Antiqua"/>
        </w:rPr>
        <w:t xml:space="preserve">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w:t>
      </w:r>
      <w:r>
        <w:rPr>
          <w:rFonts w:ascii="Book Antiqua" w:hAnsi="Book Antiqua"/>
        </w:rPr>
        <w:lastRenderedPageBreak/>
        <w:t>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rsidR="00691592" w:rsidRPr="00691592" w:rsidRDefault="00691592" w:rsidP="00691592">
      <w:pPr>
        <w:spacing w:before="240"/>
        <w:jc w:val="both"/>
        <w:rPr>
          <w:rFonts w:ascii="Book Antiqua" w:hAnsi="Book Antiqua"/>
          <w:b/>
        </w:rPr>
      </w:pPr>
      <w:r>
        <w:rPr>
          <w:rFonts w:ascii="Book Antiqua" w:hAnsi="Book Antiqua"/>
          <w:b/>
        </w:rPr>
        <w:t>Findings on Error of Law</w:t>
      </w:r>
    </w:p>
    <w:p w:rsidR="00691592" w:rsidRDefault="00691592" w:rsidP="00AF533C">
      <w:pPr>
        <w:numPr>
          <w:ilvl w:val="0"/>
          <w:numId w:val="3"/>
        </w:numPr>
        <w:spacing w:before="240"/>
        <w:jc w:val="both"/>
        <w:rPr>
          <w:rFonts w:ascii="Book Antiqua" w:hAnsi="Book Antiqua" w:cs="Arial"/>
        </w:rPr>
      </w:pPr>
      <w:r>
        <w:rPr>
          <w:rFonts w:ascii="Book Antiqua" w:hAnsi="Book Antiqua" w:cs="Arial"/>
        </w:rPr>
        <w:t>I address firstly the position of the first Appellant.  In this</w:t>
      </w:r>
      <w:r w:rsidR="00C97109">
        <w:rPr>
          <w:rFonts w:ascii="Book Antiqua" w:hAnsi="Book Antiqua" w:cs="Arial"/>
        </w:rPr>
        <w:t xml:space="preserve"> appeal</w:t>
      </w:r>
      <w:r>
        <w:rPr>
          <w:rFonts w:ascii="Book Antiqua" w:hAnsi="Book Antiqua" w:cs="Arial"/>
        </w:rPr>
        <w:t xml:space="preserve"> the judge has been satisfied and has set out in detail at paragraphs 17 and 18 exactly why he is satisfied that the first Appellant meets the financial requirements.  I am satisfied that this judge has given a very thorough and detailed consideration of the basis upon which the financial settlement is made and has</w:t>
      </w:r>
      <w:r w:rsidR="00C97109">
        <w:rPr>
          <w:rFonts w:ascii="Book Antiqua" w:hAnsi="Book Antiqua" w:cs="Arial"/>
        </w:rPr>
        <w:t>,</w:t>
      </w:r>
      <w:r>
        <w:rPr>
          <w:rFonts w:ascii="Book Antiqua" w:hAnsi="Book Antiqua" w:cs="Arial"/>
        </w:rPr>
        <w:t xml:space="preserve"> following the decision in </w:t>
      </w:r>
      <w:r w:rsidRPr="00691592">
        <w:rPr>
          <w:rFonts w:ascii="Book Antiqua" w:hAnsi="Book Antiqua" w:cs="Arial"/>
          <w:i/>
        </w:rPr>
        <w:t>MM (Lebanon)</w:t>
      </w:r>
      <w:r w:rsidR="00C97109">
        <w:rPr>
          <w:rFonts w:ascii="Book Antiqua" w:hAnsi="Book Antiqua" w:cs="Arial"/>
        </w:rPr>
        <w:t>,</w:t>
      </w:r>
      <w:r>
        <w:rPr>
          <w:rFonts w:ascii="Book Antiqua" w:hAnsi="Book Antiqua" w:cs="Arial"/>
        </w:rPr>
        <w:t xml:space="preserve"> made findings that he was entitled to.  In such circumstances I am satisfied that there is no material error of law and that the appeal of the Secretary of State is dismissed.</w:t>
      </w:r>
    </w:p>
    <w:p w:rsidR="0063361C" w:rsidRDefault="0063361C" w:rsidP="00AF533C">
      <w:pPr>
        <w:numPr>
          <w:ilvl w:val="0"/>
          <w:numId w:val="3"/>
        </w:numPr>
        <w:spacing w:before="24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the position is not quite the same so far as the second Appellant is concerned.  It is effectively conceded by Ms Simpson that the judge has not addressed the second Appellant’s case.  To that extent there is a material error of law and I set aside that decision and proceed to reconsider and thereafter remake the decision.</w:t>
      </w:r>
    </w:p>
    <w:p w:rsidR="000947B0" w:rsidRPr="000947B0" w:rsidRDefault="000947B0" w:rsidP="000947B0">
      <w:pPr>
        <w:spacing w:before="240"/>
        <w:jc w:val="both"/>
        <w:rPr>
          <w:rFonts w:ascii="Book Antiqua" w:hAnsi="Book Antiqua" w:cs="Arial"/>
          <w:b/>
        </w:rPr>
      </w:pPr>
      <w:r>
        <w:rPr>
          <w:rFonts w:ascii="Book Antiqua" w:hAnsi="Book Antiqua" w:cs="Arial"/>
          <w:b/>
        </w:rPr>
        <w:t xml:space="preserve">The Remaking of the Decision </w:t>
      </w:r>
      <w:proofErr w:type="gramStart"/>
      <w:r>
        <w:rPr>
          <w:rFonts w:ascii="Book Antiqua" w:hAnsi="Book Antiqua" w:cs="Arial"/>
          <w:b/>
        </w:rPr>
        <w:t>so</w:t>
      </w:r>
      <w:proofErr w:type="gramEnd"/>
      <w:r>
        <w:rPr>
          <w:rFonts w:ascii="Book Antiqua" w:hAnsi="Book Antiqua" w:cs="Arial"/>
          <w:b/>
        </w:rPr>
        <w:t xml:space="preserve"> Far as it Affects the Second Appellant </w:t>
      </w:r>
    </w:p>
    <w:p w:rsidR="00C97109" w:rsidRDefault="000947B0" w:rsidP="00AA61C5">
      <w:pPr>
        <w:numPr>
          <w:ilvl w:val="0"/>
          <w:numId w:val="3"/>
        </w:numPr>
        <w:spacing w:before="240"/>
        <w:jc w:val="both"/>
        <w:rPr>
          <w:rFonts w:ascii="Book Antiqua" w:hAnsi="Book Antiqua" w:cs="Arial"/>
        </w:rPr>
      </w:pPr>
      <w:r>
        <w:rPr>
          <w:rFonts w:ascii="Book Antiqua" w:hAnsi="Book Antiqua" w:cs="Arial"/>
        </w:rPr>
        <w:t xml:space="preserve">In this matter I have given due consideration to the submissions made by Ms Willocks-Briscoe namely that if there has been a failure to consider the second Appellant’s claim it must be looked at as a matter of law.  I accept that the second Appellant does not meet the Immigration Rules but I have given due consideration to the factors to be found in paragraphs EX.1 and EX.2.  Further when looking at those factors I take into account that the second Appellant came to the UK when she was aged 15 as a dependant.  It is not challenged that she is not still a dependant albeit that she is </w:t>
      </w:r>
      <w:r w:rsidR="00F1004A">
        <w:rPr>
          <w:rFonts w:ascii="Book Antiqua" w:hAnsi="Book Antiqua" w:cs="Arial"/>
        </w:rPr>
        <w:t>22 and that she had no alternative but to apply at the same time that her father did in order for her application to be allowed.</w:t>
      </w:r>
      <w:r w:rsidR="00F831F6">
        <w:rPr>
          <w:rFonts w:ascii="Book Antiqua" w:hAnsi="Book Antiqua" w:cs="Arial"/>
        </w:rPr>
        <w:t xml:space="preserve">  She has been here for a period of seven years.  The Secretary of State does not challenge that she lives with her parents and is dependent upon them.  </w:t>
      </w:r>
    </w:p>
    <w:p w:rsidR="00AC3532" w:rsidRPr="00AA61C5" w:rsidRDefault="00F831F6" w:rsidP="00AA61C5">
      <w:pPr>
        <w:numPr>
          <w:ilvl w:val="0"/>
          <w:numId w:val="3"/>
        </w:numPr>
        <w:spacing w:before="240"/>
        <w:jc w:val="both"/>
        <w:rPr>
          <w:rFonts w:ascii="Book Antiqua" w:hAnsi="Book Antiqua" w:cs="Arial"/>
        </w:rPr>
      </w:pPr>
      <w:r>
        <w:rPr>
          <w:rFonts w:ascii="Book Antiqua" w:hAnsi="Book Antiqua" w:cs="Arial"/>
        </w:rPr>
        <w:t xml:space="preserve">In such circumstances I am satisfied that the second Appellant’s claim based on private and family life succeeds outside the Rules and that the decision of the First-tier Tribunal Judge was effectively correct in allowing the appeal but that the judge failed to separate the two cases and deal with them on the facts firstly as they relate to the first Appellant and secondly as they relate to the second Appellant.  </w:t>
      </w:r>
      <w:proofErr w:type="gramStart"/>
      <w:r>
        <w:rPr>
          <w:rFonts w:ascii="Book Antiqua" w:hAnsi="Book Antiqua" w:cs="Arial"/>
        </w:rPr>
        <w:t>However</w:t>
      </w:r>
      <w:proofErr w:type="gramEnd"/>
      <w:r>
        <w:rPr>
          <w:rFonts w:ascii="Book Antiqua" w:hAnsi="Book Antiqua" w:cs="Arial"/>
        </w:rPr>
        <w:t xml:space="preserve"> for all the above reasons I am satisfied that the second Appellant’s appeal should be allowed on Article 8 grounds.</w:t>
      </w:r>
    </w:p>
    <w:p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rsidR="003405B7" w:rsidRPr="003405B7" w:rsidRDefault="003405B7" w:rsidP="003405B7">
      <w:pPr>
        <w:jc w:val="both"/>
        <w:rPr>
          <w:rFonts w:ascii="Book Antiqua" w:hAnsi="Book Antiqua" w:cs="Arial"/>
        </w:rPr>
      </w:pPr>
    </w:p>
    <w:p w:rsidR="003405B7" w:rsidRDefault="00AA61C5" w:rsidP="003405B7">
      <w:pPr>
        <w:jc w:val="both"/>
        <w:rPr>
          <w:rFonts w:ascii="Book Antiqua" w:hAnsi="Book Antiqua" w:cs="Arial"/>
        </w:rPr>
      </w:pPr>
      <w:r>
        <w:rPr>
          <w:rFonts w:ascii="Book Antiqua" w:hAnsi="Book Antiqua" w:cs="Arial"/>
        </w:rPr>
        <w:t>So far as the first Appellant is concerned t</w:t>
      </w:r>
      <w:r w:rsidR="003405B7" w:rsidRPr="003405B7">
        <w:rPr>
          <w:rFonts w:ascii="Book Antiqua" w:hAnsi="Book Antiqua" w:cs="Arial"/>
        </w:rPr>
        <w:t>he</w:t>
      </w:r>
      <w:r>
        <w:rPr>
          <w:rFonts w:ascii="Book Antiqua" w:hAnsi="Book Antiqua" w:cs="Arial"/>
        </w:rPr>
        <w:t xml:space="preserve"> decision of the First-tier Tribunal discloses no material error of law and the</w:t>
      </w:r>
      <w:r w:rsidR="003405B7" w:rsidRPr="003405B7">
        <w:rPr>
          <w:rFonts w:ascii="Book Antiqua" w:hAnsi="Book Antiqua" w:cs="Arial"/>
        </w:rPr>
        <w:t xml:space="preserve"> appeal </w:t>
      </w:r>
      <w:r>
        <w:rPr>
          <w:rFonts w:ascii="Book Antiqua" w:hAnsi="Book Antiqua" w:cs="Arial"/>
        </w:rPr>
        <w:t>of the</w:t>
      </w:r>
      <w:r w:rsidR="00C97109">
        <w:rPr>
          <w:rFonts w:ascii="Book Antiqua" w:hAnsi="Book Antiqua" w:cs="Arial"/>
        </w:rPr>
        <w:t xml:space="preserve"> Secretary of State is dismissed</w:t>
      </w:r>
      <w:r>
        <w:rPr>
          <w:rFonts w:ascii="Book Antiqua" w:hAnsi="Book Antiqua" w:cs="Arial"/>
        </w:rPr>
        <w:t xml:space="preserve">. </w:t>
      </w:r>
    </w:p>
    <w:p w:rsidR="00AA61C5" w:rsidRDefault="00AA61C5" w:rsidP="003405B7">
      <w:pPr>
        <w:jc w:val="both"/>
        <w:rPr>
          <w:rFonts w:ascii="Book Antiqua" w:hAnsi="Book Antiqua" w:cs="Arial"/>
        </w:rPr>
      </w:pPr>
    </w:p>
    <w:p w:rsidR="00AA61C5" w:rsidRPr="003405B7" w:rsidRDefault="00AA61C5" w:rsidP="003405B7">
      <w:pPr>
        <w:jc w:val="both"/>
        <w:rPr>
          <w:rFonts w:ascii="Book Antiqua" w:hAnsi="Book Antiqua" w:cs="Arial"/>
        </w:rPr>
      </w:pPr>
      <w:r>
        <w:rPr>
          <w:rFonts w:ascii="Book Antiqua" w:hAnsi="Book Antiqua" w:cs="Arial"/>
        </w:rPr>
        <w:t>So far as the second Appellant is concerned whilst the decision of the First-tier Tribunal Judge does disclose material errors of law I set aside that decision and I proceed to remake the decision allowing the Appellant’s appeal.</w:t>
      </w:r>
    </w:p>
    <w:p w:rsidR="003405B7" w:rsidRPr="003405B7" w:rsidRDefault="003405B7" w:rsidP="003405B7">
      <w:pPr>
        <w:jc w:val="both"/>
        <w:rPr>
          <w:rFonts w:ascii="Book Antiqua" w:hAnsi="Book Antiqua" w:cs="Arial"/>
        </w:rPr>
      </w:pPr>
    </w:p>
    <w:p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rsidR="003405B7" w:rsidRPr="003405B7" w:rsidRDefault="003405B7" w:rsidP="003405B7">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83116" w:rsidRPr="00D83116">
        <w:t xml:space="preserve"> </w:t>
      </w:r>
      <w:r w:rsidR="00D83116" w:rsidRPr="00D83116">
        <w:rPr>
          <w:rFonts w:ascii="Book Antiqua" w:hAnsi="Book Antiqua" w:cs="Arial"/>
        </w:rPr>
        <w:t>19 September 2018</w:t>
      </w:r>
    </w:p>
    <w:p w:rsidR="001F2716" w:rsidRPr="00F5664C" w:rsidRDefault="001F2716" w:rsidP="000369F5">
      <w:pPr>
        <w:tabs>
          <w:tab w:val="left" w:pos="2520"/>
        </w:tabs>
        <w:jc w:val="both"/>
        <w:rPr>
          <w:rFonts w:ascii="Book Antiqua" w:hAnsi="Book Antiqua" w:cs="Arial"/>
        </w:rPr>
      </w:pPr>
    </w:p>
    <w:p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rsidR="003405B7" w:rsidRPr="00F5664C" w:rsidRDefault="003405B7" w:rsidP="000369F5">
      <w:pPr>
        <w:tabs>
          <w:tab w:val="left" w:pos="2520"/>
        </w:tabs>
        <w:jc w:val="both"/>
        <w:rPr>
          <w:rFonts w:ascii="Book Antiqua" w:hAnsi="Book Antiqua" w:cs="Arial"/>
        </w:rPr>
      </w:pPr>
    </w:p>
    <w:p w:rsidR="00C321B5" w:rsidRDefault="00C321B5" w:rsidP="000369F5">
      <w:pPr>
        <w:tabs>
          <w:tab w:val="left" w:pos="2520"/>
        </w:tabs>
        <w:jc w:val="both"/>
        <w:rPr>
          <w:rFonts w:ascii="Book Antiqua" w:hAnsi="Book Antiqua" w:cs="Arial"/>
        </w:rPr>
      </w:pPr>
    </w:p>
    <w:p w:rsidR="00707B1B" w:rsidRDefault="00707B1B" w:rsidP="000369F5">
      <w:pPr>
        <w:tabs>
          <w:tab w:val="left" w:pos="2520"/>
        </w:tabs>
        <w:jc w:val="both"/>
        <w:rPr>
          <w:rFonts w:ascii="Book Antiqua" w:hAnsi="Book Antiqua" w:cs="Arial"/>
        </w:rPr>
      </w:pPr>
    </w:p>
    <w:p w:rsidR="00707B1B" w:rsidRPr="00F5664C" w:rsidRDefault="00707B1B" w:rsidP="000369F5">
      <w:pPr>
        <w:tabs>
          <w:tab w:val="left" w:pos="2520"/>
        </w:tabs>
        <w:jc w:val="both"/>
        <w:rPr>
          <w:rFonts w:ascii="Book Antiqua" w:hAnsi="Book Antiqua" w:cs="Arial"/>
        </w:rPr>
      </w:pPr>
    </w:p>
    <w:p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rsidR="003405B7" w:rsidRPr="00385C3B" w:rsidRDefault="003405B7" w:rsidP="003405B7">
      <w:pPr>
        <w:ind w:left="567" w:hanging="567"/>
        <w:jc w:val="both"/>
        <w:rPr>
          <w:rFonts w:ascii="Book Antiqua" w:hAnsi="Book Antiqua" w:cs="Arial"/>
        </w:rPr>
      </w:pPr>
    </w:p>
    <w:p w:rsidR="003405B7" w:rsidRDefault="002934FA" w:rsidP="003405B7">
      <w:pPr>
        <w:jc w:val="both"/>
        <w:rPr>
          <w:rFonts w:ascii="Book Antiqua" w:hAnsi="Book Antiqua" w:cs="Arial"/>
        </w:rPr>
      </w:pPr>
      <w:r>
        <w:rPr>
          <w:rFonts w:ascii="Book Antiqua" w:hAnsi="Book Antiqua" w:cs="Arial"/>
        </w:rPr>
        <w:t xml:space="preserve">No application is made for a </w:t>
      </w:r>
      <w:r w:rsidR="003405B7" w:rsidRPr="003405B7">
        <w:rPr>
          <w:rFonts w:ascii="Book Antiqua" w:hAnsi="Book Antiqua" w:cs="Arial"/>
        </w:rPr>
        <w:t>fee award</w:t>
      </w:r>
      <w:r>
        <w:rPr>
          <w:rFonts w:ascii="Book Antiqua" w:hAnsi="Book Antiqua" w:cs="Arial"/>
        </w:rPr>
        <w:t xml:space="preserve"> and none is made</w:t>
      </w:r>
      <w:r w:rsidR="003405B7" w:rsidRPr="003405B7">
        <w:rPr>
          <w:rFonts w:ascii="Book Antiqua" w:hAnsi="Book Antiqua" w:cs="Arial"/>
        </w:rPr>
        <w:t>.</w:t>
      </w: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D83116" w:rsidRPr="00D83116">
        <w:t xml:space="preserve"> </w:t>
      </w:r>
      <w:r w:rsidR="00D83116" w:rsidRPr="00D83116">
        <w:rPr>
          <w:rFonts w:ascii="Book Antiqua" w:hAnsi="Book Antiqua" w:cs="Arial"/>
        </w:rPr>
        <w:t>19 September 2018</w:t>
      </w:r>
    </w:p>
    <w:p w:rsidR="003405B7" w:rsidRPr="00F5664C"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p w:rsidR="00D83116" w:rsidRDefault="00D83116" w:rsidP="000369F5">
      <w:pPr>
        <w:tabs>
          <w:tab w:val="left" w:pos="2520"/>
        </w:tabs>
        <w:jc w:val="both"/>
        <w:rPr>
          <w:rFonts w:ascii="Book Antiqua" w:hAnsi="Book Antiqua" w:cs="Arial"/>
        </w:rPr>
      </w:pPr>
    </w:p>
    <w:p w:rsidR="00D83116" w:rsidRPr="00D83116" w:rsidRDefault="00D83116" w:rsidP="00D83116">
      <w:pPr>
        <w:rPr>
          <w:rFonts w:ascii="Book Antiqua" w:hAnsi="Book Antiqua" w:cs="Arial"/>
        </w:rPr>
      </w:pPr>
    </w:p>
    <w:p w:rsidR="00D83116" w:rsidRPr="00D83116" w:rsidRDefault="00D83116" w:rsidP="00D83116">
      <w:pPr>
        <w:rPr>
          <w:rFonts w:ascii="Book Antiqua" w:hAnsi="Book Antiqua" w:cs="Arial"/>
        </w:rPr>
      </w:pPr>
    </w:p>
    <w:p w:rsidR="00D83116" w:rsidRPr="00D83116" w:rsidRDefault="00D83116" w:rsidP="00D83116">
      <w:pPr>
        <w:rPr>
          <w:rFonts w:ascii="Book Antiqua" w:hAnsi="Book Antiqua" w:cs="Arial"/>
        </w:rPr>
      </w:pPr>
    </w:p>
    <w:p w:rsidR="00D83116" w:rsidRPr="00D83116" w:rsidRDefault="00D83116" w:rsidP="00D83116">
      <w:pPr>
        <w:rPr>
          <w:rFonts w:ascii="Book Antiqua" w:hAnsi="Book Antiqua" w:cs="Arial"/>
        </w:rPr>
      </w:pPr>
    </w:p>
    <w:p w:rsidR="00D83116" w:rsidRPr="00D83116" w:rsidRDefault="00D83116" w:rsidP="00D83116">
      <w:pPr>
        <w:rPr>
          <w:rFonts w:ascii="Book Antiqua" w:hAnsi="Book Antiqua" w:cs="Arial"/>
        </w:rPr>
      </w:pPr>
    </w:p>
    <w:p w:rsidR="00D83116" w:rsidRPr="00D83116" w:rsidRDefault="00D83116" w:rsidP="00D83116">
      <w:pPr>
        <w:rPr>
          <w:rFonts w:ascii="Book Antiqua" w:hAnsi="Book Antiqua" w:cs="Arial"/>
        </w:rPr>
      </w:pPr>
    </w:p>
    <w:p w:rsidR="00D83116" w:rsidRPr="00D83116" w:rsidRDefault="00D83116" w:rsidP="00D83116">
      <w:pPr>
        <w:rPr>
          <w:rFonts w:ascii="Book Antiqua" w:hAnsi="Book Antiqua" w:cs="Arial"/>
        </w:rPr>
      </w:pPr>
    </w:p>
    <w:p w:rsidR="00D83116" w:rsidRPr="00D83116" w:rsidRDefault="00D83116" w:rsidP="00D83116">
      <w:pPr>
        <w:rPr>
          <w:rFonts w:ascii="Book Antiqua" w:hAnsi="Book Antiqua" w:cs="Arial"/>
        </w:rPr>
      </w:pPr>
    </w:p>
    <w:p w:rsidR="00D83116" w:rsidRPr="00D83116" w:rsidRDefault="00D83116" w:rsidP="00D83116">
      <w:pPr>
        <w:rPr>
          <w:rFonts w:ascii="Book Antiqua" w:hAnsi="Book Antiqua" w:cs="Arial"/>
        </w:rPr>
      </w:pPr>
    </w:p>
    <w:p w:rsidR="005B7789" w:rsidRPr="00F5664C" w:rsidRDefault="00D83116" w:rsidP="00D83116">
      <w:pPr>
        <w:tabs>
          <w:tab w:val="left" w:pos="770"/>
        </w:tabs>
        <w:rPr>
          <w:rFonts w:ascii="Book Antiqua" w:hAnsi="Book Antiqua" w:cs="Arial"/>
        </w:rPr>
      </w:pPr>
      <w:r>
        <w:rPr>
          <w:rFonts w:ascii="Book Antiqua" w:hAnsi="Book Antiqua" w:cs="Arial"/>
        </w:rPr>
        <w:tab/>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076" w:rsidRDefault="00457076">
      <w:r>
        <w:separator/>
      </w:r>
    </w:p>
  </w:endnote>
  <w:endnote w:type="continuationSeparator" w:id="0">
    <w:p w:rsidR="00457076" w:rsidRDefault="0045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46B69">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076" w:rsidRDefault="00457076">
      <w:r>
        <w:separator/>
      </w:r>
    </w:p>
  </w:footnote>
  <w:footnote w:type="continuationSeparator" w:id="0">
    <w:p w:rsidR="00457076" w:rsidRDefault="0045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532"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AC3532">
      <w:rPr>
        <w:rFonts w:ascii="Book Antiqua" w:hAnsi="Book Antiqua" w:cs="Arial"/>
        <w:sz w:val="16"/>
        <w:szCs w:val="16"/>
      </w:rPr>
      <w:t>s</w:t>
    </w:r>
    <w:r w:rsidRPr="00F5664C">
      <w:rPr>
        <w:rFonts w:ascii="Book Antiqua" w:hAnsi="Book Antiqua" w:cs="Arial"/>
        <w:sz w:val="16"/>
        <w:szCs w:val="16"/>
      </w:rPr>
      <w:t>:</w:t>
    </w:r>
    <w:r w:rsidR="00AC3532">
      <w:rPr>
        <w:rFonts w:ascii="Book Antiqua" w:hAnsi="Book Antiqua" w:cs="Arial"/>
        <w:sz w:val="16"/>
        <w:szCs w:val="16"/>
      </w:rPr>
      <w:t xml:space="preserve"> HU/25950/2016</w:t>
    </w:r>
  </w:p>
  <w:p w:rsidR="00CF253F" w:rsidRPr="00F5664C" w:rsidRDefault="00AC3532"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HU/26536/2016</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76"/>
    <w:rsid w:val="00000621"/>
    <w:rsid w:val="000036C2"/>
    <w:rsid w:val="00021665"/>
    <w:rsid w:val="00033D3D"/>
    <w:rsid w:val="000369F5"/>
    <w:rsid w:val="0003746D"/>
    <w:rsid w:val="00055A87"/>
    <w:rsid w:val="00071A7E"/>
    <w:rsid w:val="000746C0"/>
    <w:rsid w:val="00074D1D"/>
    <w:rsid w:val="00092580"/>
    <w:rsid w:val="000947B0"/>
    <w:rsid w:val="000D01C9"/>
    <w:rsid w:val="000D5D94"/>
    <w:rsid w:val="000E0CD7"/>
    <w:rsid w:val="00114F8B"/>
    <w:rsid w:val="001165A7"/>
    <w:rsid w:val="00151BB7"/>
    <w:rsid w:val="00167D3A"/>
    <w:rsid w:val="001A1E2C"/>
    <w:rsid w:val="001C22E1"/>
    <w:rsid w:val="001E2C99"/>
    <w:rsid w:val="001F2716"/>
    <w:rsid w:val="0020133A"/>
    <w:rsid w:val="00207617"/>
    <w:rsid w:val="00255071"/>
    <w:rsid w:val="00283659"/>
    <w:rsid w:val="002934FA"/>
    <w:rsid w:val="002C4E73"/>
    <w:rsid w:val="002D68BF"/>
    <w:rsid w:val="00336CBF"/>
    <w:rsid w:val="003405B7"/>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57076"/>
    <w:rsid w:val="00477193"/>
    <w:rsid w:val="004A1848"/>
    <w:rsid w:val="00507FEC"/>
    <w:rsid w:val="00510F0E"/>
    <w:rsid w:val="0051189A"/>
    <w:rsid w:val="005479E1"/>
    <w:rsid w:val="005570FD"/>
    <w:rsid w:val="005575EA"/>
    <w:rsid w:val="0057790C"/>
    <w:rsid w:val="005873ED"/>
    <w:rsid w:val="00593795"/>
    <w:rsid w:val="005A75FF"/>
    <w:rsid w:val="005B7789"/>
    <w:rsid w:val="005C1A42"/>
    <w:rsid w:val="005D63E8"/>
    <w:rsid w:val="005E49A7"/>
    <w:rsid w:val="0063361C"/>
    <w:rsid w:val="0065791C"/>
    <w:rsid w:val="00690B8A"/>
    <w:rsid w:val="00691592"/>
    <w:rsid w:val="0069218B"/>
    <w:rsid w:val="006C1571"/>
    <w:rsid w:val="006D1DFA"/>
    <w:rsid w:val="006D506B"/>
    <w:rsid w:val="006E3C90"/>
    <w:rsid w:val="00704B61"/>
    <w:rsid w:val="00707B1B"/>
    <w:rsid w:val="00707DB1"/>
    <w:rsid w:val="00730F4F"/>
    <w:rsid w:val="007353BB"/>
    <w:rsid w:val="00742A8D"/>
    <w:rsid w:val="00752359"/>
    <w:rsid w:val="007552A9"/>
    <w:rsid w:val="00761858"/>
    <w:rsid w:val="00762329"/>
    <w:rsid w:val="00767D59"/>
    <w:rsid w:val="00776E97"/>
    <w:rsid w:val="00780FD7"/>
    <w:rsid w:val="007912AD"/>
    <w:rsid w:val="007A1F28"/>
    <w:rsid w:val="007B0824"/>
    <w:rsid w:val="007C0CD9"/>
    <w:rsid w:val="007F1F45"/>
    <w:rsid w:val="007F61AD"/>
    <w:rsid w:val="008303B8"/>
    <w:rsid w:val="00833DCE"/>
    <w:rsid w:val="00842418"/>
    <w:rsid w:val="008579D7"/>
    <w:rsid w:val="008634DB"/>
    <w:rsid w:val="00871D34"/>
    <w:rsid w:val="00880AD6"/>
    <w:rsid w:val="00885485"/>
    <w:rsid w:val="008B270C"/>
    <w:rsid w:val="008B3A83"/>
    <w:rsid w:val="008C3D3D"/>
    <w:rsid w:val="008D4131"/>
    <w:rsid w:val="008F1932"/>
    <w:rsid w:val="008F294D"/>
    <w:rsid w:val="00921062"/>
    <w:rsid w:val="0092618D"/>
    <w:rsid w:val="009306CD"/>
    <w:rsid w:val="0093083E"/>
    <w:rsid w:val="00956C24"/>
    <w:rsid w:val="00960C72"/>
    <w:rsid w:val="00966ECF"/>
    <w:rsid w:val="009727A3"/>
    <w:rsid w:val="00987774"/>
    <w:rsid w:val="009A11E8"/>
    <w:rsid w:val="009E4E62"/>
    <w:rsid w:val="009F5220"/>
    <w:rsid w:val="009F7C4D"/>
    <w:rsid w:val="00A15234"/>
    <w:rsid w:val="00A15C78"/>
    <w:rsid w:val="00A201AB"/>
    <w:rsid w:val="00A31C8B"/>
    <w:rsid w:val="00A40664"/>
    <w:rsid w:val="00A548E2"/>
    <w:rsid w:val="00A65866"/>
    <w:rsid w:val="00A75965"/>
    <w:rsid w:val="00A845DC"/>
    <w:rsid w:val="00A97AEE"/>
    <w:rsid w:val="00AA61C5"/>
    <w:rsid w:val="00AC3532"/>
    <w:rsid w:val="00AC5CF6"/>
    <w:rsid w:val="00AF533C"/>
    <w:rsid w:val="00B07A53"/>
    <w:rsid w:val="00B144FA"/>
    <w:rsid w:val="00B16F58"/>
    <w:rsid w:val="00B24F3B"/>
    <w:rsid w:val="00B30648"/>
    <w:rsid w:val="00B337AA"/>
    <w:rsid w:val="00B339EC"/>
    <w:rsid w:val="00B3524D"/>
    <w:rsid w:val="00B40F69"/>
    <w:rsid w:val="00B4659E"/>
    <w:rsid w:val="00B46616"/>
    <w:rsid w:val="00B610E3"/>
    <w:rsid w:val="00B61205"/>
    <w:rsid w:val="00B617C4"/>
    <w:rsid w:val="00B626FA"/>
    <w:rsid w:val="00B7040A"/>
    <w:rsid w:val="00B81BDF"/>
    <w:rsid w:val="00B96FA0"/>
    <w:rsid w:val="00BC6C97"/>
    <w:rsid w:val="00BD195C"/>
    <w:rsid w:val="00BD4196"/>
    <w:rsid w:val="00BE31CE"/>
    <w:rsid w:val="00BF22CA"/>
    <w:rsid w:val="00C26032"/>
    <w:rsid w:val="00C265B0"/>
    <w:rsid w:val="00C321B5"/>
    <w:rsid w:val="00C345E1"/>
    <w:rsid w:val="00C414A4"/>
    <w:rsid w:val="00C97109"/>
    <w:rsid w:val="00C977BA"/>
    <w:rsid w:val="00CB5091"/>
    <w:rsid w:val="00CB6E35"/>
    <w:rsid w:val="00CE1A46"/>
    <w:rsid w:val="00CE26B2"/>
    <w:rsid w:val="00CF253F"/>
    <w:rsid w:val="00CF56B4"/>
    <w:rsid w:val="00D20F09"/>
    <w:rsid w:val="00D22636"/>
    <w:rsid w:val="00D40FD9"/>
    <w:rsid w:val="00D45764"/>
    <w:rsid w:val="00D53769"/>
    <w:rsid w:val="00D65912"/>
    <w:rsid w:val="00D83116"/>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65B82"/>
    <w:rsid w:val="00E76309"/>
    <w:rsid w:val="00E77C4D"/>
    <w:rsid w:val="00E81D01"/>
    <w:rsid w:val="00EC524B"/>
    <w:rsid w:val="00ED10E3"/>
    <w:rsid w:val="00EE45D8"/>
    <w:rsid w:val="00F004CD"/>
    <w:rsid w:val="00F1004A"/>
    <w:rsid w:val="00F14A72"/>
    <w:rsid w:val="00F22A22"/>
    <w:rsid w:val="00F22EDA"/>
    <w:rsid w:val="00F3224D"/>
    <w:rsid w:val="00F33E0E"/>
    <w:rsid w:val="00F46B69"/>
    <w:rsid w:val="00F5664C"/>
    <w:rsid w:val="00F831F6"/>
    <w:rsid w:val="00F95317"/>
    <w:rsid w:val="00FB5F6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1886</Words>
  <Characters>9295</Characters>
  <Application>Microsoft Office Word</Application>
  <DocSecurity>0</DocSecurity>
  <Lines>77</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2018-10-08T15:26:00Z</dcterms:created>
  <dcterms:modified xsi:type="dcterms:W3CDTF">2018-10-08T15:27:00Z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