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2635DA"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7" o:title=""/>
          </v:shape>
        </w:pict>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2635DA"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635DA">
        <w:rPr>
          <w:rFonts w:ascii="Book Antiqua" w:hAnsi="Book Antiqua" w:cs="Arial"/>
          <w:b/>
        </w:rPr>
        <w:t xml:space="preserve">   </w:t>
      </w:r>
      <w:proofErr w:type="gramEnd"/>
      <w:r w:rsidR="002635DA">
        <w:rPr>
          <w:rFonts w:ascii="Book Antiqua" w:hAnsi="Book Antiqua" w:cs="Arial"/>
          <w:b/>
        </w:rPr>
        <w:t xml:space="preserve">                     </w:t>
      </w:r>
      <w:r w:rsidR="00B3524D" w:rsidRPr="002635DA">
        <w:rPr>
          <w:rFonts w:ascii="Book Antiqua" w:hAnsi="Book Antiqua" w:cs="Arial"/>
          <w:b/>
        </w:rPr>
        <w:t>Appeal Number</w:t>
      </w:r>
      <w:r w:rsidR="00D53769" w:rsidRPr="002635DA">
        <w:rPr>
          <w:rFonts w:ascii="Book Antiqua" w:hAnsi="Book Antiqua" w:cs="Arial"/>
          <w:b/>
        </w:rPr>
        <w:t>:</w:t>
      </w:r>
      <w:r w:rsidR="00B3524D" w:rsidRPr="002635DA">
        <w:rPr>
          <w:rFonts w:ascii="Book Antiqua" w:hAnsi="Book Antiqua" w:cs="Arial"/>
          <w:b/>
        </w:rPr>
        <w:t xml:space="preserve"> </w:t>
      </w:r>
      <w:r w:rsidR="000D0240" w:rsidRPr="002635DA">
        <w:rPr>
          <w:rFonts w:ascii="Book Antiqua" w:hAnsi="Book Antiqua" w:cs="Arial"/>
          <w:b/>
          <w:caps/>
        </w:rPr>
        <w:t>HU/26525/2016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47389A" w:rsidTr="002635DA">
        <w:tc>
          <w:tcPr>
            <w:tcW w:w="5353" w:type="dxa"/>
            <w:shd w:val="clear" w:color="auto" w:fill="auto"/>
          </w:tcPr>
          <w:p w:rsidR="00D22636" w:rsidRPr="0047389A" w:rsidRDefault="00D22636" w:rsidP="0047389A">
            <w:pPr>
              <w:jc w:val="both"/>
              <w:rPr>
                <w:rFonts w:ascii="Book Antiqua" w:hAnsi="Book Antiqua" w:cs="Arial"/>
                <w:b/>
              </w:rPr>
            </w:pPr>
            <w:r w:rsidRPr="0047389A">
              <w:rPr>
                <w:rFonts w:ascii="Book Antiqua" w:hAnsi="Book Antiqua" w:cs="Arial"/>
                <w:b/>
              </w:rPr>
              <w:t xml:space="preserve">Heard at </w:t>
            </w:r>
            <w:r w:rsidR="000D0240" w:rsidRPr="0047389A">
              <w:rPr>
                <w:rFonts w:ascii="Book Antiqua" w:hAnsi="Book Antiqua" w:cs="Arial"/>
                <w:b/>
              </w:rPr>
              <w:t>Field House</w:t>
            </w:r>
          </w:p>
        </w:tc>
        <w:tc>
          <w:tcPr>
            <w:tcW w:w="4655" w:type="dxa"/>
            <w:gridSpan w:val="2"/>
            <w:shd w:val="clear" w:color="auto" w:fill="auto"/>
          </w:tcPr>
          <w:p w:rsidR="00D22636" w:rsidRPr="0047389A" w:rsidRDefault="002635DA" w:rsidP="0047389A">
            <w:pPr>
              <w:jc w:val="both"/>
              <w:rPr>
                <w:rFonts w:ascii="Book Antiqua" w:hAnsi="Book Antiqua" w:cs="Arial"/>
                <w:b/>
              </w:rPr>
            </w:pPr>
            <w:r>
              <w:rPr>
                <w:rFonts w:ascii="Book Antiqua" w:hAnsi="Book Antiqua" w:cs="Arial"/>
                <w:b/>
              </w:rPr>
              <w:t xml:space="preserve"> </w:t>
            </w:r>
            <w:r w:rsidR="008508AD" w:rsidRPr="0047389A">
              <w:rPr>
                <w:rFonts w:ascii="Book Antiqua" w:hAnsi="Book Antiqua" w:cs="Arial"/>
                <w:b/>
              </w:rPr>
              <w:t>Decision &amp; Reasons</w:t>
            </w:r>
            <w:r w:rsidR="00283659" w:rsidRPr="0047389A">
              <w:rPr>
                <w:rFonts w:ascii="Book Antiqua" w:hAnsi="Book Antiqua" w:cs="Arial"/>
                <w:b/>
              </w:rPr>
              <w:t xml:space="preserve"> Promulgated</w:t>
            </w:r>
          </w:p>
        </w:tc>
      </w:tr>
      <w:tr w:rsidR="00D22636" w:rsidRPr="0047389A" w:rsidTr="002635DA">
        <w:tc>
          <w:tcPr>
            <w:tcW w:w="5353" w:type="dxa"/>
            <w:shd w:val="clear" w:color="auto" w:fill="auto"/>
          </w:tcPr>
          <w:p w:rsidR="00D22636" w:rsidRPr="0047389A" w:rsidRDefault="00D22636" w:rsidP="0047389A">
            <w:pPr>
              <w:jc w:val="both"/>
              <w:rPr>
                <w:rFonts w:ascii="Book Antiqua" w:hAnsi="Book Antiqua" w:cs="Arial"/>
                <w:b/>
              </w:rPr>
            </w:pPr>
            <w:r w:rsidRPr="0047389A">
              <w:rPr>
                <w:rFonts w:ascii="Book Antiqua" w:hAnsi="Book Antiqua" w:cs="Arial"/>
                <w:b/>
              </w:rPr>
              <w:t xml:space="preserve">On </w:t>
            </w:r>
            <w:r w:rsidR="00FD0C13" w:rsidRPr="0047389A">
              <w:rPr>
                <w:rFonts w:ascii="Book Antiqua" w:hAnsi="Book Antiqua" w:cs="Arial"/>
                <w:b/>
              </w:rPr>
              <w:t xml:space="preserve">5 </w:t>
            </w:r>
            <w:r w:rsidR="000D0240" w:rsidRPr="0047389A">
              <w:rPr>
                <w:rFonts w:ascii="Book Antiqua" w:hAnsi="Book Antiqua" w:cs="Arial"/>
                <w:b/>
              </w:rPr>
              <w:t>February 2018</w:t>
            </w:r>
          </w:p>
        </w:tc>
        <w:tc>
          <w:tcPr>
            <w:tcW w:w="4655" w:type="dxa"/>
            <w:gridSpan w:val="2"/>
            <w:shd w:val="clear" w:color="auto" w:fill="auto"/>
          </w:tcPr>
          <w:p w:rsidR="00D22636" w:rsidRPr="0047389A" w:rsidRDefault="002635DA" w:rsidP="0047389A">
            <w:pPr>
              <w:jc w:val="both"/>
              <w:rPr>
                <w:rFonts w:ascii="Book Antiqua" w:hAnsi="Book Antiqua" w:cs="Arial"/>
                <w:b/>
              </w:rPr>
            </w:pPr>
            <w:r>
              <w:rPr>
                <w:rFonts w:ascii="Book Antiqua" w:hAnsi="Book Antiqua" w:cs="Arial"/>
                <w:b/>
              </w:rPr>
              <w:t xml:space="preserve"> </w:t>
            </w:r>
            <w:r w:rsidR="002F1072">
              <w:rPr>
                <w:rFonts w:ascii="Book Antiqua" w:hAnsi="Book Antiqua" w:cs="Arial"/>
                <w:b/>
              </w:rPr>
              <w:t xml:space="preserve">On 8 June 2018 </w:t>
            </w:r>
          </w:p>
        </w:tc>
      </w:tr>
      <w:tr w:rsidR="00D22636" w:rsidRPr="0047389A" w:rsidTr="0047389A">
        <w:tc>
          <w:tcPr>
            <w:tcW w:w="6048" w:type="dxa"/>
            <w:gridSpan w:val="2"/>
            <w:shd w:val="clear" w:color="auto" w:fill="auto"/>
          </w:tcPr>
          <w:p w:rsidR="00D22636" w:rsidRPr="0047389A" w:rsidRDefault="00D22636" w:rsidP="0047389A">
            <w:pPr>
              <w:jc w:val="both"/>
              <w:rPr>
                <w:rFonts w:ascii="Book Antiqua" w:hAnsi="Book Antiqua" w:cs="Arial"/>
                <w:b/>
              </w:rPr>
            </w:pPr>
          </w:p>
        </w:tc>
        <w:tc>
          <w:tcPr>
            <w:tcW w:w="3960" w:type="dxa"/>
            <w:shd w:val="clear" w:color="auto" w:fill="auto"/>
          </w:tcPr>
          <w:p w:rsidR="00D22636" w:rsidRPr="0047389A" w:rsidRDefault="00D22636" w:rsidP="0047389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0D0240" w:rsidRDefault="000D0240" w:rsidP="00742A8D">
      <w:pPr>
        <w:jc w:val="center"/>
        <w:rPr>
          <w:rFonts w:ascii="Book Antiqua" w:hAnsi="Book Antiqua" w:cs="Arial"/>
          <w:b/>
          <w:caps/>
        </w:rPr>
      </w:pPr>
      <w:r>
        <w:rPr>
          <w:rFonts w:ascii="Book Antiqua" w:hAnsi="Book Antiqua" w:cs="Arial"/>
          <w:b/>
          <w:caps/>
        </w:rPr>
        <w:t>ENTRY CLEARANCE OFFICER</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0D0240" w:rsidRDefault="000D0240" w:rsidP="000D0240">
      <w:pPr>
        <w:jc w:val="center"/>
        <w:rPr>
          <w:rFonts w:ascii="Book Antiqua" w:hAnsi="Book Antiqua" w:cs="Arial"/>
          <w:b/>
          <w:caps/>
        </w:rPr>
      </w:pPr>
      <w:r>
        <w:rPr>
          <w:rFonts w:ascii="Book Antiqua" w:hAnsi="Book Antiqua" w:cs="Arial"/>
          <w:b/>
          <w:caps/>
        </w:rPr>
        <w:t>faryal farhan</w:t>
      </w:r>
    </w:p>
    <w:p w:rsidR="000D0240" w:rsidRPr="002635DA" w:rsidRDefault="000D0240" w:rsidP="000D0240">
      <w:pPr>
        <w:jc w:val="center"/>
        <w:rPr>
          <w:rFonts w:ascii="Book Antiqua" w:hAnsi="Book Antiqua" w:cs="Arial"/>
          <w:caps/>
        </w:rPr>
      </w:pPr>
      <w:r w:rsidRPr="002635DA">
        <w:rPr>
          <w:rFonts w:ascii="Book Antiqua" w:hAnsi="Book Antiqua" w:cs="Arial"/>
          <w:caps/>
        </w:rPr>
        <w:t>(ANONYMITY DIRECTION not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0D0240">
        <w:rPr>
          <w:rFonts w:ascii="Book Antiqua" w:hAnsi="Book Antiqua" w:cs="Arial"/>
        </w:rPr>
        <w:t xml:space="preserve">Mr </w:t>
      </w:r>
      <w:proofErr w:type="spellStart"/>
      <w:r w:rsidR="000D0240">
        <w:rPr>
          <w:rFonts w:ascii="Book Antiqua" w:hAnsi="Book Antiqua" w:cs="Arial"/>
        </w:rPr>
        <w:t>Tufan</w:t>
      </w:r>
      <w:proofErr w:type="spellEnd"/>
      <w:r w:rsidR="000D0240">
        <w:rPr>
          <w:rFonts w:ascii="Book Antiqua" w:hAnsi="Book Antiqua" w:cs="Arial"/>
        </w:rPr>
        <w:t xml:space="preserve">, Senior </w:t>
      </w:r>
      <w:r w:rsidR="000D0240" w:rsidRPr="000D0240">
        <w:rPr>
          <w:rFonts w:ascii="Book Antiqua" w:hAnsi="Book Antiqua" w:cs="Arial"/>
        </w:rPr>
        <w:t>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0D0240">
        <w:rPr>
          <w:rFonts w:ascii="Book Antiqua" w:hAnsi="Book Antiqua" w:cs="Arial"/>
        </w:rPr>
        <w:t xml:space="preserve">Mr </w:t>
      </w:r>
      <w:proofErr w:type="spellStart"/>
      <w:r w:rsidR="000D0240">
        <w:rPr>
          <w:rFonts w:ascii="Book Antiqua" w:hAnsi="Book Antiqua" w:cs="Arial"/>
        </w:rPr>
        <w:t>Kannangara</w:t>
      </w:r>
      <w:proofErr w:type="spellEnd"/>
      <w:r w:rsidR="000D0240">
        <w:rPr>
          <w:rFonts w:ascii="Book Antiqua" w:hAnsi="Book Antiqua" w:cs="Arial"/>
        </w:rPr>
        <w:t>, instructed by Malik Law Chambers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0D0240" w:rsidP="000F76DE">
      <w:pPr>
        <w:numPr>
          <w:ilvl w:val="0"/>
          <w:numId w:val="3"/>
        </w:numPr>
        <w:spacing w:before="240"/>
        <w:jc w:val="both"/>
        <w:rPr>
          <w:rFonts w:ascii="Book Antiqua" w:hAnsi="Book Antiqua" w:cs="Arial"/>
        </w:rPr>
      </w:pPr>
      <w:r>
        <w:rPr>
          <w:rFonts w:ascii="Book Antiqua" w:hAnsi="Book Antiqua" w:cs="Arial"/>
        </w:rPr>
        <w:t xml:space="preserve">The appellant, </w:t>
      </w:r>
      <w:proofErr w:type="spellStart"/>
      <w:r>
        <w:rPr>
          <w:rFonts w:ascii="Book Antiqua" w:hAnsi="Book Antiqua" w:cs="Arial"/>
        </w:rPr>
        <w:t>Faryal</w:t>
      </w:r>
      <w:proofErr w:type="spellEnd"/>
      <w:r>
        <w:rPr>
          <w:rFonts w:ascii="Book Antiqua" w:hAnsi="Book Antiqua" w:cs="Arial"/>
        </w:rPr>
        <w:t xml:space="preserve"> Farhan, was born on 13 November 1985 and is a female citizen of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She appealed to the First-tier Tribunal (Judge Colvin) against a decision of the respondent dated 16 November 2016 to refuse entry clearance as a partner under Appendix FM of HC 395 (as amended).  The First-tier Tribunal, in a decision promulgated on 19 October 2017, allowed the appeal on Article 8 ECHR grounds.  The Secretary of State now appeal</w:t>
      </w:r>
      <w:r w:rsidR="00CE0666">
        <w:rPr>
          <w:rFonts w:ascii="Book Antiqua" w:hAnsi="Book Antiqua" w:cs="Arial"/>
        </w:rPr>
        <w:t>s</w:t>
      </w:r>
      <w:r>
        <w:rPr>
          <w:rFonts w:ascii="Book Antiqua" w:hAnsi="Book Antiqua" w:cs="Arial"/>
        </w:rPr>
        <w:t>, with permission, to the Upper Tribunal.</w:t>
      </w:r>
      <w:r w:rsidR="00CE0666">
        <w:rPr>
          <w:rFonts w:ascii="Book Antiqua" w:hAnsi="Book Antiqua" w:cs="Arial"/>
        </w:rPr>
        <w:t xml:space="preserve"> </w:t>
      </w:r>
    </w:p>
    <w:p w:rsidR="000D0240" w:rsidRDefault="000D0240" w:rsidP="000F76DE">
      <w:pPr>
        <w:numPr>
          <w:ilvl w:val="0"/>
          <w:numId w:val="3"/>
        </w:numPr>
        <w:spacing w:before="240"/>
        <w:jc w:val="both"/>
        <w:rPr>
          <w:rFonts w:ascii="Book Antiqua" w:hAnsi="Book Antiqua" w:cs="Arial"/>
        </w:rPr>
      </w:pPr>
      <w:r>
        <w:rPr>
          <w:rFonts w:ascii="Book Antiqua" w:hAnsi="Book Antiqua" w:cs="Arial"/>
        </w:rPr>
        <w:t xml:space="preserve">The sponsor and partner of the appellant is Farhan </w:t>
      </w:r>
      <w:proofErr w:type="spellStart"/>
      <w:r>
        <w:rPr>
          <w:rFonts w:ascii="Book Antiqua" w:hAnsi="Book Antiqua" w:cs="Arial"/>
        </w:rPr>
        <w:t>Yunus</w:t>
      </w:r>
      <w:proofErr w:type="spellEnd"/>
      <w:r>
        <w:rPr>
          <w:rFonts w:ascii="Book Antiqua" w:hAnsi="Book Antiqua" w:cs="Arial"/>
        </w:rPr>
        <w:t xml:space="preserve"> Sadiq (hereafter the sponsor) the sponsor is a British citizen who was born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He married the </w:t>
      </w:r>
      <w:r>
        <w:rPr>
          <w:rFonts w:ascii="Book Antiqua" w:hAnsi="Book Antiqua" w:cs="Arial"/>
        </w:rPr>
        <w:lastRenderedPageBreak/>
        <w:t xml:space="preserve">appellant in April 2012.  The sponsor works as a hairdresser.  Following a careful analysis of the documentary evidence, the judge concluded that the ECO had been right to refuse the appellant’s application under the Immigration Rules on the basis that the sponsor does not have an annual gross income in excess of £18,600.  At the present time, the appellant is living in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with the child of the marriage, who was born in October 2013 and who is a British citizen.  The judge noted [4] it is not disputed that the appellant and sponsor have a genuine and subsisting relationship.</w:t>
      </w:r>
    </w:p>
    <w:p w:rsidR="000D0240" w:rsidRDefault="000D0240" w:rsidP="000F76DE">
      <w:pPr>
        <w:numPr>
          <w:ilvl w:val="0"/>
          <w:numId w:val="3"/>
        </w:numPr>
        <w:spacing w:before="240"/>
        <w:jc w:val="both"/>
        <w:rPr>
          <w:rFonts w:ascii="Book Antiqua" w:hAnsi="Book Antiqua" w:cs="Arial"/>
        </w:rPr>
      </w:pPr>
      <w:r>
        <w:rPr>
          <w:rFonts w:ascii="Book Antiqua" w:hAnsi="Book Antiqua" w:cs="Arial"/>
        </w:rPr>
        <w:t xml:space="preserve">Having found that the appellant could not qualify for entry clearance under the Immigration Rules, the judge went on to consider Article 8 ECHR [26-28].  The judge noted that, although the sponsor could not meet the requirements of Appendix FM at the time of the application, it was now “highly unlikely” that the family if living together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will need to have recourse to public funds.  The judge concluded her analysis as follows:</w:t>
      </w:r>
    </w:p>
    <w:p w:rsidR="00CE0666" w:rsidRDefault="000D0240" w:rsidP="00CE0666">
      <w:pPr>
        <w:spacing w:before="240"/>
        <w:ind w:left="1134"/>
        <w:jc w:val="both"/>
        <w:rPr>
          <w:rFonts w:ascii="Book Antiqua" w:hAnsi="Book Antiqua" w:cs="Arial"/>
          <w:sz w:val="22"/>
          <w:szCs w:val="22"/>
        </w:rPr>
      </w:pPr>
      <w:r w:rsidRPr="00CE0666">
        <w:rPr>
          <w:rFonts w:ascii="Book Antiqua" w:hAnsi="Book Antiqua" w:cs="Arial"/>
          <w:sz w:val="22"/>
          <w:szCs w:val="22"/>
        </w:rPr>
        <w:t xml:space="preserve">At the same time there was a British citizen child of the family living in </w:t>
      </w:r>
      <w:smartTag w:uri="urn:schemas-microsoft-com:office:smarttags" w:element="country-region">
        <w:smartTag w:uri="urn:schemas-microsoft-com:office:smarttags" w:element="place">
          <w:r w:rsidRPr="00CE0666">
            <w:rPr>
              <w:rFonts w:ascii="Book Antiqua" w:hAnsi="Book Antiqua" w:cs="Arial"/>
              <w:sz w:val="22"/>
              <w:szCs w:val="22"/>
            </w:rPr>
            <w:t>Pakistan</w:t>
          </w:r>
        </w:smartTag>
      </w:smartTag>
      <w:r w:rsidRPr="00CE0666">
        <w:rPr>
          <w:rFonts w:ascii="Book Antiqua" w:hAnsi="Book Antiqua" w:cs="Arial"/>
          <w:sz w:val="22"/>
          <w:szCs w:val="22"/>
        </w:rPr>
        <w:t xml:space="preserve"> who remains separated from her father whilst this settlement application is processed.  Although the sponsor </w:t>
      </w:r>
      <w:r w:rsidR="00F96CF0" w:rsidRPr="00CE0666">
        <w:rPr>
          <w:rFonts w:ascii="Book Antiqua" w:hAnsi="Book Antiqua" w:cs="Arial"/>
          <w:sz w:val="22"/>
          <w:szCs w:val="22"/>
        </w:rPr>
        <w:t>visits Pakistan and sends money for the maintenance of the family, it is in the best interests of the child that she lives with both her parents and, as she is now coming up to primary school age, that she has the opportunity of starting her education in the UK.</w:t>
      </w:r>
    </w:p>
    <w:p w:rsidR="00F96CF0" w:rsidRPr="00CE0666" w:rsidRDefault="00F96CF0" w:rsidP="00CE0666">
      <w:pPr>
        <w:spacing w:before="240"/>
        <w:ind w:left="1134"/>
        <w:jc w:val="both"/>
        <w:rPr>
          <w:rFonts w:ascii="Book Antiqua" w:hAnsi="Book Antiqua" w:cs="Arial"/>
          <w:sz w:val="22"/>
          <w:szCs w:val="22"/>
        </w:rPr>
      </w:pPr>
      <w:r w:rsidRPr="00CE0666">
        <w:rPr>
          <w:rFonts w:ascii="Book Antiqua" w:hAnsi="Book Antiqua" w:cs="Arial"/>
          <w:sz w:val="22"/>
          <w:szCs w:val="22"/>
        </w:rPr>
        <w:t>On the evidence before me I am satisfied there are sufficient exceptional circumstances to reach the view on a balance of probabilities that the respondent’s refusal decision is disproportionate when taking into account of the public interest considerations (</w:t>
      </w:r>
      <w:r w:rsidRPr="00FD0C13">
        <w:rPr>
          <w:rFonts w:ascii="Book Antiqua" w:hAnsi="Book Antiqua" w:cs="Arial"/>
          <w:i/>
          <w:sz w:val="22"/>
          <w:szCs w:val="22"/>
        </w:rPr>
        <w:t>sic</w:t>
      </w:r>
      <w:r w:rsidRPr="00CE0666">
        <w:rPr>
          <w:rFonts w:ascii="Book Antiqua" w:hAnsi="Book Antiqua" w:cs="Arial"/>
          <w:sz w:val="22"/>
          <w:szCs w:val="22"/>
        </w:rPr>
        <w:t>).  Accordingly, I allow the appeal.</w:t>
      </w:r>
    </w:p>
    <w:p w:rsidR="00F96CF0" w:rsidRDefault="00F96CF0" w:rsidP="000F76DE">
      <w:pPr>
        <w:numPr>
          <w:ilvl w:val="0"/>
          <w:numId w:val="3"/>
        </w:numPr>
        <w:spacing w:before="240"/>
        <w:jc w:val="both"/>
        <w:rPr>
          <w:rFonts w:ascii="Book Antiqua" w:hAnsi="Book Antiqua" w:cs="Arial"/>
        </w:rPr>
      </w:pPr>
      <w:r>
        <w:rPr>
          <w:rFonts w:ascii="Book Antiqua" w:hAnsi="Book Antiqua" w:cs="Arial"/>
        </w:rPr>
        <w:t xml:space="preserve">The discussion and analysis of “exceptional circumstances” is, by any standards, brief.  </w:t>
      </w:r>
      <w:r w:rsidR="00FD0C13">
        <w:rPr>
          <w:rFonts w:ascii="Book Antiqua" w:hAnsi="Book Antiqua" w:cs="Arial"/>
        </w:rPr>
        <w:t xml:space="preserve">The judge considered </w:t>
      </w:r>
      <w:r>
        <w:rPr>
          <w:rFonts w:ascii="Book Antiqua" w:hAnsi="Book Antiqua" w:cs="Arial"/>
        </w:rPr>
        <w:t xml:space="preserve">that the family would not need to have recourse to public funds (notwithstanding the appellant’s inability to satisfy the requirements of Appendix FM) and that, whilst the appellant waits for a further application to be made, she has been deprived of the opportunity of living with both her parents and starting school in the </w:t>
      </w:r>
      <w:r w:rsidRPr="00F96CF0">
        <w:rPr>
          <w:rFonts w:ascii="Book Antiqua" w:hAnsi="Book Antiqua" w:cs="Arial"/>
        </w:rPr>
        <w:t>United Kingdom</w:t>
      </w:r>
      <w:r>
        <w:rPr>
          <w:rFonts w:ascii="Book Antiqua" w:hAnsi="Book Antiqua" w:cs="Arial"/>
        </w:rPr>
        <w:t>.  With respect to the judge, the very same c</w:t>
      </w:r>
      <w:r w:rsidR="00A51899">
        <w:rPr>
          <w:rFonts w:ascii="Book Antiqua" w:hAnsi="Book Antiqua" w:cs="Arial"/>
        </w:rPr>
        <w:t>ould</w:t>
      </w:r>
      <w:r>
        <w:rPr>
          <w:rFonts w:ascii="Book Antiqua" w:hAnsi="Book Antiqua" w:cs="Arial"/>
        </w:rPr>
        <w:t xml:space="preserve"> be said of any child </w:t>
      </w:r>
      <w:r w:rsidR="00FD0C13">
        <w:rPr>
          <w:rFonts w:ascii="Book Antiqua" w:hAnsi="Book Antiqua" w:cs="Arial"/>
        </w:rPr>
        <w:t xml:space="preserve">living </w:t>
      </w:r>
      <w:r>
        <w:rPr>
          <w:rFonts w:ascii="Book Antiqua" w:hAnsi="Book Antiqua" w:cs="Arial"/>
        </w:rPr>
        <w:t xml:space="preserve">abroad </w:t>
      </w:r>
      <w:r w:rsidR="00FD0C13">
        <w:rPr>
          <w:rFonts w:ascii="Book Antiqua" w:hAnsi="Book Antiqua" w:cs="Arial"/>
        </w:rPr>
        <w:t xml:space="preserve">and separated </w:t>
      </w:r>
      <w:r>
        <w:rPr>
          <w:rFonts w:ascii="Book Antiqua" w:hAnsi="Book Antiqua" w:cs="Arial"/>
        </w:rPr>
        <w:t xml:space="preserve">from a British parent.  It is </w:t>
      </w:r>
      <w:r w:rsidR="00FD0C13">
        <w:rPr>
          <w:rFonts w:ascii="Book Antiqua" w:hAnsi="Book Antiqua" w:cs="Arial"/>
        </w:rPr>
        <w:t xml:space="preserve">very </w:t>
      </w:r>
      <w:r>
        <w:rPr>
          <w:rFonts w:ascii="Book Antiqua" w:hAnsi="Book Antiqua" w:cs="Arial"/>
        </w:rPr>
        <w:t xml:space="preserve">difficult to </w:t>
      </w:r>
      <w:r w:rsidR="00FD0C13">
        <w:rPr>
          <w:rFonts w:ascii="Book Antiqua" w:hAnsi="Book Antiqua" w:cs="Arial"/>
        </w:rPr>
        <w:t>identify</w:t>
      </w:r>
      <w:r>
        <w:rPr>
          <w:rFonts w:ascii="Book Antiqua" w:hAnsi="Book Antiqua" w:cs="Arial"/>
        </w:rPr>
        <w:t xml:space="preserve"> exceptional circumstances </w:t>
      </w:r>
      <w:r w:rsidR="00FD0C13">
        <w:rPr>
          <w:rFonts w:ascii="Book Antiqua" w:hAnsi="Book Antiqua" w:cs="Arial"/>
        </w:rPr>
        <w:t>in the evidence before the judge</w:t>
      </w:r>
      <w:r>
        <w:rPr>
          <w:rFonts w:ascii="Book Antiqua" w:hAnsi="Book Antiqua" w:cs="Arial"/>
        </w:rPr>
        <w:t xml:space="preserve">.  Further, Mr </w:t>
      </w:r>
      <w:proofErr w:type="spellStart"/>
      <w:r>
        <w:rPr>
          <w:rFonts w:ascii="Book Antiqua" w:hAnsi="Book Antiqua" w:cs="Arial"/>
        </w:rPr>
        <w:t>Tufan</w:t>
      </w:r>
      <w:proofErr w:type="spellEnd"/>
      <w:r>
        <w:rPr>
          <w:rFonts w:ascii="Book Antiqua" w:hAnsi="Book Antiqua" w:cs="Arial"/>
        </w:rPr>
        <w:t xml:space="preserve"> relied upon </w:t>
      </w:r>
      <w:r w:rsidRPr="00CE0666">
        <w:rPr>
          <w:rFonts w:ascii="Book Antiqua" w:hAnsi="Book Antiqua" w:cs="Arial"/>
          <w:i/>
        </w:rPr>
        <w:t>SS (Congo)</w:t>
      </w:r>
      <w:r>
        <w:rPr>
          <w:rFonts w:ascii="Book Antiqua" w:hAnsi="Book Antiqua" w:cs="Arial"/>
        </w:rPr>
        <w:t xml:space="preserve"> [2015] EWCA </w:t>
      </w:r>
      <w:proofErr w:type="spellStart"/>
      <w:r>
        <w:rPr>
          <w:rFonts w:ascii="Book Antiqua" w:hAnsi="Book Antiqua" w:cs="Arial"/>
        </w:rPr>
        <w:t>Civ</w:t>
      </w:r>
      <w:proofErr w:type="spellEnd"/>
      <w:r>
        <w:rPr>
          <w:rFonts w:ascii="Book Antiqua" w:hAnsi="Book Antiqua" w:cs="Arial"/>
        </w:rPr>
        <w:t xml:space="preserve"> 387</w:t>
      </w:r>
      <w:r w:rsidR="00FD0C13">
        <w:rPr>
          <w:rFonts w:ascii="Book Antiqua" w:hAnsi="Book Antiqua" w:cs="Arial"/>
        </w:rPr>
        <w:t>,</w:t>
      </w:r>
      <w:r>
        <w:rPr>
          <w:rFonts w:ascii="Book Antiqua" w:hAnsi="Book Antiqua" w:cs="Arial"/>
        </w:rPr>
        <w:t xml:space="preserve"> in particular at [82]:</w:t>
      </w:r>
    </w:p>
    <w:p w:rsidR="00FD0C13" w:rsidRPr="00FD0C13" w:rsidRDefault="00FD0C13" w:rsidP="00FD0C13">
      <w:pPr>
        <w:spacing w:before="240"/>
        <w:ind w:left="1134"/>
        <w:jc w:val="both"/>
        <w:rPr>
          <w:rFonts w:ascii="Book Antiqua" w:hAnsi="Book Antiqua" w:cs="Arial"/>
          <w:sz w:val="22"/>
          <w:szCs w:val="22"/>
        </w:rPr>
      </w:pPr>
      <w:r w:rsidRPr="00FD0C13">
        <w:rPr>
          <w:rFonts w:ascii="Book Antiqua" w:hAnsi="Book Antiqua" w:cs="Arial"/>
          <w:sz w:val="22"/>
          <w:szCs w:val="22"/>
        </w:rPr>
        <w:t xml:space="preserve">In relation to this case, Mr Payne submitted that it is clear on the evidence available when LTE was refused by the Entry Clearance Officer that this was a lawful decision which did not violate Article 8 and that accordingly, if the appeal is allowed, there is no need for the case to be remitted to the Upper Tribunal for further consideration. We agree. This is a case in which the sponsor, a British citizen, wished to be joined by his foreign national wife to take up family life in the United Kingdom, rather than continuing it in her home country. It appears that the family life was commenced in circumstances where it was known to be precarious, if the couple wished it to be carried on in the United Kingdom. Moreover, there was nothing to prevent the husband from going to Pakistan to continue their family life there. Article 8 does not give rise to an obligation on the state to accommodate a preference to pursue family life in the United Kingdom rather than overseas. At the time of the refusal of LTE, the minimum income requirements in the Rules in respect of the sponsor were not </w:t>
      </w:r>
      <w:r w:rsidRPr="00FD0C13">
        <w:rPr>
          <w:rFonts w:ascii="Book Antiqua" w:hAnsi="Book Antiqua" w:cs="Arial"/>
          <w:sz w:val="22"/>
          <w:szCs w:val="22"/>
        </w:rPr>
        <w:lastRenderedPageBreak/>
        <w:t>satisfied. There were no compelling circumstances to require the grant of LTE outside the Rules. If the sponsor expected to be able to satisfy the minimum income and evidence requirements in the near future, the appropriate course was to wait and submit a properly supported application for LTE when the requirements in the Rules could be satisfied. There was nothing disproportionate in the Secretary of State applying the Rules according to their terms in this case.</w:t>
      </w:r>
    </w:p>
    <w:p w:rsidR="00F96CF0" w:rsidRPr="00F5664C" w:rsidRDefault="00F96CF0" w:rsidP="00FD0C13">
      <w:pPr>
        <w:spacing w:before="240"/>
        <w:ind w:left="567"/>
        <w:jc w:val="both"/>
        <w:rPr>
          <w:rFonts w:ascii="Book Antiqua" w:hAnsi="Book Antiqua" w:cs="Arial"/>
        </w:rPr>
      </w:pPr>
      <w:r>
        <w:rPr>
          <w:rFonts w:ascii="Book Antiqua" w:hAnsi="Book Antiqua" w:cs="Arial"/>
        </w:rPr>
        <w:t>Whilst I acknowledge that there was no British c</w:t>
      </w:r>
      <w:r w:rsidR="00FD0C13">
        <w:rPr>
          <w:rFonts w:ascii="Book Antiqua" w:hAnsi="Book Antiqua" w:cs="Arial"/>
        </w:rPr>
        <w:t xml:space="preserve">hild </w:t>
      </w:r>
      <w:r>
        <w:rPr>
          <w:rFonts w:ascii="Book Antiqua" w:hAnsi="Book Antiqua" w:cs="Arial"/>
        </w:rPr>
        <w:t xml:space="preserve">in the consolidated appeal of </w:t>
      </w:r>
      <w:r w:rsidRPr="00CE0666">
        <w:rPr>
          <w:rFonts w:ascii="Book Antiqua" w:hAnsi="Book Antiqua" w:cs="Arial"/>
          <w:i/>
        </w:rPr>
        <w:t>SS (Congo)</w:t>
      </w:r>
      <w:r>
        <w:rPr>
          <w:rFonts w:ascii="Book Antiqua" w:hAnsi="Book Antiqua" w:cs="Arial"/>
        </w:rPr>
        <w:t xml:space="preserve"> whi</w:t>
      </w:r>
      <w:r w:rsidR="00FD0C13">
        <w:rPr>
          <w:rFonts w:ascii="Book Antiqua" w:hAnsi="Book Antiqua" w:cs="Arial"/>
        </w:rPr>
        <w:t>ch the court considered at [82]</w:t>
      </w:r>
      <w:r>
        <w:rPr>
          <w:rFonts w:ascii="Book Antiqua" w:hAnsi="Book Antiqua" w:cs="Arial"/>
        </w:rPr>
        <w:t>, the judge in the instant appeal has failed, in</w:t>
      </w:r>
      <w:r w:rsidR="00FD0C13">
        <w:rPr>
          <w:rFonts w:ascii="Book Antiqua" w:hAnsi="Book Antiqua" w:cs="Arial"/>
        </w:rPr>
        <w:t xml:space="preserve"> my opinion, to take account </w:t>
      </w:r>
      <w:r>
        <w:rPr>
          <w:rFonts w:ascii="Book Antiqua" w:hAnsi="Book Antiqua" w:cs="Arial"/>
        </w:rPr>
        <w:t>(</w:t>
      </w:r>
      <w:proofErr w:type="spellStart"/>
      <w:r>
        <w:rPr>
          <w:rFonts w:ascii="Book Antiqua" w:hAnsi="Book Antiqua" w:cs="Arial"/>
        </w:rPr>
        <w:t>i</w:t>
      </w:r>
      <w:proofErr w:type="spellEnd"/>
      <w:r>
        <w:rPr>
          <w:rFonts w:ascii="Book Antiqua" w:hAnsi="Book Antiqua" w:cs="Arial"/>
        </w:rPr>
        <w:t xml:space="preserve">) </w:t>
      </w:r>
      <w:r w:rsidR="00FD0C13">
        <w:rPr>
          <w:rFonts w:ascii="Book Antiqua" w:hAnsi="Book Antiqua" w:cs="Arial"/>
        </w:rPr>
        <w:t xml:space="preserve">of </w:t>
      </w:r>
      <w:r>
        <w:rPr>
          <w:rFonts w:ascii="Book Antiqua" w:hAnsi="Book Antiqua" w:cs="Arial"/>
        </w:rPr>
        <w:t>the ability of the appellant to make a further application for entry clearance (“the appropriate cause”)</w:t>
      </w:r>
      <w:r w:rsidR="00CE0666">
        <w:rPr>
          <w:rFonts w:ascii="Book Antiqua" w:hAnsi="Book Antiqua" w:cs="Arial"/>
        </w:rPr>
        <w:t xml:space="preserve">; </w:t>
      </w:r>
      <w:r>
        <w:rPr>
          <w:rFonts w:ascii="Book Antiqua" w:hAnsi="Book Antiqua" w:cs="Arial"/>
        </w:rPr>
        <w:t>(ii)</w:t>
      </w:r>
      <w:r w:rsidR="00FD0C13">
        <w:rPr>
          <w:rFonts w:ascii="Book Antiqua" w:hAnsi="Book Antiqua" w:cs="Arial"/>
        </w:rPr>
        <w:t xml:space="preserve"> that</w:t>
      </w:r>
      <w:r>
        <w:rPr>
          <w:rFonts w:ascii="Book Antiqua" w:hAnsi="Book Antiqua" w:cs="Arial"/>
        </w:rPr>
        <w:t xml:space="preserve"> </w:t>
      </w:r>
      <w:r w:rsidR="00CE0666">
        <w:rPr>
          <w:rFonts w:ascii="Book Antiqua" w:hAnsi="Book Antiqua" w:cs="Arial"/>
        </w:rPr>
        <w:t>t</w:t>
      </w:r>
      <w:r>
        <w:rPr>
          <w:rFonts w:ascii="Book Antiqua" w:hAnsi="Book Antiqua" w:cs="Arial"/>
        </w:rPr>
        <w:t>here wa</w:t>
      </w:r>
      <w:r w:rsidR="00FD0C13">
        <w:rPr>
          <w:rFonts w:ascii="Book Antiqua" w:hAnsi="Book Antiqua" w:cs="Arial"/>
        </w:rPr>
        <w:t xml:space="preserve">s no consideration at all in his Article 8 analysis </w:t>
      </w:r>
      <w:r>
        <w:rPr>
          <w:rFonts w:ascii="Book Antiqua" w:hAnsi="Book Antiqua" w:cs="Arial"/>
        </w:rPr>
        <w:t>of the possibility of family life being pursued in Pakistan; the Court of Appeal at [80] noted that excessive weight had been given by the Tribunal to the fact the sponsor was a British national but they had not given “proper consideration of the possibility of continuing family life in Pakistan”</w:t>
      </w:r>
      <w:r w:rsidR="00CE0666">
        <w:rPr>
          <w:rFonts w:ascii="Book Antiqua" w:hAnsi="Book Antiqua" w:cs="Arial"/>
        </w:rPr>
        <w:t>;</w:t>
      </w:r>
      <w:r>
        <w:rPr>
          <w:rFonts w:ascii="Book Antiqua" w:hAnsi="Book Antiqua" w:cs="Arial"/>
        </w:rPr>
        <w:t xml:space="preserve"> (iii)</w:t>
      </w:r>
      <w:r w:rsidR="00CE0666">
        <w:rPr>
          <w:rFonts w:ascii="Book Antiqua" w:hAnsi="Book Antiqua" w:cs="Arial"/>
        </w:rPr>
        <w:t xml:space="preserve"> f</w:t>
      </w:r>
      <w:r>
        <w:rPr>
          <w:rFonts w:ascii="Book Antiqua" w:hAnsi="Book Antiqua" w:cs="Arial"/>
        </w:rPr>
        <w:t xml:space="preserve">amily life was started and a child conceived at a time when the couple’s ability to carry on that family life in the United Kingdom was far from certain, </w:t>
      </w:r>
      <w:r w:rsidR="00FD0C13">
        <w:rPr>
          <w:rFonts w:ascii="Book Antiqua" w:hAnsi="Book Antiqua" w:cs="Arial"/>
        </w:rPr>
        <w:t xml:space="preserve">particularly </w:t>
      </w:r>
      <w:r>
        <w:rPr>
          <w:rFonts w:ascii="Book Antiqua" w:hAnsi="Book Antiqua" w:cs="Arial"/>
        </w:rPr>
        <w:t xml:space="preserve">given the sponsor’s inadequate </w:t>
      </w:r>
      <w:r w:rsidR="00CE0666">
        <w:rPr>
          <w:rFonts w:ascii="Book Antiqua" w:hAnsi="Book Antiqua" w:cs="Arial"/>
        </w:rPr>
        <w:t>income;</w:t>
      </w:r>
      <w:r>
        <w:rPr>
          <w:rFonts w:ascii="Book Antiqua" w:hAnsi="Book Antiqua" w:cs="Arial"/>
        </w:rPr>
        <w:t xml:space="preserve"> </w:t>
      </w:r>
      <w:r w:rsidR="00CE0666">
        <w:rPr>
          <w:rFonts w:ascii="Book Antiqua" w:hAnsi="Book Antiqua" w:cs="Arial"/>
        </w:rPr>
        <w:t>(iv) th</w:t>
      </w:r>
      <w:r>
        <w:rPr>
          <w:rFonts w:ascii="Book Antiqua" w:hAnsi="Book Antiqua" w:cs="Arial"/>
        </w:rPr>
        <w:t xml:space="preserve">is is an entry clearance case (as the grounds point out) </w:t>
      </w:r>
      <w:r w:rsidR="00FD0C13">
        <w:rPr>
          <w:rFonts w:ascii="Book Antiqua" w:hAnsi="Book Antiqua" w:cs="Arial"/>
        </w:rPr>
        <w:t xml:space="preserve">in </w:t>
      </w:r>
      <w:r>
        <w:rPr>
          <w:rFonts w:ascii="Book Antiqua" w:hAnsi="Book Antiqua" w:cs="Arial"/>
        </w:rPr>
        <w:t xml:space="preserve">which the </w:t>
      </w:r>
      <w:r w:rsidRPr="00FD0C13">
        <w:rPr>
          <w:rFonts w:ascii="Book Antiqua" w:hAnsi="Book Antiqua" w:cs="Arial"/>
          <w:i/>
        </w:rPr>
        <w:t>status quo</w:t>
      </w:r>
      <w:r>
        <w:rPr>
          <w:rFonts w:ascii="Book Antiqua" w:hAnsi="Book Antiqua" w:cs="Arial"/>
        </w:rPr>
        <w:t xml:space="preserve"> has not been affected </w:t>
      </w:r>
      <w:r w:rsidR="00FD0C13">
        <w:rPr>
          <w:rFonts w:ascii="Book Antiqua" w:hAnsi="Book Antiqua" w:cs="Arial"/>
        </w:rPr>
        <w:t xml:space="preserve">at all </w:t>
      </w:r>
      <w:r>
        <w:rPr>
          <w:rFonts w:ascii="Book Antiqua" w:hAnsi="Book Antiqua" w:cs="Arial"/>
        </w:rPr>
        <w:t>by the ECO’s decision</w:t>
      </w:r>
      <w:r w:rsidR="00FD0C13">
        <w:rPr>
          <w:rFonts w:ascii="Book Antiqua" w:hAnsi="Book Antiqua" w:cs="Arial"/>
        </w:rPr>
        <w:t>. With those considerations in mind, I set aside the First-tier Tribunal’s decision and remake the decision, dismissing the appellant’s appeal against the decision of the Entry Clearance Officer.</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 xml:space="preserve">The appeal is </w:t>
      </w:r>
      <w:r w:rsidR="00FD0C13">
        <w:rPr>
          <w:rFonts w:ascii="Book Antiqua" w:hAnsi="Book Antiqua" w:cs="Arial"/>
        </w:rPr>
        <w:t>allowed. The decision of the First-tier Tribunal is set aside.  I remake the decision dismissing the appellant’s appeal against the decision of the Entry Clearance Officer dated 6 November 2016.</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anonymity direction is made.</w:t>
      </w:r>
    </w:p>
    <w:p w:rsidR="008508AD" w:rsidRPr="008508AD" w:rsidRDefault="008508AD" w:rsidP="008508AD">
      <w:pPr>
        <w:jc w:val="both"/>
        <w:rPr>
          <w:rFonts w:ascii="Book Antiqua" w:hAnsi="Book Antiqua" w:cs="Arial"/>
        </w:rPr>
      </w:pPr>
    </w:p>
    <w:p w:rsidR="000369F5" w:rsidRDefault="000369F5"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FD0C13">
        <w:rPr>
          <w:rFonts w:ascii="Book Antiqua" w:hAnsi="Book Antiqua" w:cs="Arial"/>
        </w:rPr>
        <w:t>20 APRIL 2018</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FD0C13">
        <w:rPr>
          <w:rFonts w:ascii="Book Antiqua" w:hAnsi="Book Antiqua" w:cs="Arial"/>
        </w:rPr>
        <w:t>20 APRIL 2018</w:t>
      </w:r>
    </w:p>
    <w:p w:rsidR="008508AD" w:rsidRPr="00F5664C" w:rsidRDefault="008508AD" w:rsidP="008508AD">
      <w:pPr>
        <w:tabs>
          <w:tab w:val="left" w:pos="2520"/>
        </w:tabs>
        <w:jc w:val="both"/>
        <w:rPr>
          <w:rFonts w:ascii="Book Antiqua" w:hAnsi="Book Antiqua" w:cs="Arial"/>
        </w:rPr>
      </w:pPr>
    </w:p>
    <w:p w:rsidR="005B7789" w:rsidRPr="00F5664C"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r w:rsidR="002635DA">
        <w:rPr>
          <w:rFonts w:ascii="Book Antiqua" w:hAnsi="Book Antiqua" w:cs="Arial"/>
        </w:rPr>
        <w:t xml:space="preserve"> </w:t>
      </w:r>
      <w:bookmarkStart w:id="0" w:name="_GoBack"/>
      <w:bookmarkEnd w:id="0"/>
    </w:p>
    <w:sectPr w:rsidR="005B7789" w:rsidRPr="00F5664C" w:rsidSect="002635DA">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89A" w:rsidRDefault="0047389A">
      <w:r>
        <w:separator/>
      </w:r>
    </w:p>
  </w:endnote>
  <w:endnote w:type="continuationSeparator" w:id="0">
    <w:p w:rsidR="0047389A" w:rsidRDefault="0047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2635DA" w:rsidRDefault="00ED338F" w:rsidP="00593795">
    <w:pPr>
      <w:pStyle w:val="Footer"/>
      <w:jc w:val="center"/>
      <w:rPr>
        <w:rFonts w:ascii="Book Antiqua" w:hAnsi="Book Antiqua" w:cs="Arial"/>
      </w:rPr>
    </w:pPr>
    <w:r w:rsidRPr="002635DA">
      <w:rPr>
        <w:rStyle w:val="PageNumber"/>
        <w:rFonts w:ascii="Book Antiqua" w:hAnsi="Book Antiqua" w:cs="Arial"/>
      </w:rPr>
      <w:fldChar w:fldCharType="begin"/>
    </w:r>
    <w:r w:rsidRPr="002635DA">
      <w:rPr>
        <w:rStyle w:val="PageNumber"/>
        <w:rFonts w:ascii="Book Antiqua" w:hAnsi="Book Antiqua" w:cs="Arial"/>
      </w:rPr>
      <w:instrText xml:space="preserve"> PAGE </w:instrText>
    </w:r>
    <w:r w:rsidRPr="002635DA">
      <w:rPr>
        <w:rStyle w:val="PageNumber"/>
        <w:rFonts w:ascii="Book Antiqua" w:hAnsi="Book Antiqua" w:cs="Arial"/>
      </w:rPr>
      <w:fldChar w:fldCharType="separate"/>
    </w:r>
    <w:r w:rsidR="00B53A42">
      <w:rPr>
        <w:rStyle w:val="PageNumber"/>
        <w:rFonts w:ascii="Book Antiqua" w:hAnsi="Book Antiqua" w:cs="Arial"/>
        <w:noProof/>
      </w:rPr>
      <w:t>3</w:t>
    </w:r>
    <w:r w:rsidRPr="002635D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89A" w:rsidRDefault="0047389A">
      <w:r>
        <w:separator/>
      </w:r>
    </w:p>
  </w:footnote>
  <w:footnote w:type="continuationSeparator" w:id="0">
    <w:p w:rsidR="0047389A" w:rsidRDefault="00473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CE0666">
      <w:rPr>
        <w:rFonts w:ascii="Book Antiqua" w:hAnsi="Book Antiqua" w:cs="Arial"/>
        <w:sz w:val="16"/>
        <w:szCs w:val="16"/>
      </w:rPr>
      <w:t xml:space="preserve"> HU/26525/2016</w:t>
    </w:r>
    <w:r w:rsidRPr="00F5664C">
      <w:rPr>
        <w:rFonts w:ascii="Book Antiqua" w:hAnsi="Book Antiqua" w:cs="Arial"/>
        <w:sz w:val="16"/>
        <w:szCs w:val="16"/>
      </w:rPr>
      <w:t xml:space="preserve"> </w:t>
    </w:r>
  </w:p>
  <w:p w:rsidR="002635DA" w:rsidRPr="00F5664C" w:rsidRDefault="002635D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3D71"/>
    <w:rsid w:val="00000621"/>
    <w:rsid w:val="00001A2D"/>
    <w:rsid w:val="000036C2"/>
    <w:rsid w:val="00007DDB"/>
    <w:rsid w:val="000168E1"/>
    <w:rsid w:val="00027641"/>
    <w:rsid w:val="00033D3D"/>
    <w:rsid w:val="000369F5"/>
    <w:rsid w:val="00060ED5"/>
    <w:rsid w:val="00071602"/>
    <w:rsid w:val="00071A7E"/>
    <w:rsid w:val="000746C0"/>
    <w:rsid w:val="00074D1D"/>
    <w:rsid w:val="00092580"/>
    <w:rsid w:val="000D0240"/>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6A2D"/>
    <w:rsid w:val="00207617"/>
    <w:rsid w:val="002635DA"/>
    <w:rsid w:val="00264A24"/>
    <w:rsid w:val="00275F0C"/>
    <w:rsid w:val="00283659"/>
    <w:rsid w:val="002A3D71"/>
    <w:rsid w:val="002C4E73"/>
    <w:rsid w:val="002D68BF"/>
    <w:rsid w:val="002F1072"/>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389A"/>
    <w:rsid w:val="00477193"/>
    <w:rsid w:val="004A1848"/>
    <w:rsid w:val="004A1F1B"/>
    <w:rsid w:val="004E2759"/>
    <w:rsid w:val="00507FEC"/>
    <w:rsid w:val="00510F0E"/>
    <w:rsid w:val="00511891"/>
    <w:rsid w:val="0051790E"/>
    <w:rsid w:val="00521F6E"/>
    <w:rsid w:val="005333CE"/>
    <w:rsid w:val="005479E1"/>
    <w:rsid w:val="005570FD"/>
    <w:rsid w:val="005575EA"/>
    <w:rsid w:val="005744A4"/>
    <w:rsid w:val="0057790C"/>
    <w:rsid w:val="0058661C"/>
    <w:rsid w:val="00593795"/>
    <w:rsid w:val="00594638"/>
    <w:rsid w:val="005A75FF"/>
    <w:rsid w:val="005B7789"/>
    <w:rsid w:val="00642BF2"/>
    <w:rsid w:val="0065791C"/>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03CD"/>
    <w:rsid w:val="00987774"/>
    <w:rsid w:val="009A0FDC"/>
    <w:rsid w:val="009A11E8"/>
    <w:rsid w:val="009E4E62"/>
    <w:rsid w:val="009F5220"/>
    <w:rsid w:val="009F7C4D"/>
    <w:rsid w:val="00A15234"/>
    <w:rsid w:val="00A15560"/>
    <w:rsid w:val="00A16AE1"/>
    <w:rsid w:val="00A201AB"/>
    <w:rsid w:val="00A31C8B"/>
    <w:rsid w:val="00A51899"/>
    <w:rsid w:val="00A845DC"/>
    <w:rsid w:val="00A97AEE"/>
    <w:rsid w:val="00AC5CF6"/>
    <w:rsid w:val="00B00CC0"/>
    <w:rsid w:val="00B106DA"/>
    <w:rsid w:val="00B144FA"/>
    <w:rsid w:val="00B16F58"/>
    <w:rsid w:val="00B30648"/>
    <w:rsid w:val="00B3524D"/>
    <w:rsid w:val="00B40F69"/>
    <w:rsid w:val="00B46616"/>
    <w:rsid w:val="00B53A42"/>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84115"/>
    <w:rsid w:val="00C977BA"/>
    <w:rsid w:val="00CB6E35"/>
    <w:rsid w:val="00CE0666"/>
    <w:rsid w:val="00CE1A46"/>
    <w:rsid w:val="00CF253F"/>
    <w:rsid w:val="00CF56B4"/>
    <w:rsid w:val="00CF6DEE"/>
    <w:rsid w:val="00D06D1F"/>
    <w:rsid w:val="00D20F09"/>
    <w:rsid w:val="00D22636"/>
    <w:rsid w:val="00D36666"/>
    <w:rsid w:val="00D40FD9"/>
    <w:rsid w:val="00D53769"/>
    <w:rsid w:val="00D70775"/>
    <w:rsid w:val="00D74302"/>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4734D"/>
    <w:rsid w:val="00F5664C"/>
    <w:rsid w:val="00F60D99"/>
    <w:rsid w:val="00F96CF0"/>
    <w:rsid w:val="00FB7E80"/>
    <w:rsid w:val="00FC3E38"/>
    <w:rsid w:val="00FD0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4:docId w14:val="36F545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2018-07-02T16:55:00Z</dcterms:created>
  <dcterms:modified xsi:type="dcterms:W3CDTF">2018-07-02T16:55:00Z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