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74577C" w:rsidRDefault="00B7692D" w:rsidP="00C321B5">
      <w:pPr>
        <w:jc w:val="center"/>
        <w:rPr>
          <w:rFonts w:ascii="Book Antiqua" w:hAnsi="Book Antiqua" w:cs="Arial"/>
          <w:sz w:val="16"/>
          <w:szCs w:val="16"/>
        </w:rPr>
      </w:pPr>
      <w:r w:rsidRPr="0074577C">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74577C" w:rsidRDefault="001A1E2C" w:rsidP="00B626FA">
      <w:pPr>
        <w:tabs>
          <w:tab w:val="right" w:pos="9639"/>
        </w:tabs>
        <w:rPr>
          <w:rFonts w:ascii="Book Antiqua" w:hAnsi="Book Antiqua" w:cs="Arial"/>
          <w:b/>
        </w:rPr>
      </w:pPr>
      <w:r w:rsidRPr="0074577C">
        <w:rPr>
          <w:rFonts w:ascii="Book Antiqua" w:hAnsi="Book Antiqua" w:cs="Arial"/>
          <w:b/>
        </w:rPr>
        <w:t xml:space="preserve">Upper </w:t>
      </w:r>
      <w:r w:rsidR="00C321B5" w:rsidRPr="0074577C">
        <w:rPr>
          <w:rFonts w:ascii="Book Antiqua" w:hAnsi="Book Antiqua" w:cs="Arial"/>
          <w:b/>
        </w:rPr>
        <w:t xml:space="preserve">Tribunal </w:t>
      </w:r>
    </w:p>
    <w:p w:rsidR="007B0824" w:rsidRPr="00D50FDF" w:rsidRDefault="00C321B5" w:rsidP="00B626FA">
      <w:pPr>
        <w:tabs>
          <w:tab w:val="right" w:pos="9639"/>
        </w:tabs>
        <w:rPr>
          <w:rFonts w:ascii="Book Antiqua" w:hAnsi="Book Antiqua" w:cs="Arial"/>
          <w:b/>
        </w:rPr>
      </w:pPr>
      <w:r w:rsidRPr="0074577C">
        <w:rPr>
          <w:rFonts w:ascii="Book Antiqua" w:hAnsi="Book Antiqua" w:cs="Arial"/>
          <w:b/>
        </w:rPr>
        <w:t xml:space="preserve">(Immigration and Asylum </w:t>
      </w:r>
      <w:proofErr w:type="gramStart"/>
      <w:r w:rsidRPr="0074577C">
        <w:rPr>
          <w:rFonts w:ascii="Book Antiqua" w:hAnsi="Book Antiqua" w:cs="Arial"/>
          <w:b/>
        </w:rPr>
        <w:t>Chamber)</w:t>
      </w:r>
      <w:r w:rsidR="00D50FDF">
        <w:rPr>
          <w:rFonts w:ascii="Book Antiqua" w:hAnsi="Book Antiqua" w:cs="Arial"/>
          <w:b/>
        </w:rPr>
        <w:t xml:space="preserve">   </w:t>
      </w:r>
      <w:proofErr w:type="gramEnd"/>
      <w:r w:rsidR="00D50FDF">
        <w:rPr>
          <w:rFonts w:ascii="Book Antiqua" w:hAnsi="Book Antiqua" w:cs="Arial"/>
          <w:b/>
        </w:rPr>
        <w:t xml:space="preserve">                    </w:t>
      </w:r>
      <w:r w:rsidR="00B3524D" w:rsidRPr="00D50FDF">
        <w:rPr>
          <w:rFonts w:ascii="Book Antiqua" w:hAnsi="Book Antiqua" w:cs="Arial"/>
          <w:b/>
        </w:rPr>
        <w:t>Appeal Number</w:t>
      </w:r>
      <w:r w:rsidR="00D53769" w:rsidRPr="00D50FDF">
        <w:rPr>
          <w:rFonts w:ascii="Book Antiqua" w:hAnsi="Book Antiqua" w:cs="Arial"/>
          <w:b/>
        </w:rPr>
        <w:t>:</w:t>
      </w:r>
      <w:r w:rsidR="00B3524D" w:rsidRPr="00D50FDF">
        <w:rPr>
          <w:rFonts w:ascii="Book Antiqua" w:hAnsi="Book Antiqua" w:cs="Arial"/>
          <w:b/>
        </w:rPr>
        <w:t xml:space="preserve"> </w:t>
      </w:r>
      <w:r w:rsidR="00B7692D" w:rsidRPr="00D50FDF">
        <w:rPr>
          <w:rFonts w:ascii="Book Antiqua" w:hAnsi="Book Antiqua" w:cs="Arial"/>
          <w:b/>
          <w:caps/>
        </w:rPr>
        <w:t>HU/26805/2016</w:t>
      </w:r>
      <w:r w:rsidR="009B1543" w:rsidRPr="00D50FDF">
        <w:rPr>
          <w:rFonts w:ascii="Book Antiqua" w:hAnsi="Book Antiqua" w:cs="Arial"/>
          <w:b/>
          <w:caps/>
        </w:rPr>
        <w:t xml:space="preserve">  </w:t>
      </w:r>
    </w:p>
    <w:p w:rsidR="00C345E1" w:rsidRPr="00D50FDF" w:rsidRDefault="00C345E1" w:rsidP="00C345E1">
      <w:pPr>
        <w:jc w:val="center"/>
        <w:rPr>
          <w:rFonts w:ascii="Book Antiqua" w:hAnsi="Book Antiqua" w:cs="Arial"/>
          <w:b/>
        </w:rPr>
      </w:pPr>
    </w:p>
    <w:p w:rsidR="00C345E1" w:rsidRPr="0074577C" w:rsidRDefault="00C345E1" w:rsidP="00C345E1">
      <w:pPr>
        <w:jc w:val="center"/>
        <w:rPr>
          <w:rFonts w:ascii="Book Antiqua" w:hAnsi="Book Antiqua" w:cs="Arial"/>
          <w:b/>
          <w:u w:val="single"/>
        </w:rPr>
      </w:pPr>
      <w:r w:rsidRPr="0074577C">
        <w:rPr>
          <w:rFonts w:ascii="Book Antiqua" w:hAnsi="Book Antiqua" w:cs="Arial"/>
          <w:b/>
          <w:u w:val="single"/>
        </w:rPr>
        <w:t>THE IMMIGRATION ACTS</w:t>
      </w:r>
    </w:p>
    <w:p w:rsidR="00C345E1" w:rsidRPr="0074577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74577C" w:rsidTr="00D50FDF">
        <w:tc>
          <w:tcPr>
            <w:tcW w:w="5245" w:type="dxa"/>
          </w:tcPr>
          <w:p w:rsidR="00D22636" w:rsidRPr="0074577C" w:rsidRDefault="00D22636" w:rsidP="004A1848">
            <w:pPr>
              <w:jc w:val="both"/>
              <w:rPr>
                <w:rFonts w:ascii="Book Antiqua" w:hAnsi="Book Antiqua" w:cs="Arial"/>
                <w:b/>
              </w:rPr>
            </w:pPr>
            <w:r w:rsidRPr="0074577C">
              <w:rPr>
                <w:rFonts w:ascii="Book Antiqua" w:hAnsi="Book Antiqua" w:cs="Arial"/>
                <w:b/>
              </w:rPr>
              <w:t xml:space="preserve">Heard at </w:t>
            </w:r>
            <w:r w:rsidR="00E71E4C" w:rsidRPr="0074577C">
              <w:rPr>
                <w:rFonts w:ascii="Book Antiqua" w:hAnsi="Book Antiqua" w:cs="Arial"/>
                <w:b/>
              </w:rPr>
              <w:t xml:space="preserve">Field House  </w:t>
            </w:r>
          </w:p>
        </w:tc>
        <w:tc>
          <w:tcPr>
            <w:tcW w:w="4763" w:type="dxa"/>
          </w:tcPr>
          <w:p w:rsidR="00D22636" w:rsidRPr="0074577C" w:rsidRDefault="00F13D39" w:rsidP="004A1848">
            <w:pPr>
              <w:jc w:val="both"/>
              <w:rPr>
                <w:rFonts w:ascii="Book Antiqua" w:hAnsi="Book Antiqua" w:cs="Arial"/>
                <w:b/>
              </w:rPr>
            </w:pPr>
            <w:r w:rsidRPr="0074577C">
              <w:rPr>
                <w:rFonts w:ascii="Book Antiqua" w:hAnsi="Book Antiqua" w:cs="Arial"/>
                <w:b/>
              </w:rPr>
              <w:t>Decision &amp; Reasons</w:t>
            </w:r>
            <w:r w:rsidR="00283659" w:rsidRPr="0074577C">
              <w:rPr>
                <w:rFonts w:ascii="Book Antiqua" w:hAnsi="Book Antiqua" w:cs="Arial"/>
                <w:b/>
              </w:rPr>
              <w:t xml:space="preserve"> Promulgated</w:t>
            </w:r>
          </w:p>
        </w:tc>
      </w:tr>
      <w:tr w:rsidR="00D22636" w:rsidRPr="0074577C" w:rsidTr="00D50FDF">
        <w:tc>
          <w:tcPr>
            <w:tcW w:w="5245" w:type="dxa"/>
          </w:tcPr>
          <w:p w:rsidR="00D22636" w:rsidRPr="0074577C" w:rsidRDefault="00D22636" w:rsidP="004A1848">
            <w:pPr>
              <w:jc w:val="both"/>
              <w:rPr>
                <w:rFonts w:ascii="Book Antiqua" w:hAnsi="Book Antiqua" w:cs="Arial"/>
                <w:b/>
              </w:rPr>
            </w:pPr>
            <w:r w:rsidRPr="0074577C">
              <w:rPr>
                <w:rFonts w:ascii="Book Antiqua" w:hAnsi="Book Antiqua" w:cs="Arial"/>
                <w:b/>
              </w:rPr>
              <w:t xml:space="preserve">On </w:t>
            </w:r>
            <w:r w:rsidR="00E71E4C" w:rsidRPr="0074577C">
              <w:rPr>
                <w:rFonts w:ascii="Book Antiqua" w:hAnsi="Book Antiqua" w:cs="Arial"/>
                <w:b/>
              </w:rPr>
              <w:t>1</w:t>
            </w:r>
            <w:r w:rsidR="00E71E4C" w:rsidRPr="0074577C">
              <w:rPr>
                <w:rFonts w:ascii="Book Antiqua" w:hAnsi="Book Antiqua" w:cs="Arial"/>
                <w:b/>
                <w:vertAlign w:val="superscript"/>
              </w:rPr>
              <w:t>st</w:t>
            </w:r>
            <w:r w:rsidR="00E71E4C" w:rsidRPr="0074577C">
              <w:rPr>
                <w:rFonts w:ascii="Book Antiqua" w:hAnsi="Book Antiqua" w:cs="Arial"/>
                <w:b/>
              </w:rPr>
              <w:t xml:space="preserve"> August 2018  </w:t>
            </w:r>
          </w:p>
        </w:tc>
        <w:tc>
          <w:tcPr>
            <w:tcW w:w="4763" w:type="dxa"/>
          </w:tcPr>
          <w:p w:rsidR="00D22636" w:rsidRPr="0074577C" w:rsidRDefault="00793604" w:rsidP="004A1848">
            <w:pPr>
              <w:jc w:val="both"/>
              <w:rPr>
                <w:rFonts w:ascii="Book Antiqua" w:hAnsi="Book Antiqua" w:cs="Arial"/>
                <w:b/>
              </w:rPr>
            </w:pPr>
            <w:r>
              <w:rPr>
                <w:rFonts w:ascii="Book Antiqua" w:hAnsi="Book Antiqua" w:cs="Arial"/>
                <w:b/>
              </w:rPr>
              <w:t>On 17</w:t>
            </w:r>
            <w:r w:rsidRPr="00793604">
              <w:rPr>
                <w:rFonts w:ascii="Book Antiqua" w:hAnsi="Book Antiqua" w:cs="Arial"/>
                <w:b/>
                <w:vertAlign w:val="superscript"/>
              </w:rPr>
              <w:t>th</w:t>
            </w:r>
            <w:r>
              <w:rPr>
                <w:rFonts w:ascii="Book Antiqua" w:hAnsi="Book Antiqua" w:cs="Arial"/>
                <w:b/>
              </w:rPr>
              <w:t xml:space="preserve"> August 2018</w:t>
            </w:r>
          </w:p>
        </w:tc>
      </w:tr>
      <w:tr w:rsidR="00D22636" w:rsidRPr="0074577C" w:rsidTr="00D50FDF">
        <w:tc>
          <w:tcPr>
            <w:tcW w:w="5245" w:type="dxa"/>
          </w:tcPr>
          <w:p w:rsidR="00D22636" w:rsidRPr="0074577C" w:rsidRDefault="00D22636" w:rsidP="004A1848">
            <w:pPr>
              <w:jc w:val="both"/>
              <w:rPr>
                <w:rFonts w:ascii="Book Antiqua" w:hAnsi="Book Antiqua" w:cs="Arial"/>
                <w:b/>
              </w:rPr>
            </w:pPr>
          </w:p>
        </w:tc>
        <w:tc>
          <w:tcPr>
            <w:tcW w:w="4763" w:type="dxa"/>
          </w:tcPr>
          <w:p w:rsidR="00D22636" w:rsidRPr="0074577C" w:rsidRDefault="00D22636" w:rsidP="004A1848">
            <w:pPr>
              <w:jc w:val="both"/>
              <w:rPr>
                <w:rFonts w:ascii="Book Antiqua" w:hAnsi="Book Antiqua" w:cs="Arial"/>
                <w:b/>
              </w:rPr>
            </w:pPr>
          </w:p>
        </w:tc>
      </w:tr>
    </w:tbl>
    <w:p w:rsidR="00A15234" w:rsidRPr="0074577C" w:rsidRDefault="00A15234" w:rsidP="00A15234">
      <w:pPr>
        <w:jc w:val="center"/>
        <w:rPr>
          <w:rFonts w:ascii="Book Antiqua" w:hAnsi="Book Antiqua" w:cs="Arial"/>
        </w:rPr>
      </w:pPr>
    </w:p>
    <w:p w:rsidR="00A15234" w:rsidRPr="0074577C" w:rsidRDefault="00207617" w:rsidP="00A15234">
      <w:pPr>
        <w:jc w:val="center"/>
        <w:rPr>
          <w:rFonts w:ascii="Book Antiqua" w:hAnsi="Book Antiqua" w:cs="Arial"/>
          <w:b/>
        </w:rPr>
      </w:pPr>
      <w:r w:rsidRPr="0074577C">
        <w:rPr>
          <w:rFonts w:ascii="Book Antiqua" w:hAnsi="Book Antiqua" w:cs="Arial"/>
          <w:b/>
        </w:rPr>
        <w:t>Befo</w:t>
      </w:r>
      <w:r w:rsidR="00A15234" w:rsidRPr="0074577C">
        <w:rPr>
          <w:rFonts w:ascii="Book Antiqua" w:hAnsi="Book Antiqua" w:cs="Arial"/>
          <w:b/>
        </w:rPr>
        <w:t>re</w:t>
      </w:r>
    </w:p>
    <w:p w:rsidR="00A15234" w:rsidRPr="0074577C" w:rsidRDefault="00A15234" w:rsidP="00A15234">
      <w:pPr>
        <w:jc w:val="center"/>
        <w:rPr>
          <w:rFonts w:ascii="Book Antiqua" w:hAnsi="Book Antiqua" w:cs="Arial"/>
          <w:b/>
        </w:rPr>
      </w:pPr>
    </w:p>
    <w:p w:rsidR="001A1E2C" w:rsidRPr="0074577C" w:rsidRDefault="00255071" w:rsidP="00A15234">
      <w:pPr>
        <w:jc w:val="center"/>
        <w:rPr>
          <w:rFonts w:ascii="Book Antiqua" w:hAnsi="Book Antiqua" w:cs="Arial"/>
          <w:b/>
        </w:rPr>
      </w:pPr>
      <w:r w:rsidRPr="0074577C">
        <w:rPr>
          <w:rFonts w:ascii="Book Antiqua" w:hAnsi="Book Antiqua" w:cs="Arial"/>
          <w:b/>
        </w:rPr>
        <w:t>DEPUTY UPPER TRIBUNAL</w:t>
      </w:r>
      <w:r w:rsidR="00707DB1" w:rsidRPr="0074577C">
        <w:rPr>
          <w:rFonts w:ascii="Book Antiqua" w:hAnsi="Book Antiqua" w:cs="Arial"/>
          <w:b/>
        </w:rPr>
        <w:t xml:space="preserve"> </w:t>
      </w:r>
      <w:r w:rsidR="00E1040E" w:rsidRPr="0074577C">
        <w:rPr>
          <w:rFonts w:ascii="Book Antiqua" w:hAnsi="Book Antiqua" w:cs="Arial"/>
          <w:b/>
        </w:rPr>
        <w:t>JUDGE M A HALL</w:t>
      </w:r>
    </w:p>
    <w:p w:rsidR="00B16F58" w:rsidRDefault="00B16F58" w:rsidP="00A15234">
      <w:pPr>
        <w:jc w:val="center"/>
        <w:rPr>
          <w:rFonts w:ascii="Book Antiqua" w:hAnsi="Book Antiqua" w:cs="Arial"/>
          <w:b/>
        </w:rPr>
      </w:pPr>
    </w:p>
    <w:p w:rsidR="00A845DC" w:rsidRPr="0074577C" w:rsidRDefault="00A845DC" w:rsidP="00A15234">
      <w:pPr>
        <w:jc w:val="center"/>
        <w:rPr>
          <w:rFonts w:ascii="Book Antiqua" w:hAnsi="Book Antiqua" w:cs="Arial"/>
          <w:b/>
        </w:rPr>
      </w:pPr>
      <w:r w:rsidRPr="0074577C">
        <w:rPr>
          <w:rFonts w:ascii="Book Antiqua" w:hAnsi="Book Antiqua" w:cs="Arial"/>
          <w:b/>
        </w:rPr>
        <w:t>Between</w:t>
      </w:r>
    </w:p>
    <w:p w:rsidR="00A845DC" w:rsidRPr="0074577C" w:rsidRDefault="00A845DC" w:rsidP="00A15234">
      <w:pPr>
        <w:jc w:val="center"/>
        <w:rPr>
          <w:rFonts w:ascii="Book Antiqua" w:hAnsi="Book Antiqua" w:cs="Arial"/>
          <w:b/>
        </w:rPr>
      </w:pPr>
    </w:p>
    <w:p w:rsidR="00742A8D" w:rsidRPr="0074577C" w:rsidRDefault="00E71E4C" w:rsidP="00742A8D">
      <w:pPr>
        <w:jc w:val="center"/>
        <w:rPr>
          <w:rFonts w:ascii="Book Antiqua" w:hAnsi="Book Antiqua" w:cs="Arial"/>
          <w:b/>
          <w:caps/>
        </w:rPr>
      </w:pPr>
      <w:r w:rsidRPr="0074577C">
        <w:rPr>
          <w:rFonts w:ascii="Book Antiqua" w:hAnsi="Book Antiqua" w:cs="Arial"/>
          <w:b/>
          <w:caps/>
        </w:rPr>
        <w:t xml:space="preserve">Ismail Akgul  </w:t>
      </w:r>
    </w:p>
    <w:p w:rsidR="00F13D39" w:rsidRPr="00D50FDF" w:rsidRDefault="00F13D39" w:rsidP="00F13D39">
      <w:pPr>
        <w:jc w:val="center"/>
        <w:rPr>
          <w:rFonts w:ascii="Book Antiqua" w:hAnsi="Book Antiqua" w:cs="Arial"/>
          <w:caps/>
        </w:rPr>
      </w:pPr>
      <w:r w:rsidRPr="00D50FDF">
        <w:rPr>
          <w:rFonts w:ascii="Book Antiqua" w:hAnsi="Book Antiqua" w:cs="Arial"/>
          <w:caps/>
        </w:rPr>
        <w:t xml:space="preserve">(ANONYMITY DIRECTION </w:t>
      </w:r>
      <w:bookmarkStart w:id="0" w:name="Text21"/>
      <w:r w:rsidRPr="00D50FDF">
        <w:rPr>
          <w:rFonts w:ascii="Book Antiqua" w:hAnsi="Book Antiqua" w:cs="Arial"/>
          <w:caps/>
          <w:noProof/>
        </w:rPr>
        <w:t>NOT MADE</w:t>
      </w:r>
      <w:bookmarkEnd w:id="0"/>
      <w:r w:rsidRPr="00D50FDF">
        <w:rPr>
          <w:rFonts w:ascii="Book Antiqua" w:hAnsi="Book Antiqua" w:cs="Arial"/>
          <w:caps/>
        </w:rPr>
        <w:t>)</w:t>
      </w:r>
      <w:r w:rsidR="00E71E4C" w:rsidRPr="00D50FDF">
        <w:rPr>
          <w:rFonts w:ascii="Book Antiqua" w:hAnsi="Book Antiqua" w:cs="Arial"/>
          <w:caps/>
        </w:rPr>
        <w:t xml:space="preserve">  </w:t>
      </w:r>
    </w:p>
    <w:p w:rsidR="00704B61" w:rsidRPr="0074577C" w:rsidRDefault="00704B61" w:rsidP="00704B61">
      <w:pPr>
        <w:jc w:val="right"/>
        <w:rPr>
          <w:rFonts w:ascii="Book Antiqua" w:hAnsi="Book Antiqua" w:cs="Arial"/>
          <w:u w:val="single"/>
        </w:rPr>
      </w:pPr>
      <w:r w:rsidRPr="0074577C">
        <w:rPr>
          <w:rFonts w:ascii="Book Antiqua" w:hAnsi="Book Antiqua" w:cs="Arial"/>
          <w:u w:val="single"/>
        </w:rPr>
        <w:t>Appellant</w:t>
      </w:r>
    </w:p>
    <w:p w:rsidR="00704B61" w:rsidRPr="0074577C" w:rsidRDefault="00DD5071" w:rsidP="00704B61">
      <w:pPr>
        <w:jc w:val="center"/>
        <w:rPr>
          <w:rFonts w:ascii="Book Antiqua" w:hAnsi="Book Antiqua" w:cs="Arial"/>
          <w:b/>
        </w:rPr>
      </w:pPr>
      <w:r w:rsidRPr="0074577C">
        <w:rPr>
          <w:rFonts w:ascii="Book Antiqua" w:hAnsi="Book Antiqua" w:cs="Arial"/>
          <w:b/>
        </w:rPr>
        <w:t>and</w:t>
      </w:r>
    </w:p>
    <w:p w:rsidR="00DD5071" w:rsidRPr="0074577C" w:rsidRDefault="00DD5071" w:rsidP="00704B61">
      <w:pPr>
        <w:jc w:val="center"/>
        <w:rPr>
          <w:rFonts w:ascii="Book Antiqua" w:hAnsi="Book Antiqua" w:cs="Arial"/>
          <w:b/>
        </w:rPr>
      </w:pPr>
    </w:p>
    <w:p w:rsidR="00DD5071" w:rsidRPr="0074577C" w:rsidRDefault="00E71E4C" w:rsidP="00704B61">
      <w:pPr>
        <w:jc w:val="center"/>
        <w:rPr>
          <w:rFonts w:ascii="Book Antiqua" w:hAnsi="Book Antiqua" w:cs="Arial"/>
          <w:b/>
          <w:caps/>
        </w:rPr>
      </w:pPr>
      <w:r w:rsidRPr="0074577C">
        <w:rPr>
          <w:rFonts w:ascii="Book Antiqua" w:hAnsi="Book Antiqua" w:cs="Arial"/>
          <w:b/>
          <w:caps/>
        </w:rPr>
        <w:t xml:space="preserve">Entry Clearance Officer – istanbul  </w:t>
      </w:r>
    </w:p>
    <w:p w:rsidR="00DD5071" w:rsidRPr="0074577C" w:rsidRDefault="00DD5071" w:rsidP="00DD5071">
      <w:pPr>
        <w:jc w:val="right"/>
        <w:rPr>
          <w:rFonts w:ascii="Book Antiqua" w:hAnsi="Book Antiqua" w:cs="Arial"/>
          <w:u w:val="single"/>
        </w:rPr>
      </w:pPr>
      <w:r w:rsidRPr="0074577C">
        <w:rPr>
          <w:rFonts w:ascii="Book Antiqua" w:hAnsi="Book Antiqua" w:cs="Arial"/>
          <w:u w:val="single"/>
        </w:rPr>
        <w:t>Respondent</w:t>
      </w:r>
    </w:p>
    <w:p w:rsidR="00DD5071" w:rsidRPr="0074577C" w:rsidRDefault="00DD5071" w:rsidP="00DD5071">
      <w:pPr>
        <w:rPr>
          <w:rFonts w:ascii="Book Antiqua" w:hAnsi="Book Antiqua" w:cs="Arial"/>
          <w:u w:val="single"/>
        </w:rPr>
      </w:pPr>
    </w:p>
    <w:p w:rsidR="00DD5071" w:rsidRDefault="00DE7DB7" w:rsidP="00DD5071">
      <w:pPr>
        <w:rPr>
          <w:rFonts w:ascii="Book Antiqua" w:hAnsi="Book Antiqua" w:cs="Arial"/>
          <w:b/>
        </w:rPr>
      </w:pPr>
      <w:r w:rsidRPr="0074577C">
        <w:rPr>
          <w:rFonts w:ascii="Book Antiqua" w:hAnsi="Book Antiqua" w:cs="Arial"/>
          <w:b/>
          <w:u w:val="single"/>
        </w:rPr>
        <w:t>Representation</w:t>
      </w:r>
      <w:r w:rsidRPr="0074577C">
        <w:rPr>
          <w:rFonts w:ascii="Book Antiqua" w:hAnsi="Book Antiqua" w:cs="Arial"/>
          <w:b/>
        </w:rPr>
        <w:t>:</w:t>
      </w:r>
    </w:p>
    <w:p w:rsidR="00D50FDF" w:rsidRPr="0074577C" w:rsidRDefault="00D50FDF" w:rsidP="00DD5071">
      <w:pPr>
        <w:rPr>
          <w:rFonts w:ascii="Book Antiqua" w:hAnsi="Book Antiqua" w:cs="Arial"/>
        </w:rPr>
      </w:pPr>
    </w:p>
    <w:p w:rsidR="00DE7DB7" w:rsidRPr="0074577C" w:rsidRDefault="00DE7DB7" w:rsidP="00E71E4C">
      <w:pPr>
        <w:tabs>
          <w:tab w:val="left" w:pos="2520"/>
        </w:tabs>
        <w:ind w:left="2520" w:hanging="2520"/>
        <w:rPr>
          <w:rFonts w:ascii="Book Antiqua" w:hAnsi="Book Antiqua" w:cs="Arial"/>
        </w:rPr>
      </w:pPr>
      <w:r w:rsidRPr="0074577C">
        <w:rPr>
          <w:rFonts w:ascii="Book Antiqua" w:hAnsi="Book Antiqua" w:cs="Arial"/>
        </w:rPr>
        <w:t>For the Appellant:</w:t>
      </w:r>
      <w:r w:rsidRPr="0074577C">
        <w:rPr>
          <w:rFonts w:ascii="Book Antiqua" w:hAnsi="Book Antiqua" w:cs="Arial"/>
        </w:rPr>
        <w:tab/>
      </w:r>
      <w:r w:rsidR="00E71E4C" w:rsidRPr="0074577C">
        <w:rPr>
          <w:rFonts w:ascii="Book Antiqua" w:hAnsi="Book Antiqua" w:cs="Arial"/>
        </w:rPr>
        <w:t xml:space="preserve">Mrs S </w:t>
      </w:r>
      <w:proofErr w:type="spellStart"/>
      <w:r w:rsidR="00E71E4C" w:rsidRPr="0074577C">
        <w:rPr>
          <w:rFonts w:ascii="Book Antiqua" w:hAnsi="Book Antiqua" w:cs="Arial"/>
        </w:rPr>
        <w:t>Bassiri-Dezfouli</w:t>
      </w:r>
      <w:proofErr w:type="spellEnd"/>
      <w:r w:rsidR="00E71E4C" w:rsidRPr="0074577C">
        <w:rPr>
          <w:rFonts w:ascii="Book Antiqua" w:hAnsi="Book Antiqua" w:cs="Arial"/>
        </w:rPr>
        <w:t xml:space="preserve"> of Counsel, instructed by Law Lane Solicitors  </w:t>
      </w:r>
    </w:p>
    <w:p w:rsidR="00DE7DB7" w:rsidRPr="0074577C" w:rsidRDefault="00DE7DB7" w:rsidP="00DE7DB7">
      <w:pPr>
        <w:tabs>
          <w:tab w:val="left" w:pos="2520"/>
        </w:tabs>
        <w:rPr>
          <w:rFonts w:ascii="Book Antiqua" w:hAnsi="Book Antiqua" w:cs="Arial"/>
        </w:rPr>
      </w:pPr>
      <w:r w:rsidRPr="0074577C">
        <w:rPr>
          <w:rFonts w:ascii="Book Antiqua" w:hAnsi="Book Antiqua" w:cs="Arial"/>
        </w:rPr>
        <w:t>For the Respondent:</w:t>
      </w:r>
      <w:r w:rsidRPr="0074577C">
        <w:rPr>
          <w:rFonts w:ascii="Book Antiqua" w:hAnsi="Book Antiqua" w:cs="Arial"/>
        </w:rPr>
        <w:tab/>
      </w:r>
      <w:r w:rsidR="00E71E4C" w:rsidRPr="0074577C">
        <w:rPr>
          <w:rFonts w:ascii="Book Antiqua" w:hAnsi="Book Antiqua" w:cs="Arial"/>
        </w:rPr>
        <w:t xml:space="preserve">Mr S </w:t>
      </w:r>
      <w:proofErr w:type="spellStart"/>
      <w:r w:rsidR="00E71E4C" w:rsidRPr="0074577C">
        <w:rPr>
          <w:rFonts w:ascii="Book Antiqua" w:hAnsi="Book Antiqua" w:cs="Arial"/>
        </w:rPr>
        <w:t>Kotas</w:t>
      </w:r>
      <w:proofErr w:type="spellEnd"/>
      <w:r w:rsidR="00E71E4C" w:rsidRPr="0074577C">
        <w:rPr>
          <w:rFonts w:ascii="Book Antiqua" w:hAnsi="Book Antiqua" w:cs="Arial"/>
        </w:rPr>
        <w:t xml:space="preserve">, Senior Home Office Presenting Officer  </w:t>
      </w:r>
    </w:p>
    <w:p w:rsidR="00DE7DB7" w:rsidRPr="0074577C" w:rsidRDefault="00DE7DB7" w:rsidP="00402B9E">
      <w:pPr>
        <w:tabs>
          <w:tab w:val="left" w:pos="2520"/>
        </w:tabs>
        <w:jc w:val="center"/>
        <w:rPr>
          <w:rFonts w:ascii="Book Antiqua" w:hAnsi="Book Antiqua" w:cs="Arial"/>
        </w:rPr>
      </w:pPr>
    </w:p>
    <w:p w:rsidR="00DE7DB7" w:rsidRPr="0074577C" w:rsidRDefault="00DE7DB7" w:rsidP="00402B9E">
      <w:pPr>
        <w:tabs>
          <w:tab w:val="left" w:pos="2520"/>
        </w:tabs>
        <w:jc w:val="center"/>
        <w:rPr>
          <w:rFonts w:ascii="Book Antiqua" w:hAnsi="Book Antiqua" w:cs="Arial"/>
        </w:rPr>
      </w:pPr>
    </w:p>
    <w:p w:rsidR="00DE7DB7" w:rsidRPr="0074577C" w:rsidRDefault="00F13D39" w:rsidP="00402B9E">
      <w:pPr>
        <w:tabs>
          <w:tab w:val="left" w:pos="2520"/>
        </w:tabs>
        <w:jc w:val="center"/>
        <w:rPr>
          <w:rFonts w:ascii="Book Antiqua" w:hAnsi="Book Antiqua" w:cs="Arial"/>
        </w:rPr>
      </w:pPr>
      <w:r w:rsidRPr="0074577C">
        <w:rPr>
          <w:rFonts w:ascii="Book Antiqua" w:hAnsi="Book Antiqua" w:cs="Arial"/>
          <w:b/>
          <w:u w:val="single"/>
        </w:rPr>
        <w:t xml:space="preserve">DECISION </w:t>
      </w:r>
      <w:r w:rsidR="00402B9E" w:rsidRPr="0074577C">
        <w:rPr>
          <w:rFonts w:ascii="Book Antiqua" w:hAnsi="Book Antiqua" w:cs="Arial"/>
          <w:b/>
          <w:u w:val="single"/>
        </w:rPr>
        <w:t>AND REASONS</w:t>
      </w:r>
      <w:r w:rsidR="00E71E4C" w:rsidRPr="0074577C">
        <w:rPr>
          <w:rFonts w:ascii="Book Antiqua" w:hAnsi="Book Antiqua" w:cs="Arial"/>
          <w:b/>
          <w:u w:val="single"/>
        </w:rPr>
        <w:t xml:space="preserve">  </w:t>
      </w:r>
    </w:p>
    <w:p w:rsidR="00E71E4C" w:rsidRPr="0074577C" w:rsidRDefault="00E71E4C" w:rsidP="00E71E4C">
      <w:pPr>
        <w:spacing w:before="240"/>
        <w:jc w:val="both"/>
        <w:rPr>
          <w:rFonts w:ascii="Book Antiqua" w:hAnsi="Book Antiqua" w:cs="Arial"/>
          <w:b/>
        </w:rPr>
      </w:pPr>
      <w:r w:rsidRPr="0074577C">
        <w:rPr>
          <w:rFonts w:ascii="Book Antiqua" w:hAnsi="Book Antiqua" w:cs="Arial"/>
          <w:b/>
        </w:rPr>
        <w:t xml:space="preserve">Introduction and Background  </w:t>
      </w:r>
    </w:p>
    <w:p w:rsidR="00E71E4C" w:rsidRPr="0074577C" w:rsidRDefault="00E71E4C" w:rsidP="005E5DFF">
      <w:pPr>
        <w:numPr>
          <w:ilvl w:val="0"/>
          <w:numId w:val="3"/>
        </w:numPr>
        <w:spacing w:before="240"/>
        <w:jc w:val="both"/>
        <w:rPr>
          <w:rFonts w:ascii="Book Antiqua" w:hAnsi="Book Antiqua" w:cs="Arial"/>
        </w:rPr>
      </w:pPr>
      <w:r w:rsidRPr="0074577C">
        <w:rPr>
          <w:rFonts w:ascii="Book Antiqua" w:hAnsi="Book Antiqua" w:cs="Arial"/>
        </w:rPr>
        <w:t xml:space="preserve">The Appellant appeals against a decision of Judge A M S Green </w:t>
      </w:r>
      <w:r w:rsidR="0019062E" w:rsidRPr="0074577C">
        <w:rPr>
          <w:rFonts w:ascii="Book Antiqua" w:hAnsi="Book Antiqua" w:cs="Arial"/>
        </w:rPr>
        <w:t xml:space="preserve">(the judge) of the First-tier Tribunal (the </w:t>
      </w:r>
      <w:proofErr w:type="spellStart"/>
      <w:r w:rsidR="0019062E" w:rsidRPr="0074577C">
        <w:rPr>
          <w:rFonts w:ascii="Book Antiqua" w:hAnsi="Book Antiqua" w:cs="Arial"/>
        </w:rPr>
        <w:t>FtT</w:t>
      </w:r>
      <w:proofErr w:type="spellEnd"/>
      <w:r w:rsidR="0019062E" w:rsidRPr="0074577C">
        <w:rPr>
          <w:rFonts w:ascii="Book Antiqua" w:hAnsi="Book Antiqua" w:cs="Arial"/>
        </w:rPr>
        <w:t>) promulgated on 26</w:t>
      </w:r>
      <w:r w:rsidR="0019062E" w:rsidRPr="0074577C">
        <w:rPr>
          <w:rFonts w:ascii="Book Antiqua" w:hAnsi="Book Antiqua" w:cs="Arial"/>
          <w:vertAlign w:val="superscript"/>
        </w:rPr>
        <w:t>th</w:t>
      </w:r>
      <w:r w:rsidR="0019062E" w:rsidRPr="0074577C">
        <w:rPr>
          <w:rFonts w:ascii="Book Antiqua" w:hAnsi="Book Antiqua" w:cs="Arial"/>
        </w:rPr>
        <w:t xml:space="preserve"> April 2018.  </w:t>
      </w:r>
    </w:p>
    <w:p w:rsidR="0019062E" w:rsidRPr="0074577C" w:rsidRDefault="0019062E" w:rsidP="005E5DFF">
      <w:pPr>
        <w:numPr>
          <w:ilvl w:val="0"/>
          <w:numId w:val="3"/>
        </w:numPr>
        <w:spacing w:before="240"/>
        <w:jc w:val="both"/>
        <w:rPr>
          <w:rFonts w:ascii="Book Antiqua" w:hAnsi="Book Antiqua" w:cs="Arial"/>
        </w:rPr>
      </w:pPr>
      <w:r w:rsidRPr="0074577C">
        <w:rPr>
          <w:rFonts w:ascii="Book Antiqua" w:hAnsi="Book Antiqua" w:cs="Arial"/>
        </w:rPr>
        <w:t>The Appellant is a Turkish citizen, born 21</w:t>
      </w:r>
      <w:r w:rsidRPr="0074577C">
        <w:rPr>
          <w:rFonts w:ascii="Book Antiqua" w:hAnsi="Book Antiqua" w:cs="Arial"/>
          <w:vertAlign w:val="superscript"/>
        </w:rPr>
        <w:t>st</w:t>
      </w:r>
      <w:r w:rsidRPr="0074577C">
        <w:rPr>
          <w:rFonts w:ascii="Book Antiqua" w:hAnsi="Book Antiqua" w:cs="Arial"/>
        </w:rPr>
        <w:t xml:space="preserve"> September 1987.  He applied for </w:t>
      </w:r>
      <w:r w:rsidR="004539C9" w:rsidRPr="0074577C">
        <w:rPr>
          <w:rFonts w:ascii="Book Antiqua" w:hAnsi="Book Antiqua" w:cs="Arial"/>
        </w:rPr>
        <w:t xml:space="preserve">Entry Clearance </w:t>
      </w:r>
      <w:r w:rsidRPr="0074577C">
        <w:rPr>
          <w:rFonts w:ascii="Book Antiqua" w:hAnsi="Book Antiqua" w:cs="Arial"/>
        </w:rPr>
        <w:t>to join his wife</w:t>
      </w:r>
      <w:r w:rsidR="00577F00" w:rsidRPr="0074577C">
        <w:rPr>
          <w:rFonts w:ascii="Book Antiqua" w:hAnsi="Book Antiqua" w:cs="Arial"/>
        </w:rPr>
        <w:t>,</w:t>
      </w:r>
      <w:r w:rsidRPr="0074577C">
        <w:rPr>
          <w:rFonts w:ascii="Book Antiqua" w:hAnsi="Book Antiqua" w:cs="Arial"/>
        </w:rPr>
        <w:t xml:space="preserve"> Dilan </w:t>
      </w:r>
      <w:proofErr w:type="spellStart"/>
      <w:r w:rsidRPr="0074577C">
        <w:rPr>
          <w:rFonts w:ascii="Book Antiqua" w:hAnsi="Book Antiqua" w:cs="Arial"/>
        </w:rPr>
        <w:t>Akgul</w:t>
      </w:r>
      <w:proofErr w:type="spellEnd"/>
      <w:r w:rsidRPr="0074577C">
        <w:rPr>
          <w:rFonts w:ascii="Book Antiqua" w:hAnsi="Book Antiqua" w:cs="Arial"/>
        </w:rPr>
        <w:t xml:space="preserve"> (the Sponsor)</w:t>
      </w:r>
      <w:r w:rsidR="000128EB" w:rsidRPr="0074577C">
        <w:rPr>
          <w:rFonts w:ascii="Book Antiqua" w:hAnsi="Book Antiqua" w:cs="Arial"/>
        </w:rPr>
        <w:t xml:space="preserve">.  </w:t>
      </w:r>
    </w:p>
    <w:p w:rsidR="000128EB" w:rsidRPr="0074577C" w:rsidRDefault="000128EB" w:rsidP="005E5DFF">
      <w:pPr>
        <w:numPr>
          <w:ilvl w:val="0"/>
          <w:numId w:val="3"/>
        </w:numPr>
        <w:spacing w:before="240"/>
        <w:jc w:val="both"/>
        <w:rPr>
          <w:rFonts w:ascii="Book Antiqua" w:hAnsi="Book Antiqua" w:cs="Arial"/>
        </w:rPr>
      </w:pPr>
      <w:r w:rsidRPr="0074577C">
        <w:rPr>
          <w:rFonts w:ascii="Book Antiqua" w:hAnsi="Book Antiqua" w:cs="Arial"/>
        </w:rPr>
        <w:t>The application was refused initially on 1</w:t>
      </w:r>
      <w:r w:rsidRPr="0074577C">
        <w:rPr>
          <w:rFonts w:ascii="Book Antiqua" w:hAnsi="Book Antiqua" w:cs="Arial"/>
          <w:vertAlign w:val="superscript"/>
        </w:rPr>
        <w:t>st</w:t>
      </w:r>
      <w:r w:rsidRPr="0074577C">
        <w:rPr>
          <w:rFonts w:ascii="Book Antiqua" w:hAnsi="Book Antiqua" w:cs="Arial"/>
        </w:rPr>
        <w:t xml:space="preserve"> November 2016.  That decision was reviewed and maintained on 9</w:t>
      </w:r>
      <w:r w:rsidRPr="0074577C">
        <w:rPr>
          <w:rFonts w:ascii="Book Antiqua" w:hAnsi="Book Antiqua" w:cs="Arial"/>
          <w:vertAlign w:val="superscript"/>
        </w:rPr>
        <w:t>th</w:t>
      </w:r>
      <w:r w:rsidRPr="0074577C">
        <w:rPr>
          <w:rFonts w:ascii="Book Antiqua" w:hAnsi="Book Antiqua" w:cs="Arial"/>
        </w:rPr>
        <w:t xml:space="preserve"> March 2017.  The Respondent then issued a further refusal decision dated 8</w:t>
      </w:r>
      <w:r w:rsidRPr="0074577C">
        <w:rPr>
          <w:rFonts w:ascii="Book Antiqua" w:hAnsi="Book Antiqua" w:cs="Arial"/>
          <w:vertAlign w:val="superscript"/>
        </w:rPr>
        <w:t>th</w:t>
      </w:r>
      <w:r w:rsidRPr="0074577C">
        <w:rPr>
          <w:rFonts w:ascii="Book Antiqua" w:hAnsi="Book Antiqua" w:cs="Arial"/>
        </w:rPr>
        <w:t xml:space="preserve"> March 2018.  </w:t>
      </w:r>
    </w:p>
    <w:p w:rsidR="000128EB" w:rsidRPr="0074577C" w:rsidRDefault="000128EB" w:rsidP="005E5DFF">
      <w:pPr>
        <w:numPr>
          <w:ilvl w:val="0"/>
          <w:numId w:val="3"/>
        </w:numPr>
        <w:spacing w:before="240"/>
        <w:jc w:val="both"/>
        <w:rPr>
          <w:rFonts w:ascii="Book Antiqua" w:hAnsi="Book Antiqua" w:cs="Arial"/>
        </w:rPr>
      </w:pPr>
      <w:r w:rsidRPr="0074577C">
        <w:rPr>
          <w:rFonts w:ascii="Book Antiqua" w:hAnsi="Book Antiqua" w:cs="Arial"/>
        </w:rPr>
        <w:lastRenderedPageBreak/>
        <w:t xml:space="preserve">The appeal was heard by the </w:t>
      </w:r>
      <w:proofErr w:type="spellStart"/>
      <w:r w:rsidRPr="0074577C">
        <w:rPr>
          <w:rFonts w:ascii="Book Antiqua" w:hAnsi="Book Antiqua" w:cs="Arial"/>
        </w:rPr>
        <w:t>FtT</w:t>
      </w:r>
      <w:proofErr w:type="spellEnd"/>
      <w:r w:rsidR="00DD27FE" w:rsidRPr="0074577C">
        <w:rPr>
          <w:rFonts w:ascii="Book Antiqua" w:hAnsi="Book Antiqua" w:cs="Arial"/>
        </w:rPr>
        <w:t xml:space="preserve"> </w:t>
      </w:r>
      <w:r w:rsidRPr="0074577C">
        <w:rPr>
          <w:rFonts w:ascii="Book Antiqua" w:hAnsi="Book Antiqua" w:cs="Arial"/>
        </w:rPr>
        <w:t>on 12</w:t>
      </w:r>
      <w:r w:rsidRPr="0074577C">
        <w:rPr>
          <w:rFonts w:ascii="Book Antiqua" w:hAnsi="Book Antiqua" w:cs="Arial"/>
          <w:vertAlign w:val="superscript"/>
        </w:rPr>
        <w:t>th</w:t>
      </w:r>
      <w:r w:rsidRPr="0074577C">
        <w:rPr>
          <w:rFonts w:ascii="Book Antiqua" w:hAnsi="Book Antiqua" w:cs="Arial"/>
        </w:rPr>
        <w:t xml:space="preserve"> April 2018 and dismissed.  The judge heard evidence from the Sponsor, her mother and sister.  </w:t>
      </w:r>
    </w:p>
    <w:p w:rsidR="000128EB" w:rsidRPr="0074577C" w:rsidRDefault="000128EB" w:rsidP="005E5DFF">
      <w:pPr>
        <w:numPr>
          <w:ilvl w:val="0"/>
          <w:numId w:val="3"/>
        </w:numPr>
        <w:spacing w:before="240"/>
        <w:jc w:val="both"/>
        <w:rPr>
          <w:rFonts w:ascii="Book Antiqua" w:hAnsi="Book Antiqua" w:cs="Arial"/>
        </w:rPr>
      </w:pPr>
      <w:r w:rsidRPr="0074577C">
        <w:rPr>
          <w:rFonts w:ascii="Book Antiqua" w:hAnsi="Book Antiqua" w:cs="Arial"/>
        </w:rPr>
        <w:t xml:space="preserve">The judge found the Respondent had been correct to refuse the application </w:t>
      </w:r>
      <w:r w:rsidR="005E572E" w:rsidRPr="0074577C">
        <w:rPr>
          <w:rFonts w:ascii="Book Antiqua" w:hAnsi="Book Antiqua" w:cs="Arial"/>
        </w:rPr>
        <w:t xml:space="preserve">for </w:t>
      </w:r>
      <w:r w:rsidR="004539C9" w:rsidRPr="0074577C">
        <w:rPr>
          <w:rFonts w:ascii="Book Antiqua" w:hAnsi="Book Antiqua" w:cs="Arial"/>
        </w:rPr>
        <w:t>Entry Clearance</w:t>
      </w:r>
      <w:r w:rsidR="005E572E" w:rsidRPr="0074577C">
        <w:rPr>
          <w:rFonts w:ascii="Book Antiqua" w:hAnsi="Book Antiqua" w:cs="Arial"/>
        </w:rPr>
        <w:t xml:space="preserve"> with reference to paragraph 320(11), finding that the Appellant had previously contrived in a significant way to frustrate the inten</w:t>
      </w:r>
      <w:r w:rsidR="00E051AB">
        <w:rPr>
          <w:rFonts w:ascii="Book Antiqua" w:hAnsi="Book Antiqua" w:cs="Arial"/>
        </w:rPr>
        <w:t>t</w:t>
      </w:r>
      <w:r w:rsidR="005E572E" w:rsidRPr="0074577C">
        <w:rPr>
          <w:rFonts w:ascii="Book Antiqua" w:hAnsi="Book Antiqua" w:cs="Arial"/>
        </w:rPr>
        <w:t xml:space="preserve">ion of the Immigration Rules.  </w:t>
      </w:r>
    </w:p>
    <w:p w:rsidR="005E572E" w:rsidRPr="0074577C" w:rsidRDefault="005E572E" w:rsidP="005E5DFF">
      <w:pPr>
        <w:numPr>
          <w:ilvl w:val="0"/>
          <w:numId w:val="3"/>
        </w:numPr>
        <w:spacing w:before="240"/>
        <w:jc w:val="both"/>
        <w:rPr>
          <w:rFonts w:ascii="Book Antiqua" w:hAnsi="Book Antiqua" w:cs="Arial"/>
        </w:rPr>
      </w:pPr>
      <w:r w:rsidRPr="0074577C">
        <w:rPr>
          <w:rFonts w:ascii="Book Antiqua" w:hAnsi="Book Antiqua" w:cs="Arial"/>
        </w:rPr>
        <w:t xml:space="preserve">The judge found that the Appellant and Sponsor are in a genuine relationship, and that the Sponsor has dual Turkish and British nationality.  The judge found that it would not be unjustifiably harsh for the Sponsor to reside in Turkey with the Appellant.  The judge noted that the Sponsor had visited the Appellant twelve or thirteen </w:t>
      </w:r>
      <w:r w:rsidR="0086126F" w:rsidRPr="0074577C">
        <w:rPr>
          <w:rFonts w:ascii="Book Antiqua" w:hAnsi="Book Antiqua" w:cs="Arial"/>
        </w:rPr>
        <w:t xml:space="preserve">times in Turkey, and stayed with him at his family home.  </w:t>
      </w:r>
      <w:r w:rsidR="00F72C44" w:rsidRPr="0074577C">
        <w:rPr>
          <w:rFonts w:ascii="Book Antiqua" w:hAnsi="Book Antiqua" w:cs="Arial"/>
        </w:rPr>
        <w:t xml:space="preserve">The judge was aware that the Sponsor has a disability, </w:t>
      </w:r>
      <w:r w:rsidR="00B417D0" w:rsidRPr="0074577C">
        <w:rPr>
          <w:rFonts w:ascii="Book Antiqua" w:hAnsi="Book Antiqua" w:cs="Arial"/>
        </w:rPr>
        <w:t>but</w:t>
      </w:r>
      <w:r w:rsidR="00660531" w:rsidRPr="0074577C">
        <w:rPr>
          <w:rFonts w:ascii="Book Antiqua" w:hAnsi="Book Antiqua" w:cs="Arial"/>
        </w:rPr>
        <w:t xml:space="preserve"> </w:t>
      </w:r>
      <w:r w:rsidR="00B417D0" w:rsidRPr="0074577C">
        <w:rPr>
          <w:rFonts w:ascii="Book Antiqua" w:hAnsi="Book Antiqua" w:cstheme="minorHAnsi"/>
        </w:rPr>
        <w:t>did not accept that she required constant care from her mother, noting that the Sponsor goes out to work.  The judge found that if the Sponsor and Appellant did not wish to live with</w:t>
      </w:r>
      <w:r w:rsidR="00B42F44" w:rsidRPr="0074577C">
        <w:rPr>
          <w:rFonts w:ascii="Book Antiqua" w:hAnsi="Book Antiqua" w:cstheme="minorHAnsi"/>
        </w:rPr>
        <w:t xml:space="preserve"> </w:t>
      </w:r>
      <w:r w:rsidR="00B417D0" w:rsidRPr="0074577C">
        <w:rPr>
          <w:rFonts w:ascii="Book Antiqua" w:hAnsi="Book Antiqua" w:cstheme="minorHAnsi"/>
        </w:rPr>
        <w:t xml:space="preserve">the Appellant’s family in Turkey, they could live elsewhere in Turkey, and the Sponsor living in Turkey would not amount to either insurmountable obstacles or very compelling circumstances.  </w:t>
      </w:r>
    </w:p>
    <w:p w:rsidR="00B417D0" w:rsidRPr="0074577C" w:rsidRDefault="00B417D0" w:rsidP="005E5DFF">
      <w:pPr>
        <w:numPr>
          <w:ilvl w:val="0"/>
          <w:numId w:val="3"/>
        </w:numPr>
        <w:spacing w:before="240"/>
        <w:jc w:val="both"/>
        <w:rPr>
          <w:rFonts w:ascii="Book Antiqua" w:hAnsi="Book Antiqua" w:cs="Arial"/>
        </w:rPr>
      </w:pPr>
      <w:r w:rsidRPr="0074577C">
        <w:rPr>
          <w:rFonts w:ascii="Book Antiqua" w:hAnsi="Book Antiqua" w:cstheme="minorHAnsi"/>
        </w:rPr>
        <w:t xml:space="preserve">The Appellant applied for permission to appeal to the Upper Tribunal.  The grounds, settled by Counsel, are summarised below.  </w:t>
      </w:r>
    </w:p>
    <w:p w:rsidR="00B417D0" w:rsidRPr="0074577C" w:rsidRDefault="00B417D0" w:rsidP="005E5DFF">
      <w:pPr>
        <w:numPr>
          <w:ilvl w:val="0"/>
          <w:numId w:val="3"/>
        </w:numPr>
        <w:spacing w:before="240"/>
        <w:jc w:val="both"/>
        <w:rPr>
          <w:rFonts w:ascii="Book Antiqua" w:hAnsi="Book Antiqua" w:cs="Arial"/>
        </w:rPr>
      </w:pPr>
      <w:r w:rsidRPr="0074577C">
        <w:rPr>
          <w:rFonts w:ascii="Book Antiqua" w:hAnsi="Book Antiqua" w:cstheme="minorHAnsi"/>
        </w:rPr>
        <w:t xml:space="preserve">It was contended that the judge’s decision was perverse.  The judge had indicated in his decision that there were three issues raised by the Respondent in refusing </w:t>
      </w:r>
      <w:r w:rsidR="004539C9" w:rsidRPr="0074577C">
        <w:rPr>
          <w:rFonts w:ascii="Book Antiqua" w:hAnsi="Book Antiqua" w:cstheme="minorHAnsi"/>
        </w:rPr>
        <w:t>Entry Clearance</w:t>
      </w:r>
      <w:r w:rsidRPr="0074577C">
        <w:rPr>
          <w:rFonts w:ascii="Book Antiqua" w:hAnsi="Book Antiqua" w:cstheme="minorHAnsi"/>
        </w:rPr>
        <w:t>, upon which he needed to make a decision.  These were paragraph 320(11), whether there was adequate financial maintenance and accommodation, and whether there were exceptional circumstances such that the application should be allowed outside the Immigration Rules with reference to Article 8 of the 1950 European Convention on Human Rights</w:t>
      </w:r>
      <w:r w:rsidR="00465014" w:rsidRPr="0074577C">
        <w:rPr>
          <w:rFonts w:ascii="Book Antiqua" w:hAnsi="Book Antiqua" w:cstheme="minorHAnsi"/>
        </w:rPr>
        <w:t xml:space="preserve"> (the 1950 Convention).  </w:t>
      </w:r>
    </w:p>
    <w:p w:rsidR="00465014" w:rsidRPr="0074577C" w:rsidRDefault="00465014" w:rsidP="005E5DFF">
      <w:pPr>
        <w:numPr>
          <w:ilvl w:val="0"/>
          <w:numId w:val="3"/>
        </w:numPr>
        <w:spacing w:before="240"/>
        <w:jc w:val="both"/>
        <w:rPr>
          <w:rFonts w:ascii="Book Antiqua" w:hAnsi="Book Antiqua" w:cs="Arial"/>
        </w:rPr>
      </w:pPr>
      <w:r w:rsidRPr="0074577C">
        <w:rPr>
          <w:rFonts w:ascii="Book Antiqua" w:hAnsi="Book Antiqua" w:cstheme="minorHAnsi"/>
        </w:rPr>
        <w:t xml:space="preserve">It was submitted that the judge had materially erred by failing to make any findings </w:t>
      </w:r>
      <w:r w:rsidR="00141243" w:rsidRPr="0074577C">
        <w:rPr>
          <w:rFonts w:ascii="Book Antiqua" w:hAnsi="Book Antiqua" w:cstheme="minorHAnsi"/>
        </w:rPr>
        <w:t xml:space="preserve">on the financial and accommodation issue.  </w:t>
      </w:r>
    </w:p>
    <w:p w:rsidR="00141243" w:rsidRPr="0074577C" w:rsidRDefault="00141243" w:rsidP="005E5DFF">
      <w:pPr>
        <w:numPr>
          <w:ilvl w:val="0"/>
          <w:numId w:val="3"/>
        </w:numPr>
        <w:spacing w:before="240"/>
        <w:jc w:val="both"/>
        <w:rPr>
          <w:rFonts w:ascii="Book Antiqua" w:hAnsi="Book Antiqua" w:cs="Arial"/>
        </w:rPr>
      </w:pPr>
      <w:r w:rsidRPr="0074577C">
        <w:rPr>
          <w:rFonts w:ascii="Book Antiqua" w:hAnsi="Book Antiqua" w:cstheme="minorHAnsi"/>
        </w:rPr>
        <w:t xml:space="preserve">It was contended that the judge had erred in considering paragraph 320(11).  It was submitted that the judge was wrong to conclude that paragraph 320(11) must be applied.  </w:t>
      </w:r>
    </w:p>
    <w:p w:rsidR="00141243" w:rsidRPr="0074577C" w:rsidRDefault="00141243" w:rsidP="005E5DFF">
      <w:pPr>
        <w:numPr>
          <w:ilvl w:val="0"/>
          <w:numId w:val="3"/>
        </w:numPr>
        <w:spacing w:before="240"/>
        <w:jc w:val="both"/>
        <w:rPr>
          <w:rFonts w:ascii="Book Antiqua" w:hAnsi="Book Antiqua" w:cs="Arial"/>
        </w:rPr>
      </w:pPr>
      <w:r w:rsidRPr="0074577C">
        <w:rPr>
          <w:rFonts w:ascii="Book Antiqua" w:hAnsi="Book Antiqua" w:cstheme="minorHAnsi"/>
        </w:rPr>
        <w:t xml:space="preserve"> </w:t>
      </w:r>
      <w:r w:rsidR="002C42E2">
        <w:rPr>
          <w:rFonts w:ascii="Book Antiqua" w:hAnsi="Book Antiqua" w:cstheme="minorHAnsi"/>
        </w:rPr>
        <w:t>I</w:t>
      </w:r>
      <w:r w:rsidRPr="0074577C">
        <w:rPr>
          <w:rFonts w:ascii="Book Antiqua" w:hAnsi="Book Antiqua" w:cstheme="minorHAnsi"/>
        </w:rPr>
        <w:t>t was submitted that the judge</w:t>
      </w:r>
      <w:r w:rsidR="007122FE" w:rsidRPr="0074577C">
        <w:rPr>
          <w:rFonts w:ascii="Book Antiqua" w:hAnsi="Book Antiqua" w:cstheme="minorHAnsi"/>
        </w:rPr>
        <w:t xml:space="preserve"> had erred in considering Article 8 and was </w:t>
      </w:r>
      <w:r w:rsidR="000D62ED" w:rsidRPr="0074577C">
        <w:rPr>
          <w:rFonts w:ascii="Book Antiqua" w:hAnsi="Book Antiqua" w:cstheme="minorHAnsi"/>
        </w:rPr>
        <w:t>wrong</w:t>
      </w:r>
      <w:r w:rsidR="007122FE" w:rsidRPr="0074577C">
        <w:rPr>
          <w:rFonts w:ascii="Book Antiqua" w:hAnsi="Book Antiqua" w:cstheme="minorHAnsi"/>
        </w:rPr>
        <w:t xml:space="preserve"> to </w:t>
      </w:r>
      <w:r w:rsidR="000D62ED" w:rsidRPr="0074577C">
        <w:rPr>
          <w:rFonts w:ascii="Book Antiqua" w:hAnsi="Book Antiqua" w:cstheme="minorHAnsi"/>
        </w:rPr>
        <w:t>conclude that it would be proportionate for the couple to live in Turkey</w:t>
      </w:r>
      <w:r w:rsidR="00A76728" w:rsidRPr="0074577C">
        <w:rPr>
          <w:rFonts w:ascii="Book Antiqua" w:hAnsi="Book Antiqua" w:cstheme="minorHAnsi"/>
        </w:rPr>
        <w:t xml:space="preserve">.  The judge had also erred by failing </w:t>
      </w:r>
      <w:r w:rsidR="00B1190F" w:rsidRPr="0074577C">
        <w:rPr>
          <w:rFonts w:ascii="Book Antiqua" w:hAnsi="Book Antiqua" w:cstheme="minorHAnsi"/>
        </w:rPr>
        <w:t>to make any findings on the Sponsor’s family life in the UK, and had made no findings</w:t>
      </w:r>
      <w:r w:rsidR="004A19A4" w:rsidRPr="0074577C">
        <w:rPr>
          <w:rFonts w:ascii="Book Antiqua" w:hAnsi="Book Antiqua" w:cstheme="minorHAnsi"/>
        </w:rPr>
        <w:t xml:space="preserve"> on evidence given by the Sponsor</w:t>
      </w:r>
      <w:r w:rsidR="00756F86" w:rsidRPr="0074577C">
        <w:rPr>
          <w:rFonts w:ascii="Book Antiqua" w:hAnsi="Book Antiqua" w:cstheme="minorHAnsi"/>
        </w:rPr>
        <w:t xml:space="preserve">’s mother and sister who had attended the hearing.  </w:t>
      </w:r>
    </w:p>
    <w:p w:rsidR="00756F86" w:rsidRPr="0074577C" w:rsidRDefault="00756F86" w:rsidP="005E5DFF">
      <w:pPr>
        <w:numPr>
          <w:ilvl w:val="0"/>
          <w:numId w:val="3"/>
        </w:numPr>
        <w:spacing w:before="240"/>
        <w:jc w:val="both"/>
        <w:rPr>
          <w:rFonts w:ascii="Book Antiqua" w:hAnsi="Book Antiqua" w:cs="Arial"/>
        </w:rPr>
      </w:pPr>
      <w:r w:rsidRPr="0074577C">
        <w:rPr>
          <w:rFonts w:ascii="Book Antiqua" w:hAnsi="Book Antiqua" w:cstheme="minorHAnsi"/>
        </w:rPr>
        <w:t xml:space="preserve">Permission to appeal was granted on limited grounds by Judge </w:t>
      </w:r>
      <w:proofErr w:type="spellStart"/>
      <w:r w:rsidRPr="0074577C">
        <w:rPr>
          <w:rFonts w:ascii="Book Antiqua" w:hAnsi="Book Antiqua" w:cstheme="minorHAnsi"/>
        </w:rPr>
        <w:t>Grimmett</w:t>
      </w:r>
      <w:proofErr w:type="spellEnd"/>
      <w:r w:rsidRPr="0074577C">
        <w:rPr>
          <w:rFonts w:ascii="Book Antiqua" w:hAnsi="Book Antiqua" w:cstheme="minorHAnsi"/>
        </w:rPr>
        <w:t xml:space="preserve"> on 1</w:t>
      </w:r>
      <w:r w:rsidRPr="0074577C">
        <w:rPr>
          <w:rFonts w:ascii="Book Antiqua" w:hAnsi="Book Antiqua" w:cstheme="minorHAnsi"/>
          <w:vertAlign w:val="superscript"/>
        </w:rPr>
        <w:t>st</w:t>
      </w:r>
      <w:r w:rsidRPr="0074577C">
        <w:rPr>
          <w:rFonts w:ascii="Book Antiqua" w:hAnsi="Book Antiqua" w:cstheme="minorHAnsi"/>
        </w:rPr>
        <w:t xml:space="preserve"> June 2008 in the following terms;  </w:t>
      </w:r>
    </w:p>
    <w:p w:rsidR="00756F86" w:rsidRPr="0074577C" w:rsidRDefault="00756F86" w:rsidP="006F6927">
      <w:pPr>
        <w:spacing w:before="240"/>
        <w:ind w:left="1701" w:hanging="567"/>
        <w:jc w:val="both"/>
        <w:rPr>
          <w:rFonts w:ascii="Book Antiqua" w:hAnsi="Book Antiqua" w:cs="Arial"/>
          <w:sz w:val="22"/>
        </w:rPr>
      </w:pPr>
      <w:r w:rsidRPr="0074577C">
        <w:rPr>
          <w:rFonts w:ascii="Book Antiqua" w:hAnsi="Book Antiqua" w:cstheme="minorHAnsi"/>
          <w:sz w:val="22"/>
        </w:rPr>
        <w:t>2</w:t>
      </w:r>
      <w:r w:rsidR="00A7645F" w:rsidRPr="0074577C">
        <w:rPr>
          <w:rFonts w:ascii="Book Antiqua" w:hAnsi="Book Antiqua" w:cstheme="minorHAnsi"/>
          <w:sz w:val="22"/>
        </w:rPr>
        <w:t>.</w:t>
      </w:r>
      <w:r w:rsidRPr="0074577C">
        <w:rPr>
          <w:rFonts w:ascii="Book Antiqua" w:hAnsi="Book Antiqua" w:cstheme="minorHAnsi"/>
          <w:sz w:val="22"/>
        </w:rPr>
        <w:t xml:space="preserve"> </w:t>
      </w:r>
      <w:r w:rsidRPr="0074577C">
        <w:rPr>
          <w:rFonts w:ascii="Book Antiqua" w:hAnsi="Book Antiqua" w:cstheme="minorHAnsi"/>
          <w:sz w:val="22"/>
        </w:rPr>
        <w:tab/>
        <w:t xml:space="preserve">It is arguable that the judge erred in failing to consider the financial situation of the couple which was an issue raised by the Respondent.  I could find no arguable error in the judge’s finding that the Sponsor could live in Turkey with the Appellant as she has dual </w:t>
      </w:r>
      <w:r w:rsidR="00A7645F" w:rsidRPr="0074577C">
        <w:rPr>
          <w:rFonts w:ascii="Book Antiqua" w:hAnsi="Book Antiqua" w:cstheme="minorHAnsi"/>
          <w:sz w:val="22"/>
        </w:rPr>
        <w:t xml:space="preserve">British and Turkish nationality.  </w:t>
      </w:r>
    </w:p>
    <w:p w:rsidR="00E71E4C" w:rsidRPr="0074577C" w:rsidRDefault="00A7645F" w:rsidP="005E5DFF">
      <w:pPr>
        <w:numPr>
          <w:ilvl w:val="0"/>
          <w:numId w:val="3"/>
        </w:numPr>
        <w:spacing w:before="240"/>
        <w:jc w:val="both"/>
        <w:rPr>
          <w:rFonts w:ascii="Book Antiqua" w:hAnsi="Book Antiqua" w:cs="Arial"/>
        </w:rPr>
      </w:pPr>
      <w:r w:rsidRPr="0074577C">
        <w:rPr>
          <w:rFonts w:ascii="Book Antiqua" w:hAnsi="Book Antiqua" w:cs="Arial"/>
        </w:rPr>
        <w:lastRenderedPageBreak/>
        <w:t>The Tribunal sent the grant of permission to the parties</w:t>
      </w:r>
      <w:r w:rsidR="0014498F" w:rsidRPr="0074577C">
        <w:rPr>
          <w:rFonts w:ascii="Book Antiqua" w:hAnsi="Book Antiqua" w:cs="Arial"/>
        </w:rPr>
        <w:t xml:space="preserve">, pointing out that permission had been </w:t>
      </w:r>
      <w:r w:rsidR="00545202" w:rsidRPr="0074577C">
        <w:rPr>
          <w:rFonts w:ascii="Book Antiqua" w:hAnsi="Book Antiqua" w:cs="Arial"/>
        </w:rPr>
        <w:t xml:space="preserve">granted on limited grounds.  The Appellant was advised that he may apply to the Upper Tribunal for permission to appeal on a point of law on any ground on which permission had been refused.  </w:t>
      </w:r>
    </w:p>
    <w:p w:rsidR="00545202" w:rsidRPr="0074577C" w:rsidRDefault="00545202" w:rsidP="005E5DFF">
      <w:pPr>
        <w:numPr>
          <w:ilvl w:val="0"/>
          <w:numId w:val="3"/>
        </w:numPr>
        <w:spacing w:before="240"/>
        <w:jc w:val="both"/>
        <w:rPr>
          <w:rFonts w:ascii="Book Antiqua" w:hAnsi="Book Antiqua" w:cs="Arial"/>
        </w:rPr>
      </w:pPr>
      <w:r w:rsidRPr="0074577C">
        <w:rPr>
          <w:rFonts w:ascii="Book Antiqua" w:hAnsi="Book Antiqua" w:cs="Arial"/>
        </w:rPr>
        <w:t xml:space="preserve">Following the grant of permission directions were issued that there should be a hearing </w:t>
      </w:r>
      <w:r w:rsidR="00464F5E" w:rsidRPr="0074577C">
        <w:rPr>
          <w:rFonts w:ascii="Book Antiqua" w:hAnsi="Book Antiqua" w:cs="Arial"/>
        </w:rPr>
        <w:t xml:space="preserve">before the Upper Tribunal to ascertain whether the </w:t>
      </w:r>
      <w:proofErr w:type="spellStart"/>
      <w:r w:rsidR="00464F5E" w:rsidRPr="0074577C">
        <w:rPr>
          <w:rFonts w:ascii="Book Antiqua" w:hAnsi="Book Antiqua" w:cs="Arial"/>
        </w:rPr>
        <w:t>FtT</w:t>
      </w:r>
      <w:proofErr w:type="spellEnd"/>
      <w:r w:rsidR="00464F5E" w:rsidRPr="0074577C">
        <w:rPr>
          <w:rFonts w:ascii="Book Antiqua" w:hAnsi="Book Antiqua" w:cs="Arial"/>
        </w:rPr>
        <w:t xml:space="preserve"> had erred in law such that the decision should be set aside.  The Respondent did not lodge a response pursuant to </w:t>
      </w:r>
      <w:r w:rsidR="00BE5A4B" w:rsidRPr="0074577C">
        <w:rPr>
          <w:rFonts w:ascii="Book Antiqua" w:hAnsi="Book Antiqua" w:cs="Arial"/>
        </w:rPr>
        <w:t xml:space="preserve">rule </w:t>
      </w:r>
      <w:r w:rsidR="00961694" w:rsidRPr="0074577C">
        <w:rPr>
          <w:rFonts w:ascii="Book Antiqua" w:hAnsi="Book Antiqua" w:cs="Arial"/>
        </w:rPr>
        <w:t>24 of the Tribunal Procedure (Upper Tribunal) Rules 2008</w:t>
      </w:r>
      <w:r w:rsidR="00CA7F7E" w:rsidRPr="0074577C">
        <w:rPr>
          <w:rFonts w:ascii="Book Antiqua" w:hAnsi="Book Antiqua" w:cs="Arial"/>
        </w:rPr>
        <w:t xml:space="preserve">.  </w:t>
      </w:r>
    </w:p>
    <w:p w:rsidR="00CA7F7E" w:rsidRPr="0074577C" w:rsidRDefault="00CA7F7E" w:rsidP="00CA7F7E">
      <w:pPr>
        <w:spacing w:before="240"/>
        <w:jc w:val="both"/>
        <w:rPr>
          <w:rFonts w:ascii="Book Antiqua" w:hAnsi="Book Antiqua" w:cs="Arial"/>
          <w:b/>
        </w:rPr>
      </w:pPr>
      <w:r w:rsidRPr="0074577C">
        <w:rPr>
          <w:rFonts w:ascii="Book Antiqua" w:hAnsi="Book Antiqua" w:cs="Arial"/>
          <w:b/>
        </w:rPr>
        <w:t xml:space="preserve">The Upper Tribunal Hearing  </w:t>
      </w:r>
    </w:p>
    <w:p w:rsidR="00CA7F7E" w:rsidRPr="0074577C" w:rsidRDefault="00CA7F7E" w:rsidP="005E5DFF">
      <w:pPr>
        <w:numPr>
          <w:ilvl w:val="0"/>
          <w:numId w:val="3"/>
        </w:numPr>
        <w:spacing w:before="240"/>
        <w:jc w:val="both"/>
        <w:rPr>
          <w:rFonts w:ascii="Book Antiqua" w:hAnsi="Book Antiqua" w:cs="Arial"/>
        </w:rPr>
      </w:pPr>
      <w:r w:rsidRPr="0074577C">
        <w:rPr>
          <w:rFonts w:ascii="Book Antiqua" w:hAnsi="Book Antiqua" w:cs="Arial"/>
        </w:rPr>
        <w:t xml:space="preserve">Mrs </w:t>
      </w:r>
      <w:proofErr w:type="spellStart"/>
      <w:r w:rsidRPr="0074577C">
        <w:rPr>
          <w:rFonts w:ascii="Book Antiqua" w:hAnsi="Book Antiqua" w:cs="Arial"/>
        </w:rPr>
        <w:t>Bassiri-Dezfouli</w:t>
      </w:r>
      <w:proofErr w:type="spellEnd"/>
      <w:r w:rsidR="00A91820" w:rsidRPr="0074577C">
        <w:rPr>
          <w:rFonts w:ascii="Book Antiqua" w:hAnsi="Book Antiqua" w:cs="Arial"/>
        </w:rPr>
        <w:t xml:space="preserve"> confirmed that there had been no further application for permission to appeal to the Upper Tribunal</w:t>
      </w:r>
      <w:r w:rsidR="004D29B1" w:rsidRPr="0074577C">
        <w:rPr>
          <w:rFonts w:ascii="Book Antiqua" w:hAnsi="Book Antiqua" w:cs="Arial"/>
        </w:rPr>
        <w:t>, in respect of the grounds upon which permission had been refused</w:t>
      </w:r>
      <w:r w:rsidR="00DF01D3" w:rsidRPr="0074577C">
        <w:rPr>
          <w:rFonts w:ascii="Book Antiqua" w:hAnsi="Book Antiqua" w:cs="Arial"/>
        </w:rPr>
        <w:t xml:space="preserve">.  </w:t>
      </w:r>
    </w:p>
    <w:p w:rsidR="00DF01D3" w:rsidRPr="0074577C" w:rsidRDefault="00DF01D3" w:rsidP="005E5DFF">
      <w:pPr>
        <w:numPr>
          <w:ilvl w:val="0"/>
          <w:numId w:val="3"/>
        </w:numPr>
        <w:spacing w:before="240"/>
        <w:jc w:val="both"/>
        <w:rPr>
          <w:rFonts w:ascii="Book Antiqua" w:hAnsi="Book Antiqua" w:cs="Arial"/>
        </w:rPr>
      </w:pPr>
      <w:r w:rsidRPr="0074577C">
        <w:rPr>
          <w:rFonts w:ascii="Book Antiqua" w:hAnsi="Book Antiqua" w:cs="Arial"/>
        </w:rPr>
        <w:t xml:space="preserve">It was noted that the grant of permission </w:t>
      </w:r>
      <w:r w:rsidR="00B07598" w:rsidRPr="0074577C">
        <w:rPr>
          <w:rFonts w:ascii="Book Antiqua" w:hAnsi="Book Antiqua" w:cs="Arial"/>
        </w:rPr>
        <w:t>expressly found that there was an arguable error</w:t>
      </w:r>
      <w:r w:rsidR="00B7246E" w:rsidRPr="0074577C">
        <w:rPr>
          <w:rFonts w:ascii="Book Antiqua" w:hAnsi="Book Antiqua" w:cs="Arial"/>
        </w:rPr>
        <w:t>,</w:t>
      </w:r>
      <w:r w:rsidR="00B07598" w:rsidRPr="0074577C">
        <w:rPr>
          <w:rFonts w:ascii="Book Antiqua" w:hAnsi="Book Antiqua" w:cs="Arial"/>
        </w:rPr>
        <w:t xml:space="preserve"> in that the judge failed to consider the financial situation of the couple, but there was no arguable error in the finding that the Sponsor could live with the Appellant in Turkey.  There was however no reference at all to paragraph 320(11) which was one of the grounds upon which permission to appeal was sought.  </w:t>
      </w:r>
    </w:p>
    <w:p w:rsidR="00B07598" w:rsidRPr="0074577C" w:rsidRDefault="00B07598" w:rsidP="005E5DFF">
      <w:pPr>
        <w:numPr>
          <w:ilvl w:val="0"/>
          <w:numId w:val="3"/>
        </w:numPr>
        <w:spacing w:before="240"/>
        <w:jc w:val="both"/>
        <w:rPr>
          <w:rFonts w:ascii="Book Antiqua" w:hAnsi="Book Antiqua" w:cs="Arial"/>
        </w:rPr>
      </w:pPr>
      <w:r w:rsidRPr="0074577C">
        <w:rPr>
          <w:rFonts w:ascii="Book Antiqua" w:hAnsi="Book Antiqua" w:cs="Arial"/>
        </w:rPr>
        <w:t xml:space="preserve">Mr </w:t>
      </w:r>
      <w:proofErr w:type="spellStart"/>
      <w:r w:rsidRPr="0074577C">
        <w:rPr>
          <w:rFonts w:ascii="Book Antiqua" w:hAnsi="Book Antiqua" w:cs="Arial"/>
        </w:rPr>
        <w:t>Kotas</w:t>
      </w:r>
      <w:proofErr w:type="spellEnd"/>
      <w:r w:rsidRPr="0074577C">
        <w:rPr>
          <w:rFonts w:ascii="Book Antiqua" w:hAnsi="Book Antiqua" w:cs="Arial"/>
        </w:rPr>
        <w:t xml:space="preserve"> indicated that he would have no objection to Mrs </w:t>
      </w:r>
      <w:proofErr w:type="spellStart"/>
      <w:r w:rsidRPr="0074577C">
        <w:rPr>
          <w:rFonts w:ascii="Book Antiqua" w:hAnsi="Book Antiqua" w:cs="Arial"/>
        </w:rPr>
        <w:t>Bassiri-Dezfouli</w:t>
      </w:r>
      <w:proofErr w:type="spellEnd"/>
      <w:r w:rsidRPr="0074577C">
        <w:rPr>
          <w:rFonts w:ascii="Book Antiqua" w:hAnsi="Book Antiqua" w:cs="Arial"/>
        </w:rPr>
        <w:t xml:space="preserve"> making submissions in relation to paragraph 320(11) as permission to appeal on that point had not expressly been refused.  </w:t>
      </w:r>
    </w:p>
    <w:p w:rsidR="00B07598" w:rsidRPr="0074577C" w:rsidRDefault="00B07598" w:rsidP="005E5DFF">
      <w:pPr>
        <w:numPr>
          <w:ilvl w:val="0"/>
          <w:numId w:val="3"/>
        </w:numPr>
        <w:spacing w:before="240"/>
        <w:jc w:val="both"/>
        <w:rPr>
          <w:rFonts w:ascii="Book Antiqua" w:hAnsi="Book Antiqua" w:cs="Arial"/>
        </w:rPr>
      </w:pPr>
      <w:r w:rsidRPr="0074577C">
        <w:rPr>
          <w:rFonts w:ascii="Book Antiqua" w:hAnsi="Book Antiqua" w:cs="Arial"/>
        </w:rPr>
        <w:t xml:space="preserve">I then heard submissions </w:t>
      </w:r>
      <w:r w:rsidR="00567A3E" w:rsidRPr="0074577C">
        <w:rPr>
          <w:rFonts w:ascii="Book Antiqua" w:hAnsi="Book Antiqua" w:cs="Arial"/>
        </w:rPr>
        <w:t>on behalf of the Appellant.  I was asked to find a material error of law in that the judge had made no findings whatsoever in relat</w:t>
      </w:r>
      <w:r w:rsidR="007C739D" w:rsidRPr="0074577C">
        <w:rPr>
          <w:rFonts w:ascii="Book Antiqua" w:hAnsi="Book Antiqua" w:cs="Arial"/>
        </w:rPr>
        <w:t xml:space="preserve">ion to finance or accommodation.  </w:t>
      </w:r>
    </w:p>
    <w:p w:rsidR="007C739D" w:rsidRPr="0074577C" w:rsidRDefault="007C739D" w:rsidP="005E5DFF">
      <w:pPr>
        <w:numPr>
          <w:ilvl w:val="0"/>
          <w:numId w:val="3"/>
        </w:numPr>
        <w:spacing w:before="240"/>
        <w:jc w:val="both"/>
        <w:rPr>
          <w:rFonts w:ascii="Book Antiqua" w:hAnsi="Book Antiqua" w:cs="Arial"/>
        </w:rPr>
      </w:pPr>
      <w:r w:rsidRPr="0074577C">
        <w:rPr>
          <w:rFonts w:ascii="Book Antiqua" w:hAnsi="Book Antiqua" w:cs="Arial"/>
        </w:rPr>
        <w:t xml:space="preserve">I </w:t>
      </w:r>
      <w:r w:rsidR="00A9429D" w:rsidRPr="0074577C">
        <w:rPr>
          <w:rFonts w:ascii="Book Antiqua" w:hAnsi="Book Antiqua" w:cs="Arial"/>
        </w:rPr>
        <w:t xml:space="preserve">was also asked to find a material error of law in that the judge had made no findings on the evidence of the Sponsor’s mother and sister.  </w:t>
      </w:r>
    </w:p>
    <w:p w:rsidR="00A9429D" w:rsidRPr="0074577C" w:rsidRDefault="00A9429D" w:rsidP="005E5DFF">
      <w:pPr>
        <w:numPr>
          <w:ilvl w:val="0"/>
          <w:numId w:val="3"/>
        </w:numPr>
        <w:spacing w:before="240"/>
        <w:jc w:val="both"/>
        <w:rPr>
          <w:rFonts w:ascii="Book Antiqua" w:hAnsi="Book Antiqua" w:cs="Arial"/>
        </w:rPr>
      </w:pPr>
      <w:r w:rsidRPr="0074577C">
        <w:rPr>
          <w:rFonts w:ascii="Book Antiqua" w:hAnsi="Book Antiqua" w:cs="Arial"/>
        </w:rPr>
        <w:t xml:space="preserve">I was asked </w:t>
      </w:r>
      <w:r w:rsidR="00F02D87" w:rsidRPr="0074577C">
        <w:rPr>
          <w:rFonts w:ascii="Book Antiqua" w:hAnsi="Book Antiqua" w:cs="Arial"/>
        </w:rPr>
        <w:t xml:space="preserve">to find that the judge erred in his consideration of paragraph 320(11) for the reasons given in the grounds seeking permission to appeal.  The judge had not taken into account that the application of paragraph 320(11) could discourage people from leaving the UK voluntarily and then applying for </w:t>
      </w:r>
      <w:r w:rsidR="004539C9" w:rsidRPr="0074577C">
        <w:rPr>
          <w:rFonts w:ascii="Book Antiqua" w:hAnsi="Book Antiqua" w:cs="Arial"/>
        </w:rPr>
        <w:t xml:space="preserve">Entry Clearance </w:t>
      </w:r>
      <w:r w:rsidR="00F02D87" w:rsidRPr="0074577C">
        <w:rPr>
          <w:rFonts w:ascii="Book Antiqua" w:hAnsi="Book Antiqua" w:cs="Arial"/>
        </w:rPr>
        <w:t xml:space="preserve">through the proper channels.  </w:t>
      </w:r>
    </w:p>
    <w:p w:rsidR="00F02D87" w:rsidRPr="0074577C" w:rsidRDefault="00F02D87" w:rsidP="005E5DFF">
      <w:pPr>
        <w:numPr>
          <w:ilvl w:val="0"/>
          <w:numId w:val="3"/>
        </w:numPr>
        <w:spacing w:before="240"/>
        <w:jc w:val="both"/>
        <w:rPr>
          <w:rFonts w:ascii="Book Antiqua" w:hAnsi="Book Antiqua" w:cs="Arial"/>
        </w:rPr>
      </w:pPr>
      <w:r w:rsidRPr="0074577C">
        <w:rPr>
          <w:rFonts w:ascii="Book Antiqua" w:hAnsi="Book Antiqua" w:cs="Arial"/>
        </w:rPr>
        <w:t xml:space="preserve">Mr </w:t>
      </w:r>
      <w:proofErr w:type="spellStart"/>
      <w:r w:rsidRPr="0074577C">
        <w:rPr>
          <w:rFonts w:ascii="Book Antiqua" w:hAnsi="Book Antiqua" w:cs="Arial"/>
        </w:rPr>
        <w:t>Kotas</w:t>
      </w:r>
      <w:proofErr w:type="spellEnd"/>
      <w:r w:rsidRPr="0074577C">
        <w:rPr>
          <w:rFonts w:ascii="Book Antiqua" w:hAnsi="Book Antiqua" w:cs="Arial"/>
        </w:rPr>
        <w:t xml:space="preserve"> accepted that the judge had erred in law in failing to make any findings on finance and accommodation but submitted that the error was not material.  </w:t>
      </w:r>
    </w:p>
    <w:p w:rsidR="00F02D87" w:rsidRPr="0074577C" w:rsidRDefault="00F02D87" w:rsidP="005E5DFF">
      <w:pPr>
        <w:numPr>
          <w:ilvl w:val="0"/>
          <w:numId w:val="3"/>
        </w:numPr>
        <w:spacing w:before="240"/>
        <w:jc w:val="both"/>
        <w:rPr>
          <w:rFonts w:ascii="Book Antiqua" w:hAnsi="Book Antiqua" w:cs="Arial"/>
        </w:rPr>
      </w:pPr>
      <w:r w:rsidRPr="0074577C">
        <w:rPr>
          <w:rFonts w:ascii="Book Antiqua" w:hAnsi="Book Antiqua" w:cs="Arial"/>
        </w:rPr>
        <w:t xml:space="preserve">Mr </w:t>
      </w:r>
      <w:proofErr w:type="spellStart"/>
      <w:r w:rsidRPr="0074577C">
        <w:rPr>
          <w:rFonts w:ascii="Book Antiqua" w:hAnsi="Book Antiqua" w:cs="Arial"/>
        </w:rPr>
        <w:t>Kotas</w:t>
      </w:r>
      <w:proofErr w:type="spellEnd"/>
      <w:r w:rsidRPr="0074577C">
        <w:rPr>
          <w:rFonts w:ascii="Book Antiqua" w:hAnsi="Book Antiqua" w:cs="Arial"/>
        </w:rPr>
        <w:t xml:space="preserve"> submitted that the findings made by the judge on paragraph 320(11) were una</w:t>
      </w:r>
      <w:r w:rsidR="001E331F" w:rsidRPr="0074577C">
        <w:rPr>
          <w:rFonts w:ascii="Book Antiqua" w:hAnsi="Book Antiqua" w:cs="Arial"/>
        </w:rPr>
        <w:t>ssa</w:t>
      </w:r>
      <w:r w:rsidRPr="0074577C">
        <w:rPr>
          <w:rFonts w:ascii="Book Antiqua" w:hAnsi="Book Antiqua" w:cs="Arial"/>
        </w:rPr>
        <w:t>ilable</w:t>
      </w:r>
      <w:r w:rsidRPr="0074577C">
        <w:rPr>
          <w:rFonts w:ascii="Book Antiqua" w:hAnsi="Book Antiqua" w:cstheme="minorHAnsi"/>
        </w:rPr>
        <w:t xml:space="preserve">.  The judge had taken into account the </w:t>
      </w:r>
      <w:r w:rsidR="00F93D51" w:rsidRPr="0074577C">
        <w:rPr>
          <w:rFonts w:ascii="Book Antiqua" w:hAnsi="Book Antiqua" w:cstheme="minorHAnsi"/>
        </w:rPr>
        <w:t xml:space="preserve">appropriate case law, and was aware of the need to </w:t>
      </w:r>
      <w:r w:rsidR="00F503E2" w:rsidRPr="0074577C">
        <w:rPr>
          <w:rFonts w:ascii="Book Antiqua" w:hAnsi="Book Antiqua" w:cstheme="minorHAnsi"/>
        </w:rPr>
        <w:t xml:space="preserve">exercise care in applying paragraph 320(11).  It was submitted that the judge had directed himself correctly in law and made findings which were open to him on the evidence.  </w:t>
      </w:r>
    </w:p>
    <w:p w:rsidR="00834E1E" w:rsidRDefault="00834E1E" w:rsidP="00F503E2">
      <w:pPr>
        <w:spacing w:before="240"/>
        <w:jc w:val="both"/>
        <w:rPr>
          <w:rFonts w:ascii="Book Antiqua" w:hAnsi="Book Antiqua" w:cs="Arial"/>
          <w:b/>
        </w:rPr>
      </w:pPr>
    </w:p>
    <w:p w:rsidR="00F503E2" w:rsidRPr="0074577C" w:rsidRDefault="00F503E2" w:rsidP="00F503E2">
      <w:pPr>
        <w:spacing w:before="240"/>
        <w:jc w:val="both"/>
        <w:rPr>
          <w:rFonts w:ascii="Book Antiqua" w:hAnsi="Book Antiqua" w:cs="Arial"/>
          <w:b/>
        </w:rPr>
      </w:pPr>
      <w:bookmarkStart w:id="1" w:name="_GoBack"/>
      <w:bookmarkEnd w:id="1"/>
      <w:r w:rsidRPr="0074577C">
        <w:rPr>
          <w:rFonts w:ascii="Book Antiqua" w:hAnsi="Book Antiqua" w:cs="Arial"/>
          <w:b/>
        </w:rPr>
        <w:lastRenderedPageBreak/>
        <w:t xml:space="preserve">My Conclusions and Reasons  </w:t>
      </w:r>
    </w:p>
    <w:p w:rsidR="00F503E2" w:rsidRPr="0074577C" w:rsidRDefault="00F503E2" w:rsidP="005E5DFF">
      <w:pPr>
        <w:numPr>
          <w:ilvl w:val="0"/>
          <w:numId w:val="3"/>
        </w:numPr>
        <w:spacing w:before="240"/>
        <w:jc w:val="both"/>
        <w:rPr>
          <w:rFonts w:ascii="Book Antiqua" w:hAnsi="Book Antiqua" w:cs="Arial"/>
        </w:rPr>
      </w:pPr>
      <w:r w:rsidRPr="0074577C">
        <w:rPr>
          <w:rFonts w:ascii="Book Antiqua" w:hAnsi="Book Antiqua" w:cs="Arial"/>
        </w:rPr>
        <w:t>The judge made no findings either in favour of the Appellant or adverse to the Appellant in relation to finance and accommodation.  This is an error of law as this was an issue raised as a reason for refusal by the Respondent</w:t>
      </w:r>
      <w:r w:rsidR="002B086C" w:rsidRPr="0074577C">
        <w:rPr>
          <w:rFonts w:ascii="Book Antiqua" w:hAnsi="Book Antiqua" w:cs="Arial"/>
        </w:rPr>
        <w:t xml:space="preserve">.  I do not however find that the error is material for the following reasons.  </w:t>
      </w:r>
    </w:p>
    <w:p w:rsidR="002B086C" w:rsidRPr="0074577C" w:rsidRDefault="002B086C" w:rsidP="005E5DFF">
      <w:pPr>
        <w:numPr>
          <w:ilvl w:val="0"/>
          <w:numId w:val="3"/>
        </w:numPr>
        <w:spacing w:before="240"/>
        <w:jc w:val="both"/>
        <w:rPr>
          <w:rFonts w:ascii="Book Antiqua" w:hAnsi="Book Antiqua" w:cs="Arial"/>
        </w:rPr>
      </w:pPr>
      <w:r w:rsidRPr="0074577C">
        <w:rPr>
          <w:rFonts w:ascii="Book Antiqua" w:hAnsi="Book Antiqua" w:cs="Arial"/>
        </w:rPr>
        <w:t xml:space="preserve">The judge did not err </w:t>
      </w:r>
      <w:r w:rsidR="008A4C30" w:rsidRPr="0074577C">
        <w:rPr>
          <w:rFonts w:ascii="Book Antiqua" w:hAnsi="Book Antiqua" w:cs="Arial"/>
        </w:rPr>
        <w:t>in concluding that the Appellant and Sponsor could live together in Turkey.  Permission to appeal was not granted on that point</w:t>
      </w:r>
      <w:r w:rsidR="006338E3" w:rsidRPr="0074577C">
        <w:rPr>
          <w:rFonts w:ascii="Book Antiqua" w:hAnsi="Book Antiqua" w:cs="Arial"/>
        </w:rPr>
        <w:t xml:space="preserve">.  </w:t>
      </w:r>
    </w:p>
    <w:p w:rsidR="006338E3" w:rsidRPr="0074577C" w:rsidRDefault="006338E3" w:rsidP="005E5DFF">
      <w:pPr>
        <w:numPr>
          <w:ilvl w:val="0"/>
          <w:numId w:val="3"/>
        </w:numPr>
        <w:spacing w:before="240"/>
        <w:jc w:val="both"/>
        <w:rPr>
          <w:rFonts w:ascii="Book Antiqua" w:hAnsi="Book Antiqua" w:cs="Arial"/>
        </w:rPr>
      </w:pPr>
      <w:r w:rsidRPr="0074577C">
        <w:rPr>
          <w:rFonts w:ascii="Book Antiqua" w:hAnsi="Book Antiqua" w:cs="Arial"/>
        </w:rPr>
        <w:t>I do not find the judge erred in consideration of paragraph 320(11).  The judge at paragraph 13 sets out paragraph 320(11).</w:t>
      </w:r>
      <w:r w:rsidR="00714B96" w:rsidRPr="0074577C">
        <w:rPr>
          <w:rFonts w:ascii="Book Antiqua" w:hAnsi="Book Antiqua" w:cs="Arial"/>
        </w:rPr>
        <w:t xml:space="preserve">  </w:t>
      </w:r>
      <w:r w:rsidRPr="0074577C">
        <w:rPr>
          <w:rFonts w:ascii="Book Antiqua" w:hAnsi="Book Antiqua" w:cs="Arial"/>
        </w:rPr>
        <w:t xml:space="preserve">At paragraph 14 the judge then refers to </w:t>
      </w:r>
      <w:r w:rsidRPr="0074577C">
        <w:rPr>
          <w:rFonts w:ascii="Book Antiqua" w:hAnsi="Book Antiqua" w:cs="Arial"/>
          <w:u w:val="single"/>
        </w:rPr>
        <w:t>PS</w:t>
      </w:r>
      <w:r w:rsidRPr="0074577C">
        <w:rPr>
          <w:rFonts w:ascii="Book Antiqua" w:hAnsi="Book Antiqua" w:cs="Arial"/>
        </w:rPr>
        <w:t xml:space="preserve"> India [2010] UKUT 440 (IAC)</w:t>
      </w:r>
      <w:r w:rsidR="00CA283B" w:rsidRPr="0074577C">
        <w:rPr>
          <w:rFonts w:ascii="Book Antiqua" w:hAnsi="Book Antiqua" w:cs="Arial"/>
        </w:rPr>
        <w:t xml:space="preserve"> which is the appropriate case law to be considered</w:t>
      </w:r>
      <w:r w:rsidR="00A258C7" w:rsidRPr="0074577C">
        <w:rPr>
          <w:rFonts w:ascii="Book Antiqua" w:hAnsi="Book Antiqua" w:cs="Arial"/>
        </w:rPr>
        <w:t xml:space="preserve"> </w:t>
      </w:r>
      <w:r w:rsidR="00301E57" w:rsidRPr="0074577C">
        <w:rPr>
          <w:rFonts w:ascii="Book Antiqua" w:hAnsi="Book Antiqua" w:cs="Arial"/>
        </w:rPr>
        <w:t>in relation to paragraph 320(11).  The judge records part of the guidance in that decision, in that great care must be exercised in deciding to apply paragraph 320(11) to a family member, and must ensure that the aggravating circumstances relied upon are truly aggravating</w:t>
      </w:r>
      <w:r w:rsidR="00557CE8" w:rsidRPr="0074577C">
        <w:rPr>
          <w:rFonts w:ascii="Book Antiqua" w:hAnsi="Book Antiqua" w:cs="Arial"/>
        </w:rPr>
        <w:t>,</w:t>
      </w:r>
      <w:r w:rsidR="00301E57" w:rsidRPr="0074577C">
        <w:rPr>
          <w:rFonts w:ascii="Book Antiqua" w:hAnsi="Book Antiqua" w:cs="Arial"/>
        </w:rPr>
        <w:t xml:space="preserve"> otherwise there is a risk of discouraging migrants from making applications to regularise their stay, which would be contrary to the public interest.  </w:t>
      </w:r>
    </w:p>
    <w:p w:rsidR="00301E57" w:rsidRPr="0074577C" w:rsidRDefault="00301E57" w:rsidP="005E5DFF">
      <w:pPr>
        <w:numPr>
          <w:ilvl w:val="0"/>
          <w:numId w:val="3"/>
        </w:numPr>
        <w:spacing w:before="240"/>
        <w:jc w:val="both"/>
        <w:rPr>
          <w:rFonts w:ascii="Book Antiqua" w:hAnsi="Book Antiqua" w:cs="Arial"/>
        </w:rPr>
      </w:pPr>
      <w:r w:rsidRPr="0074577C">
        <w:rPr>
          <w:rFonts w:ascii="Book Antiqua" w:hAnsi="Book Antiqua" w:cs="Arial"/>
        </w:rPr>
        <w:t xml:space="preserve">This demonstrates that the judge is aware of the need to exercise care, and is aware of the correct guidance.  The judge goes on to set out an extract from the Entry Clearance guidance in relation to paragraph 320(11).  </w:t>
      </w:r>
    </w:p>
    <w:p w:rsidR="00CA3457" w:rsidRPr="0074577C" w:rsidRDefault="00CA3457" w:rsidP="005E5DFF">
      <w:pPr>
        <w:numPr>
          <w:ilvl w:val="0"/>
          <w:numId w:val="3"/>
        </w:numPr>
        <w:spacing w:before="240"/>
        <w:jc w:val="both"/>
        <w:rPr>
          <w:rFonts w:ascii="Book Antiqua" w:hAnsi="Book Antiqua" w:cs="Arial"/>
        </w:rPr>
      </w:pPr>
      <w:r w:rsidRPr="0074577C">
        <w:rPr>
          <w:rFonts w:ascii="Book Antiqua" w:hAnsi="Book Antiqua" w:cs="Arial"/>
        </w:rPr>
        <w:t xml:space="preserve">The judge accepts that the Appellant and Sponsor are in a genuine and subsisting relationship and they have family life.  </w:t>
      </w:r>
      <w:proofErr w:type="gramStart"/>
      <w:r w:rsidRPr="0074577C">
        <w:rPr>
          <w:rFonts w:ascii="Book Antiqua" w:hAnsi="Book Antiqua" w:cs="Arial"/>
        </w:rPr>
        <w:t>However</w:t>
      </w:r>
      <w:proofErr w:type="gramEnd"/>
      <w:r w:rsidRPr="0074577C">
        <w:rPr>
          <w:rFonts w:ascii="Book Antiqua" w:hAnsi="Book Antiqua" w:cs="Arial"/>
        </w:rPr>
        <w:t xml:space="preserve"> the judge records that the Appellant in the past has been an illegal entrant to the UK.  In </w:t>
      </w:r>
      <w:proofErr w:type="gramStart"/>
      <w:r w:rsidRPr="0074577C">
        <w:rPr>
          <w:rFonts w:ascii="Book Antiqua" w:hAnsi="Book Antiqua" w:cs="Arial"/>
        </w:rPr>
        <w:t>addition</w:t>
      </w:r>
      <w:proofErr w:type="gramEnd"/>
      <w:r w:rsidRPr="0074577C">
        <w:rPr>
          <w:rFonts w:ascii="Book Antiqua" w:hAnsi="Book Antiqua" w:cs="Arial"/>
        </w:rPr>
        <w:t xml:space="preserve"> the judge found aggravating circumstances, those being, and it is not disputed, that the Appellant used a false Greek passport under an assumed identity.</w:t>
      </w:r>
      <w:r w:rsidR="00CA52D2" w:rsidRPr="0074577C">
        <w:rPr>
          <w:rFonts w:ascii="Book Antiqua" w:hAnsi="Book Antiqua" w:cs="Arial"/>
        </w:rPr>
        <w:t xml:space="preserve">  </w:t>
      </w:r>
      <w:r w:rsidRPr="0074577C">
        <w:rPr>
          <w:rFonts w:ascii="Book Antiqua" w:hAnsi="Book Antiqua" w:cs="Arial"/>
        </w:rPr>
        <w:t>The judge found that the Appellant did not cooperate</w:t>
      </w:r>
      <w:r w:rsidR="00CA1EF6" w:rsidRPr="0074577C">
        <w:rPr>
          <w:rFonts w:ascii="Book Antiqua" w:hAnsi="Book Antiqua" w:cs="Arial"/>
        </w:rPr>
        <w:t xml:space="preserve"> with the immigration authorities.  Reference is made to a UKBA minute sheet</w:t>
      </w:r>
      <w:r w:rsidR="001E7224" w:rsidRPr="0074577C">
        <w:rPr>
          <w:rFonts w:ascii="Book Antiqua" w:hAnsi="Book Antiqua" w:cs="Arial"/>
        </w:rPr>
        <w:t xml:space="preserve"> produced in evidence, which records that the Appellant was discovered in Calais with a false passport.  The Appellant would not say how he had entered France, where he obtained the passport, how much</w:t>
      </w:r>
      <w:r w:rsidR="00855CCF" w:rsidRPr="0074577C">
        <w:rPr>
          <w:rFonts w:ascii="Book Antiqua" w:hAnsi="Book Antiqua" w:cs="Arial"/>
        </w:rPr>
        <w:t xml:space="preserve"> </w:t>
      </w:r>
      <w:r w:rsidR="001E7224" w:rsidRPr="0074577C">
        <w:rPr>
          <w:rFonts w:ascii="Book Antiqua" w:hAnsi="Book Antiqua" w:cs="Arial"/>
        </w:rPr>
        <w:t xml:space="preserve">he obtained the passport for, or his intention on reaching the UK.  He did not wish to answer any questions.  </w:t>
      </w:r>
    </w:p>
    <w:p w:rsidR="001E7224" w:rsidRPr="0074577C" w:rsidRDefault="001E7224" w:rsidP="005E5DFF">
      <w:pPr>
        <w:numPr>
          <w:ilvl w:val="0"/>
          <w:numId w:val="3"/>
        </w:numPr>
        <w:spacing w:before="240"/>
        <w:jc w:val="both"/>
        <w:rPr>
          <w:rFonts w:ascii="Book Antiqua" w:hAnsi="Book Antiqua" w:cs="Arial"/>
        </w:rPr>
      </w:pPr>
      <w:proofErr w:type="gramStart"/>
      <w:r w:rsidRPr="0074577C">
        <w:rPr>
          <w:rFonts w:ascii="Book Antiqua" w:hAnsi="Book Antiqua" w:cs="Arial"/>
        </w:rPr>
        <w:t>Therefore</w:t>
      </w:r>
      <w:proofErr w:type="gramEnd"/>
      <w:r w:rsidRPr="0074577C">
        <w:rPr>
          <w:rFonts w:ascii="Book Antiqua" w:hAnsi="Book Antiqua" w:cs="Arial"/>
        </w:rPr>
        <w:t xml:space="preserve"> in my view the judge was entitled to find that the Appellant had not cooperated with the immigration authorities although Mrs </w:t>
      </w:r>
      <w:proofErr w:type="spellStart"/>
      <w:r w:rsidRPr="0074577C">
        <w:rPr>
          <w:rFonts w:ascii="Book Antiqua" w:hAnsi="Book Antiqua" w:cs="Arial"/>
        </w:rPr>
        <w:t>Bassiri-Dezfouli</w:t>
      </w:r>
      <w:proofErr w:type="spellEnd"/>
      <w:r w:rsidRPr="0074577C">
        <w:rPr>
          <w:rFonts w:ascii="Book Antiqua" w:hAnsi="Book Antiqua" w:cs="Arial"/>
        </w:rPr>
        <w:t xml:space="preserve"> did not accept this.  </w:t>
      </w:r>
    </w:p>
    <w:p w:rsidR="001E7224" w:rsidRPr="0074577C" w:rsidRDefault="001E7224" w:rsidP="005E5DFF">
      <w:pPr>
        <w:numPr>
          <w:ilvl w:val="0"/>
          <w:numId w:val="3"/>
        </w:numPr>
        <w:spacing w:before="240"/>
        <w:jc w:val="both"/>
        <w:rPr>
          <w:rFonts w:ascii="Book Antiqua" w:hAnsi="Book Antiqua" w:cs="Arial"/>
        </w:rPr>
      </w:pPr>
      <w:r w:rsidRPr="0074577C">
        <w:rPr>
          <w:rFonts w:ascii="Book Antiqua" w:hAnsi="Book Antiqua" w:cs="Arial"/>
        </w:rPr>
        <w:t>It may be the case that some judges would not have upheld the Respondent’s decision in relation to paragraph 320(11)</w:t>
      </w:r>
      <w:r w:rsidR="00A42954" w:rsidRPr="0074577C">
        <w:rPr>
          <w:rFonts w:ascii="Book Antiqua" w:hAnsi="Book Antiqua" w:cs="Arial"/>
        </w:rPr>
        <w:t xml:space="preserve"> but that is not the point and not the appropriate test to be applied.</w:t>
      </w:r>
      <w:r w:rsidR="00302035" w:rsidRPr="0074577C">
        <w:rPr>
          <w:rFonts w:ascii="Book Antiqua" w:hAnsi="Book Antiqua" w:cs="Arial"/>
        </w:rPr>
        <w:t xml:space="preserve">  The </w:t>
      </w:r>
      <w:r w:rsidR="00A42954" w:rsidRPr="0074577C">
        <w:rPr>
          <w:rFonts w:ascii="Book Antiqua" w:hAnsi="Book Antiqua" w:cs="Arial"/>
        </w:rPr>
        <w:t>grounds submitted on behalf of the Appellant on this issue</w:t>
      </w:r>
      <w:r w:rsidR="006D6324" w:rsidRPr="0074577C">
        <w:rPr>
          <w:rFonts w:ascii="Book Antiqua" w:hAnsi="Book Antiqua" w:cs="Arial"/>
        </w:rPr>
        <w:t xml:space="preserve"> amount to a disagreement.  They do not disclose a material error of law.  </w:t>
      </w:r>
    </w:p>
    <w:p w:rsidR="006D6324" w:rsidRPr="0074577C" w:rsidRDefault="006D6324" w:rsidP="005E5DFF">
      <w:pPr>
        <w:numPr>
          <w:ilvl w:val="0"/>
          <w:numId w:val="3"/>
        </w:numPr>
        <w:spacing w:before="240"/>
        <w:jc w:val="both"/>
        <w:rPr>
          <w:rFonts w:ascii="Book Antiqua" w:hAnsi="Book Antiqua" w:cs="Arial"/>
        </w:rPr>
      </w:pPr>
      <w:r w:rsidRPr="0074577C">
        <w:rPr>
          <w:rFonts w:ascii="Book Antiqua" w:hAnsi="Book Antiqua" w:cs="Arial"/>
        </w:rPr>
        <w:t xml:space="preserve">The judge applied the correct case law, was aware of the guidance, and was clearly aware that </w:t>
      </w:r>
      <w:r w:rsidR="008200A3" w:rsidRPr="0074577C">
        <w:rPr>
          <w:rFonts w:ascii="Book Antiqua" w:hAnsi="Book Antiqua" w:cs="Arial"/>
        </w:rPr>
        <w:t xml:space="preserve">caution must be exercised before applying paragraph 320(11).  I can discern no error of law on this point.  </w:t>
      </w:r>
    </w:p>
    <w:p w:rsidR="008200A3" w:rsidRPr="0074577C" w:rsidRDefault="008200A3" w:rsidP="005E5DFF">
      <w:pPr>
        <w:numPr>
          <w:ilvl w:val="0"/>
          <w:numId w:val="3"/>
        </w:numPr>
        <w:spacing w:before="240"/>
        <w:jc w:val="both"/>
        <w:rPr>
          <w:rFonts w:ascii="Book Antiqua" w:hAnsi="Book Antiqua" w:cs="Arial"/>
        </w:rPr>
      </w:pPr>
      <w:r w:rsidRPr="0074577C">
        <w:rPr>
          <w:rFonts w:ascii="Book Antiqua" w:hAnsi="Book Antiqua" w:cs="Arial"/>
        </w:rPr>
        <w:t xml:space="preserve">The judge then goes on to consider proportionality and Article 8, concluding that there would be no unjustifiably harsh consequences caused by refusal of </w:t>
      </w:r>
      <w:r w:rsidR="004539C9" w:rsidRPr="0074577C">
        <w:rPr>
          <w:rFonts w:ascii="Book Antiqua" w:hAnsi="Book Antiqua" w:cs="Arial"/>
        </w:rPr>
        <w:t>Entry Clearance</w:t>
      </w:r>
      <w:r w:rsidRPr="0074577C">
        <w:rPr>
          <w:rFonts w:ascii="Book Antiqua" w:hAnsi="Book Antiqua" w:cs="Arial"/>
        </w:rPr>
        <w:t xml:space="preserve">.  </w:t>
      </w:r>
      <w:r w:rsidRPr="0074577C">
        <w:rPr>
          <w:rFonts w:ascii="Book Antiqua" w:hAnsi="Book Antiqua" w:cs="Arial"/>
        </w:rPr>
        <w:lastRenderedPageBreak/>
        <w:t>The judge does not make any specific finding on evidence given by the Appellant’s mother</w:t>
      </w:r>
      <w:r w:rsidR="003378FF" w:rsidRPr="0074577C">
        <w:rPr>
          <w:rFonts w:ascii="Book Antiqua" w:hAnsi="Book Antiqua" w:cs="Arial"/>
        </w:rPr>
        <w:t xml:space="preserve"> and sister.  I have considered their witness statements.  The evidence contained in those statements is that the Sponsor was depressed and disappointed </w:t>
      </w:r>
      <w:r w:rsidR="00373A95" w:rsidRPr="0074577C">
        <w:rPr>
          <w:rFonts w:ascii="Book Antiqua" w:hAnsi="Book Antiqua" w:cs="Arial"/>
        </w:rPr>
        <w:t xml:space="preserve">when separated from the Appellant and realised that a serious mistake had been made in breaching the Immigration Rules.  </w:t>
      </w:r>
      <w:r w:rsidR="00C00AC1" w:rsidRPr="0074577C">
        <w:rPr>
          <w:rFonts w:ascii="Book Antiqua" w:hAnsi="Book Antiqua" w:cs="Arial"/>
        </w:rPr>
        <w:t>The statement of the Sponsor’s mother states that the Sponsor is discriminated against in Turkey because of a disability</w:t>
      </w:r>
      <w:r w:rsidR="000C6ABD" w:rsidRPr="0074577C">
        <w:rPr>
          <w:rFonts w:ascii="Book Antiqua" w:hAnsi="Book Antiqua" w:cs="Arial"/>
        </w:rPr>
        <w:t>,</w:t>
      </w:r>
      <w:r w:rsidR="00C00AC1" w:rsidRPr="0074577C">
        <w:rPr>
          <w:rFonts w:ascii="Book Antiqua" w:hAnsi="Book Antiqua" w:cs="Arial"/>
        </w:rPr>
        <w:t xml:space="preserve"> in that she has a prosthetic leg and that the Sponsor is depressed.  This evidence relates to the Sponsor visiting the Appellant in Turkey and living with him.  The Appellant has not been granted permission to appeal on that issue</w:t>
      </w:r>
      <w:r w:rsidR="005B5737" w:rsidRPr="0074577C">
        <w:rPr>
          <w:rFonts w:ascii="Book Antiqua" w:hAnsi="Book Antiqua" w:cs="Arial"/>
        </w:rPr>
        <w:t xml:space="preserve">.  I therefore do not find any material error of law in the judge failing to make findings </w:t>
      </w:r>
      <w:r w:rsidR="00804C16" w:rsidRPr="0074577C">
        <w:rPr>
          <w:rFonts w:ascii="Book Antiqua" w:hAnsi="Book Antiqua" w:cs="Arial"/>
        </w:rPr>
        <w:t xml:space="preserve">on the evidence given by the Sponsor’s mother and sister.  </w:t>
      </w:r>
    </w:p>
    <w:p w:rsidR="00804C16" w:rsidRPr="0074577C" w:rsidRDefault="00804C16" w:rsidP="005E5DFF">
      <w:pPr>
        <w:numPr>
          <w:ilvl w:val="0"/>
          <w:numId w:val="3"/>
        </w:numPr>
        <w:spacing w:before="240"/>
        <w:jc w:val="both"/>
        <w:rPr>
          <w:rFonts w:ascii="Book Antiqua" w:hAnsi="Book Antiqua" w:cs="Arial"/>
        </w:rPr>
      </w:pPr>
      <w:r w:rsidRPr="0074577C">
        <w:rPr>
          <w:rFonts w:ascii="Book Antiqua" w:hAnsi="Book Antiqua" w:cs="Arial"/>
        </w:rPr>
        <w:t xml:space="preserve">In my view, </w:t>
      </w:r>
      <w:r w:rsidR="003B0A6A" w:rsidRPr="0074577C">
        <w:rPr>
          <w:rFonts w:ascii="Book Antiqua" w:hAnsi="Book Antiqua" w:cs="Arial"/>
        </w:rPr>
        <w:t xml:space="preserve">there was </w:t>
      </w:r>
      <w:r w:rsidR="00E71548">
        <w:rPr>
          <w:rFonts w:ascii="Book Antiqua" w:hAnsi="Book Antiqua" w:cs="Arial"/>
        </w:rPr>
        <w:t>no</w:t>
      </w:r>
      <w:r w:rsidR="003B0A6A" w:rsidRPr="0074577C">
        <w:rPr>
          <w:rFonts w:ascii="Book Antiqua" w:hAnsi="Book Antiqua" w:cs="Arial"/>
        </w:rPr>
        <w:t xml:space="preserve"> material error of law.  Failure to make findings </w:t>
      </w:r>
      <w:r w:rsidR="00A937BB" w:rsidRPr="0074577C">
        <w:rPr>
          <w:rFonts w:ascii="Book Antiqua" w:hAnsi="Book Antiqua" w:cs="Arial"/>
        </w:rPr>
        <w:t xml:space="preserve">on finance and accommodation </w:t>
      </w:r>
      <w:r w:rsidR="00721DA6" w:rsidRPr="0074577C">
        <w:rPr>
          <w:rFonts w:ascii="Book Antiqua" w:hAnsi="Book Antiqua" w:cs="Arial"/>
        </w:rPr>
        <w:t xml:space="preserve">and the witness evidence, does not affect the outcome of the appeal.  </w:t>
      </w:r>
      <w:proofErr w:type="gramStart"/>
      <w:r w:rsidR="00721DA6" w:rsidRPr="0074577C">
        <w:rPr>
          <w:rFonts w:ascii="Book Antiqua" w:hAnsi="Book Antiqua" w:cs="Arial"/>
        </w:rPr>
        <w:t>Therefore</w:t>
      </w:r>
      <w:proofErr w:type="gramEnd"/>
      <w:r w:rsidR="00721DA6" w:rsidRPr="0074577C">
        <w:rPr>
          <w:rFonts w:ascii="Book Antiqua" w:hAnsi="Book Antiqua" w:cs="Arial"/>
        </w:rPr>
        <w:t xml:space="preserve"> those errors are not material.  </w:t>
      </w:r>
      <w:bookmarkStart w:id="2" w:name="Text49"/>
      <w:r w:rsidR="00B510CC" w:rsidRPr="0074577C">
        <w:rPr>
          <w:rFonts w:ascii="Book Antiqua" w:hAnsi="Book Antiqua" w:cstheme="minorHAnsi"/>
          <w:noProof/>
        </w:rPr>
        <w:t xml:space="preserve">     </w:t>
      </w:r>
      <w:bookmarkEnd w:id="2"/>
    </w:p>
    <w:p w:rsidR="00F13D39" w:rsidRPr="0074577C" w:rsidRDefault="00F13D39" w:rsidP="00721DA6">
      <w:pPr>
        <w:spacing w:before="240"/>
        <w:jc w:val="both"/>
        <w:rPr>
          <w:rFonts w:ascii="Book Antiqua" w:hAnsi="Book Antiqua" w:cs="Arial"/>
          <w:b/>
        </w:rPr>
      </w:pPr>
      <w:r w:rsidRPr="0074577C">
        <w:rPr>
          <w:rFonts w:ascii="Book Antiqua" w:hAnsi="Book Antiqua" w:cs="Arial"/>
          <w:b/>
        </w:rPr>
        <w:t xml:space="preserve">Notice of </w:t>
      </w:r>
      <w:r w:rsidR="00721DA6" w:rsidRPr="0074577C">
        <w:rPr>
          <w:rFonts w:ascii="Book Antiqua" w:hAnsi="Book Antiqua" w:cs="Arial"/>
          <w:b/>
        </w:rPr>
        <w:t xml:space="preserve">Decision  </w:t>
      </w:r>
    </w:p>
    <w:p w:rsidR="00721DA6" w:rsidRPr="0074577C" w:rsidRDefault="00721DA6" w:rsidP="00721DA6">
      <w:pPr>
        <w:spacing w:before="240"/>
        <w:jc w:val="both"/>
        <w:rPr>
          <w:rFonts w:ascii="Book Antiqua" w:hAnsi="Book Antiqua" w:cs="Arial"/>
        </w:rPr>
      </w:pPr>
      <w:r w:rsidRPr="0074577C">
        <w:rPr>
          <w:rFonts w:ascii="Book Antiqua" w:hAnsi="Book Antiqua" w:cs="Arial"/>
        </w:rPr>
        <w:t xml:space="preserve">The decision of the </w:t>
      </w:r>
      <w:proofErr w:type="spellStart"/>
      <w:r w:rsidRPr="0074577C">
        <w:rPr>
          <w:rFonts w:ascii="Book Antiqua" w:hAnsi="Book Antiqua" w:cs="Arial"/>
        </w:rPr>
        <w:t>FtT</w:t>
      </w:r>
      <w:proofErr w:type="spellEnd"/>
      <w:r w:rsidRPr="0074577C">
        <w:rPr>
          <w:rFonts w:ascii="Book Antiqua" w:hAnsi="Book Antiqua" w:cs="Arial"/>
        </w:rPr>
        <w:t xml:space="preserve"> does not disclose a material error of law.  The decision is not set aside.  The appeal is dismissed.  </w:t>
      </w:r>
    </w:p>
    <w:p w:rsidR="00721DA6" w:rsidRPr="0074577C" w:rsidRDefault="00721DA6" w:rsidP="00721DA6">
      <w:pPr>
        <w:spacing w:before="240"/>
        <w:jc w:val="both"/>
        <w:rPr>
          <w:rFonts w:ascii="Book Antiqua" w:hAnsi="Book Antiqua" w:cs="Arial"/>
        </w:rPr>
      </w:pPr>
      <w:r w:rsidRPr="0074577C">
        <w:rPr>
          <w:rFonts w:ascii="Book Antiqua" w:hAnsi="Book Antiqua" w:cs="Arial"/>
        </w:rPr>
        <w:t xml:space="preserve">The </w:t>
      </w:r>
      <w:proofErr w:type="spellStart"/>
      <w:r w:rsidRPr="0074577C">
        <w:rPr>
          <w:rFonts w:ascii="Book Antiqua" w:hAnsi="Book Antiqua" w:cs="Arial"/>
        </w:rPr>
        <w:t>FtT</w:t>
      </w:r>
      <w:proofErr w:type="spellEnd"/>
      <w:r w:rsidRPr="0074577C">
        <w:rPr>
          <w:rFonts w:ascii="Book Antiqua" w:hAnsi="Book Antiqua" w:cs="Arial"/>
        </w:rPr>
        <w:t xml:space="preserve"> did not make </w:t>
      </w:r>
      <w:r w:rsidR="00C97ECB" w:rsidRPr="0074577C">
        <w:rPr>
          <w:rFonts w:ascii="Book Antiqua" w:hAnsi="Book Antiqua" w:cs="Arial"/>
        </w:rPr>
        <w:t xml:space="preserve">an anonymity order.  No application for an anonymity was made to the </w:t>
      </w:r>
      <w:r w:rsidR="001F5A5B" w:rsidRPr="0074577C">
        <w:rPr>
          <w:rFonts w:ascii="Book Antiqua" w:hAnsi="Book Antiqua" w:cs="Arial"/>
        </w:rPr>
        <w:t xml:space="preserve">Upper Tribunal.  </w:t>
      </w:r>
      <w:r w:rsidR="005719C2" w:rsidRPr="0074577C">
        <w:rPr>
          <w:rFonts w:ascii="Book Antiqua" w:hAnsi="Book Antiqua" w:cs="Arial"/>
        </w:rPr>
        <w:t xml:space="preserve">I see no need to make an anonymity direction.  </w:t>
      </w:r>
    </w:p>
    <w:p w:rsidR="000369F5" w:rsidRPr="0074577C" w:rsidRDefault="000369F5" w:rsidP="000369F5">
      <w:pPr>
        <w:tabs>
          <w:tab w:val="left" w:pos="2520"/>
        </w:tabs>
        <w:jc w:val="both"/>
        <w:rPr>
          <w:rFonts w:ascii="Book Antiqua" w:hAnsi="Book Antiqua" w:cs="Arial"/>
        </w:rPr>
      </w:pPr>
    </w:p>
    <w:p w:rsidR="005719C2" w:rsidRPr="0074577C" w:rsidRDefault="005719C2" w:rsidP="000369F5">
      <w:pPr>
        <w:tabs>
          <w:tab w:val="left" w:pos="2520"/>
        </w:tabs>
        <w:jc w:val="both"/>
        <w:rPr>
          <w:rFonts w:ascii="Book Antiqua" w:hAnsi="Book Antiqua" w:cs="Arial"/>
        </w:rPr>
      </w:pPr>
    </w:p>
    <w:p w:rsidR="001F2716" w:rsidRPr="0074577C" w:rsidRDefault="006E3C90" w:rsidP="000369F5">
      <w:pPr>
        <w:tabs>
          <w:tab w:val="left" w:pos="2520"/>
        </w:tabs>
        <w:jc w:val="both"/>
        <w:rPr>
          <w:rFonts w:ascii="Book Antiqua" w:hAnsi="Book Antiqua" w:cs="Arial"/>
        </w:rPr>
      </w:pPr>
      <w:r w:rsidRPr="0074577C">
        <w:rPr>
          <w:rFonts w:ascii="Book Antiqua" w:hAnsi="Book Antiqua" w:cs="Arial"/>
        </w:rPr>
        <w:t>Signed</w:t>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001F2716" w:rsidRPr="0074577C">
        <w:rPr>
          <w:rFonts w:ascii="Book Antiqua" w:hAnsi="Book Antiqua" w:cs="Arial"/>
        </w:rPr>
        <w:t>Date</w:t>
      </w:r>
      <w:r w:rsidR="005719C2" w:rsidRPr="0074577C">
        <w:rPr>
          <w:rFonts w:ascii="Book Antiqua" w:hAnsi="Book Antiqua" w:cs="Arial"/>
        </w:rPr>
        <w:t xml:space="preserve"> 1</w:t>
      </w:r>
      <w:r w:rsidR="005719C2" w:rsidRPr="0074577C">
        <w:rPr>
          <w:rFonts w:ascii="Book Antiqua" w:hAnsi="Book Antiqua" w:cs="Arial"/>
          <w:vertAlign w:val="superscript"/>
        </w:rPr>
        <w:t>st</w:t>
      </w:r>
      <w:r w:rsidR="005719C2" w:rsidRPr="0074577C">
        <w:rPr>
          <w:rFonts w:ascii="Book Antiqua" w:hAnsi="Book Antiqua" w:cs="Arial"/>
        </w:rPr>
        <w:t xml:space="preserve"> August 2018  </w:t>
      </w:r>
    </w:p>
    <w:p w:rsidR="001F2716" w:rsidRPr="0074577C" w:rsidRDefault="001F2716" w:rsidP="000369F5">
      <w:pPr>
        <w:tabs>
          <w:tab w:val="left" w:pos="2520"/>
        </w:tabs>
        <w:jc w:val="both"/>
        <w:rPr>
          <w:rFonts w:ascii="Book Antiqua" w:hAnsi="Book Antiqua" w:cs="Arial"/>
        </w:rPr>
      </w:pPr>
    </w:p>
    <w:p w:rsidR="005B7789" w:rsidRPr="0074577C" w:rsidRDefault="00255071" w:rsidP="000369F5">
      <w:pPr>
        <w:tabs>
          <w:tab w:val="left" w:pos="2520"/>
        </w:tabs>
        <w:jc w:val="both"/>
        <w:rPr>
          <w:rFonts w:ascii="Book Antiqua" w:hAnsi="Book Antiqua" w:cs="Arial"/>
        </w:rPr>
      </w:pPr>
      <w:r w:rsidRPr="0074577C">
        <w:rPr>
          <w:rFonts w:ascii="Book Antiqua" w:hAnsi="Book Antiqua" w:cs="Arial"/>
        </w:rPr>
        <w:t xml:space="preserve">Deputy Upper Tribunal Judge M </w:t>
      </w:r>
      <w:proofErr w:type="gramStart"/>
      <w:r w:rsidRPr="0074577C">
        <w:rPr>
          <w:rFonts w:ascii="Book Antiqua" w:hAnsi="Book Antiqua" w:cs="Arial"/>
        </w:rPr>
        <w:t>A</w:t>
      </w:r>
      <w:proofErr w:type="gramEnd"/>
      <w:r w:rsidRPr="0074577C">
        <w:rPr>
          <w:rFonts w:ascii="Book Antiqua" w:hAnsi="Book Antiqua" w:cs="Arial"/>
        </w:rPr>
        <w:t xml:space="preserve"> Hall</w:t>
      </w:r>
      <w:r w:rsidR="005719C2" w:rsidRPr="0074577C">
        <w:rPr>
          <w:rFonts w:ascii="Book Antiqua" w:hAnsi="Book Antiqua" w:cs="Arial"/>
        </w:rPr>
        <w:t xml:space="preserve">  </w:t>
      </w:r>
    </w:p>
    <w:p w:rsidR="00F346CB" w:rsidRPr="0074577C" w:rsidRDefault="00F346CB" w:rsidP="000369F5">
      <w:pPr>
        <w:tabs>
          <w:tab w:val="left" w:pos="2520"/>
        </w:tabs>
        <w:jc w:val="both"/>
        <w:rPr>
          <w:rFonts w:ascii="Book Antiqua" w:hAnsi="Book Antiqua" w:cs="Arial"/>
        </w:rPr>
      </w:pPr>
    </w:p>
    <w:p w:rsidR="00F346CB" w:rsidRPr="0074577C" w:rsidRDefault="00F346CB" w:rsidP="00F13D39">
      <w:pPr>
        <w:jc w:val="both"/>
        <w:rPr>
          <w:rFonts w:ascii="Book Antiqua" w:hAnsi="Book Antiqua" w:cs="Arial"/>
          <w:b/>
        </w:rPr>
      </w:pPr>
    </w:p>
    <w:p w:rsidR="00F346CB" w:rsidRPr="0074577C" w:rsidRDefault="00F346CB" w:rsidP="00F13D39">
      <w:pPr>
        <w:jc w:val="both"/>
        <w:rPr>
          <w:rFonts w:ascii="Book Antiqua" w:hAnsi="Book Antiqua" w:cs="Arial"/>
          <w:b/>
        </w:rPr>
      </w:pPr>
    </w:p>
    <w:p w:rsidR="00F13D39" w:rsidRPr="0074577C" w:rsidRDefault="00F13D39" w:rsidP="00F13D39">
      <w:pPr>
        <w:jc w:val="both"/>
        <w:rPr>
          <w:rFonts w:ascii="Book Antiqua" w:hAnsi="Book Antiqua" w:cs="Arial"/>
          <w:b/>
        </w:rPr>
      </w:pPr>
      <w:r w:rsidRPr="0074577C">
        <w:rPr>
          <w:rFonts w:ascii="Book Antiqua" w:hAnsi="Book Antiqua" w:cs="Arial"/>
          <w:b/>
        </w:rPr>
        <w:t>TO THE RESPONDENT</w:t>
      </w:r>
      <w:r w:rsidR="00561D4D" w:rsidRPr="0074577C">
        <w:rPr>
          <w:rFonts w:ascii="Book Antiqua" w:hAnsi="Book Antiqua" w:cs="Arial"/>
          <w:b/>
        </w:rPr>
        <w:t xml:space="preserve">  </w:t>
      </w:r>
    </w:p>
    <w:p w:rsidR="00F13D39" w:rsidRPr="0074577C" w:rsidRDefault="00F13D39" w:rsidP="00F13D39">
      <w:pPr>
        <w:ind w:left="567" w:hanging="567"/>
        <w:jc w:val="both"/>
        <w:rPr>
          <w:rFonts w:ascii="Book Antiqua" w:hAnsi="Book Antiqua" w:cs="Arial"/>
        </w:rPr>
      </w:pPr>
      <w:r w:rsidRPr="0074577C">
        <w:rPr>
          <w:rFonts w:ascii="Book Antiqua" w:hAnsi="Book Antiqua" w:cs="Arial"/>
          <w:b/>
        </w:rPr>
        <w:t>FEE AWARD</w:t>
      </w:r>
      <w:r w:rsidR="00561D4D" w:rsidRPr="0074577C">
        <w:rPr>
          <w:rFonts w:ascii="Book Antiqua" w:hAnsi="Book Antiqua" w:cs="Arial"/>
          <w:b/>
        </w:rPr>
        <w:t xml:space="preserve">  </w:t>
      </w:r>
    </w:p>
    <w:p w:rsidR="00F13D39" w:rsidRPr="0074577C" w:rsidRDefault="00F13D39" w:rsidP="00F13D39">
      <w:pPr>
        <w:ind w:left="567" w:hanging="567"/>
        <w:jc w:val="both"/>
        <w:rPr>
          <w:rFonts w:ascii="Book Antiqua" w:hAnsi="Book Antiqua" w:cs="Arial"/>
        </w:rPr>
      </w:pPr>
    </w:p>
    <w:p w:rsidR="00F13D39" w:rsidRPr="0074577C" w:rsidRDefault="00561D4D" w:rsidP="00F13D39">
      <w:pPr>
        <w:jc w:val="both"/>
        <w:rPr>
          <w:rFonts w:ascii="Book Antiqua" w:hAnsi="Book Antiqua" w:cs="Arial"/>
        </w:rPr>
      </w:pPr>
      <w:r w:rsidRPr="0074577C">
        <w:rPr>
          <w:rFonts w:ascii="Book Antiqua" w:hAnsi="Book Antiqua" w:cs="Arial"/>
        </w:rPr>
        <w:t xml:space="preserve">The appeal is dismissed.  There is no </w:t>
      </w:r>
      <w:r w:rsidR="00F13D39" w:rsidRPr="0074577C">
        <w:rPr>
          <w:rFonts w:ascii="Book Antiqua" w:hAnsi="Book Antiqua" w:cs="Arial"/>
        </w:rPr>
        <w:t>fee award.</w:t>
      </w:r>
    </w:p>
    <w:p w:rsidR="00F13D39" w:rsidRDefault="00F13D39" w:rsidP="00F13D39">
      <w:pPr>
        <w:jc w:val="both"/>
        <w:rPr>
          <w:rFonts w:ascii="Book Antiqua" w:hAnsi="Book Antiqua" w:cs="Arial"/>
        </w:rPr>
      </w:pPr>
    </w:p>
    <w:p w:rsidR="004D29D8" w:rsidRPr="0074577C" w:rsidRDefault="004D29D8" w:rsidP="00F13D39">
      <w:pPr>
        <w:jc w:val="both"/>
        <w:rPr>
          <w:rFonts w:ascii="Book Antiqua" w:hAnsi="Book Antiqua" w:cs="Arial"/>
        </w:rPr>
      </w:pPr>
    </w:p>
    <w:p w:rsidR="00F13D39" w:rsidRPr="0074577C" w:rsidRDefault="00F13D39" w:rsidP="00F13D39">
      <w:pPr>
        <w:tabs>
          <w:tab w:val="left" w:pos="2520"/>
        </w:tabs>
        <w:jc w:val="both"/>
        <w:rPr>
          <w:rFonts w:ascii="Book Antiqua" w:hAnsi="Book Antiqua" w:cs="Arial"/>
        </w:rPr>
      </w:pPr>
      <w:r w:rsidRPr="0074577C">
        <w:rPr>
          <w:rFonts w:ascii="Book Antiqua" w:hAnsi="Book Antiqua" w:cs="Arial"/>
        </w:rPr>
        <w:t>Signed</w:t>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r>
      <w:r w:rsidRPr="0074577C">
        <w:rPr>
          <w:rFonts w:ascii="Book Antiqua" w:hAnsi="Book Antiqua" w:cs="Arial"/>
        </w:rPr>
        <w:tab/>
        <w:t>Date</w:t>
      </w:r>
      <w:r w:rsidR="005719C2" w:rsidRPr="0074577C">
        <w:rPr>
          <w:rFonts w:ascii="Book Antiqua" w:hAnsi="Book Antiqua" w:cs="Arial"/>
        </w:rPr>
        <w:t xml:space="preserve"> 1</w:t>
      </w:r>
      <w:r w:rsidR="005719C2" w:rsidRPr="0074577C">
        <w:rPr>
          <w:rFonts w:ascii="Book Antiqua" w:hAnsi="Book Antiqua" w:cs="Arial"/>
          <w:vertAlign w:val="superscript"/>
        </w:rPr>
        <w:t>st</w:t>
      </w:r>
      <w:r w:rsidR="005719C2" w:rsidRPr="0074577C">
        <w:rPr>
          <w:rFonts w:ascii="Book Antiqua" w:hAnsi="Book Antiqua" w:cs="Arial"/>
        </w:rPr>
        <w:t xml:space="preserve"> August 2018</w:t>
      </w:r>
      <w:r w:rsidR="003D2C56" w:rsidRPr="0074577C">
        <w:rPr>
          <w:rFonts w:ascii="Book Antiqua" w:hAnsi="Book Antiqua" w:cs="Arial"/>
        </w:rPr>
        <w:t xml:space="preserve">  </w:t>
      </w:r>
    </w:p>
    <w:p w:rsidR="00F13D39" w:rsidRPr="0074577C" w:rsidRDefault="00F13D39" w:rsidP="00F13D39">
      <w:pPr>
        <w:tabs>
          <w:tab w:val="left" w:pos="2520"/>
        </w:tabs>
        <w:jc w:val="both"/>
        <w:rPr>
          <w:rFonts w:ascii="Book Antiqua" w:hAnsi="Book Antiqua" w:cs="Arial"/>
        </w:rPr>
      </w:pPr>
    </w:p>
    <w:p w:rsidR="005B7789" w:rsidRPr="00F5664C" w:rsidRDefault="00F13D39" w:rsidP="00C70FCB">
      <w:pPr>
        <w:tabs>
          <w:tab w:val="left" w:pos="2520"/>
        </w:tabs>
        <w:jc w:val="both"/>
        <w:rPr>
          <w:rFonts w:ascii="Book Antiqua" w:hAnsi="Book Antiqua" w:cs="Arial"/>
        </w:rPr>
      </w:pPr>
      <w:r w:rsidRPr="0074577C">
        <w:rPr>
          <w:rFonts w:ascii="Book Antiqua" w:hAnsi="Book Antiqua" w:cs="Arial"/>
        </w:rPr>
        <w:t xml:space="preserve">Deputy Upper Tribunal Judge M </w:t>
      </w:r>
      <w:proofErr w:type="gramStart"/>
      <w:r w:rsidRPr="0074577C">
        <w:rPr>
          <w:rFonts w:ascii="Book Antiqua" w:hAnsi="Book Antiqua" w:cs="Arial"/>
        </w:rPr>
        <w:t>A</w:t>
      </w:r>
      <w:proofErr w:type="gramEnd"/>
      <w:r w:rsidRPr="0074577C">
        <w:rPr>
          <w:rFonts w:ascii="Book Antiqua" w:hAnsi="Book Antiqua" w:cs="Arial"/>
        </w:rPr>
        <w:t xml:space="preserve"> Hall</w:t>
      </w:r>
      <w:r w:rsidR="00367DCB" w:rsidRPr="0074577C">
        <w:rPr>
          <w:rFonts w:ascii="Book Antiqua" w:hAnsi="Book Antiqua" w:cs="Arial"/>
        </w:rPr>
        <w:t xml:space="preserve"> </w:t>
      </w:r>
    </w:p>
    <w:sectPr w:rsidR="005B7789" w:rsidRPr="00F5664C" w:rsidSect="00D50FDF">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DCD" w:rsidRDefault="00380DCD">
      <w:r>
        <w:separator/>
      </w:r>
    </w:p>
  </w:endnote>
  <w:endnote w:type="continuationSeparator" w:id="0">
    <w:p w:rsidR="00380DCD" w:rsidRDefault="0038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324" w:rsidRPr="00D50FDF" w:rsidRDefault="006D6324" w:rsidP="00593795">
    <w:pPr>
      <w:pStyle w:val="Footer"/>
      <w:jc w:val="center"/>
      <w:rPr>
        <w:rFonts w:ascii="Book Antiqua" w:hAnsi="Book Antiqua" w:cs="Arial"/>
      </w:rPr>
    </w:pPr>
    <w:r w:rsidRPr="00D50FDF">
      <w:rPr>
        <w:rStyle w:val="PageNumber"/>
        <w:rFonts w:ascii="Book Antiqua" w:hAnsi="Book Antiqua" w:cs="Arial"/>
      </w:rPr>
      <w:fldChar w:fldCharType="begin"/>
    </w:r>
    <w:r w:rsidRPr="00D50FDF">
      <w:rPr>
        <w:rStyle w:val="PageNumber"/>
        <w:rFonts w:ascii="Book Antiqua" w:hAnsi="Book Antiqua" w:cs="Arial"/>
      </w:rPr>
      <w:instrText xml:space="preserve"> PAGE </w:instrText>
    </w:r>
    <w:r w:rsidRPr="00D50FDF">
      <w:rPr>
        <w:rStyle w:val="PageNumber"/>
        <w:rFonts w:ascii="Book Antiqua" w:hAnsi="Book Antiqua" w:cs="Arial"/>
      </w:rPr>
      <w:fldChar w:fldCharType="separate"/>
    </w:r>
    <w:r w:rsidR="00573BBD">
      <w:rPr>
        <w:rStyle w:val="PageNumber"/>
        <w:rFonts w:ascii="Book Antiqua" w:hAnsi="Book Antiqua" w:cs="Arial"/>
        <w:noProof/>
      </w:rPr>
      <w:t>5</w:t>
    </w:r>
    <w:r w:rsidRPr="00D50FD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324" w:rsidRPr="00F5664C" w:rsidRDefault="006D6324"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DCD" w:rsidRDefault="00380DCD">
      <w:r>
        <w:separator/>
      </w:r>
    </w:p>
  </w:footnote>
  <w:footnote w:type="continuationSeparator" w:id="0">
    <w:p w:rsidR="00380DCD" w:rsidRDefault="0038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324" w:rsidRDefault="006D6324"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B7692D">
      <w:rPr>
        <w:rFonts w:ascii="Book Antiqua" w:hAnsi="Book Antiqua" w:cs="Arial"/>
        <w:sz w:val="16"/>
        <w:szCs w:val="16"/>
      </w:rPr>
      <w:t>HU/26805/2016</w:t>
    </w:r>
  </w:p>
  <w:p w:rsidR="00D50FDF" w:rsidRPr="00F5664C" w:rsidRDefault="00D50FD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324" w:rsidRPr="00F5664C" w:rsidRDefault="006D632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2D"/>
    <w:rsid w:val="00000621"/>
    <w:rsid w:val="000036C2"/>
    <w:rsid w:val="000128EB"/>
    <w:rsid w:val="00025AB6"/>
    <w:rsid w:val="0003090D"/>
    <w:rsid w:val="00030C00"/>
    <w:rsid w:val="00033D3D"/>
    <w:rsid w:val="000369F5"/>
    <w:rsid w:val="00047F27"/>
    <w:rsid w:val="00071A7E"/>
    <w:rsid w:val="000746C0"/>
    <w:rsid w:val="00074D1D"/>
    <w:rsid w:val="00092580"/>
    <w:rsid w:val="000A05C5"/>
    <w:rsid w:val="000C6ABD"/>
    <w:rsid w:val="000D01C9"/>
    <w:rsid w:val="000D5D94"/>
    <w:rsid w:val="000D62ED"/>
    <w:rsid w:val="000E0CD7"/>
    <w:rsid w:val="000E2705"/>
    <w:rsid w:val="00112D24"/>
    <w:rsid w:val="00114F8B"/>
    <w:rsid w:val="001165A7"/>
    <w:rsid w:val="00141243"/>
    <w:rsid w:val="0014498F"/>
    <w:rsid w:val="00151BB7"/>
    <w:rsid w:val="00161CAF"/>
    <w:rsid w:val="00167D3A"/>
    <w:rsid w:val="0019062E"/>
    <w:rsid w:val="00191ACD"/>
    <w:rsid w:val="001A1E2C"/>
    <w:rsid w:val="001B7BB6"/>
    <w:rsid w:val="001C41A1"/>
    <w:rsid w:val="001E331F"/>
    <w:rsid w:val="001E7224"/>
    <w:rsid w:val="001F2716"/>
    <w:rsid w:val="001F5A5B"/>
    <w:rsid w:val="0020133A"/>
    <w:rsid w:val="00207617"/>
    <w:rsid w:val="00244BC9"/>
    <w:rsid w:val="00255071"/>
    <w:rsid w:val="00283659"/>
    <w:rsid w:val="002B086C"/>
    <w:rsid w:val="002C42E2"/>
    <w:rsid w:val="002C4E73"/>
    <w:rsid w:val="002C6E0F"/>
    <w:rsid w:val="002D68BF"/>
    <w:rsid w:val="00301E57"/>
    <w:rsid w:val="00302035"/>
    <w:rsid w:val="00336CBF"/>
    <w:rsid w:val="003378FF"/>
    <w:rsid w:val="003546C8"/>
    <w:rsid w:val="00367DCB"/>
    <w:rsid w:val="00373A95"/>
    <w:rsid w:val="00380DCD"/>
    <w:rsid w:val="003A7CF2"/>
    <w:rsid w:val="003B0A6A"/>
    <w:rsid w:val="003C49CE"/>
    <w:rsid w:val="003C5CE5"/>
    <w:rsid w:val="003D2C56"/>
    <w:rsid w:val="003E267B"/>
    <w:rsid w:val="003E7CD1"/>
    <w:rsid w:val="00402B9E"/>
    <w:rsid w:val="004153A7"/>
    <w:rsid w:val="00423932"/>
    <w:rsid w:val="004249CB"/>
    <w:rsid w:val="0044127D"/>
    <w:rsid w:val="004448DB"/>
    <w:rsid w:val="00445CC2"/>
    <w:rsid w:val="00446C9A"/>
    <w:rsid w:val="004539C9"/>
    <w:rsid w:val="00464F5E"/>
    <w:rsid w:val="00465014"/>
    <w:rsid w:val="00465F8E"/>
    <w:rsid w:val="00477193"/>
    <w:rsid w:val="004A1848"/>
    <w:rsid w:val="004A19A4"/>
    <w:rsid w:val="004D29B1"/>
    <w:rsid w:val="004D29D8"/>
    <w:rsid w:val="004E4CB9"/>
    <w:rsid w:val="004E537B"/>
    <w:rsid w:val="00507FEC"/>
    <w:rsid w:val="00510F0E"/>
    <w:rsid w:val="00545202"/>
    <w:rsid w:val="005479E1"/>
    <w:rsid w:val="005570FD"/>
    <w:rsid w:val="005575EA"/>
    <w:rsid w:val="00557CE8"/>
    <w:rsid w:val="00561D4D"/>
    <w:rsid w:val="00567A3E"/>
    <w:rsid w:val="005719C2"/>
    <w:rsid w:val="00573BBD"/>
    <w:rsid w:val="0057790C"/>
    <w:rsid w:val="00577F00"/>
    <w:rsid w:val="00593795"/>
    <w:rsid w:val="005A75FF"/>
    <w:rsid w:val="005B5737"/>
    <w:rsid w:val="005B7789"/>
    <w:rsid w:val="005E572E"/>
    <w:rsid w:val="005E5DFF"/>
    <w:rsid w:val="005F7DB4"/>
    <w:rsid w:val="006338E3"/>
    <w:rsid w:val="0065791C"/>
    <w:rsid w:val="00660531"/>
    <w:rsid w:val="00690B8A"/>
    <w:rsid w:val="00694DF6"/>
    <w:rsid w:val="006D1DFA"/>
    <w:rsid w:val="006D506B"/>
    <w:rsid w:val="006D6324"/>
    <w:rsid w:val="006E3C90"/>
    <w:rsid w:val="006F6927"/>
    <w:rsid w:val="00704B61"/>
    <w:rsid w:val="007074DB"/>
    <w:rsid w:val="00707DB1"/>
    <w:rsid w:val="007122FE"/>
    <w:rsid w:val="00714B96"/>
    <w:rsid w:val="00720A93"/>
    <w:rsid w:val="00721DA6"/>
    <w:rsid w:val="007353BB"/>
    <w:rsid w:val="00742A8D"/>
    <w:rsid w:val="0074577C"/>
    <w:rsid w:val="00752359"/>
    <w:rsid w:val="007552A9"/>
    <w:rsid w:val="00756F86"/>
    <w:rsid w:val="00761858"/>
    <w:rsid w:val="00766DA6"/>
    <w:rsid w:val="00767D59"/>
    <w:rsid w:val="00776E97"/>
    <w:rsid w:val="00780FD7"/>
    <w:rsid w:val="007912AD"/>
    <w:rsid w:val="00793604"/>
    <w:rsid w:val="007A1F28"/>
    <w:rsid w:val="007B0824"/>
    <w:rsid w:val="007C0CD9"/>
    <w:rsid w:val="007C739D"/>
    <w:rsid w:val="00804C16"/>
    <w:rsid w:val="008200A3"/>
    <w:rsid w:val="008303B8"/>
    <w:rsid w:val="00833DCE"/>
    <w:rsid w:val="00834E1E"/>
    <w:rsid w:val="00842418"/>
    <w:rsid w:val="008524A6"/>
    <w:rsid w:val="00855CCF"/>
    <w:rsid w:val="0086126F"/>
    <w:rsid w:val="008634DB"/>
    <w:rsid w:val="00871D34"/>
    <w:rsid w:val="00887842"/>
    <w:rsid w:val="008901DD"/>
    <w:rsid w:val="008A4C30"/>
    <w:rsid w:val="008B270C"/>
    <w:rsid w:val="008C2ED5"/>
    <w:rsid w:val="008C3D3D"/>
    <w:rsid w:val="008D4131"/>
    <w:rsid w:val="008D5128"/>
    <w:rsid w:val="008F1932"/>
    <w:rsid w:val="008F294D"/>
    <w:rsid w:val="00921062"/>
    <w:rsid w:val="0092618D"/>
    <w:rsid w:val="0093083E"/>
    <w:rsid w:val="0093683E"/>
    <w:rsid w:val="00961694"/>
    <w:rsid w:val="00966ECF"/>
    <w:rsid w:val="009727A3"/>
    <w:rsid w:val="00977A24"/>
    <w:rsid w:val="00987774"/>
    <w:rsid w:val="009A11E8"/>
    <w:rsid w:val="009B1543"/>
    <w:rsid w:val="009D0C2C"/>
    <w:rsid w:val="009E4E62"/>
    <w:rsid w:val="009F5220"/>
    <w:rsid w:val="009F7C4D"/>
    <w:rsid w:val="00A01D3D"/>
    <w:rsid w:val="00A04267"/>
    <w:rsid w:val="00A123EF"/>
    <w:rsid w:val="00A15234"/>
    <w:rsid w:val="00A17064"/>
    <w:rsid w:val="00A201AB"/>
    <w:rsid w:val="00A258C7"/>
    <w:rsid w:val="00A31C8B"/>
    <w:rsid w:val="00A42954"/>
    <w:rsid w:val="00A75965"/>
    <w:rsid w:val="00A7645F"/>
    <w:rsid w:val="00A76728"/>
    <w:rsid w:val="00A83216"/>
    <w:rsid w:val="00A845DC"/>
    <w:rsid w:val="00A90C98"/>
    <w:rsid w:val="00A91820"/>
    <w:rsid w:val="00A937BB"/>
    <w:rsid w:val="00A9429D"/>
    <w:rsid w:val="00A94AFA"/>
    <w:rsid w:val="00A97AEE"/>
    <w:rsid w:val="00AC5CF6"/>
    <w:rsid w:val="00AD07F4"/>
    <w:rsid w:val="00AF5A03"/>
    <w:rsid w:val="00B07598"/>
    <w:rsid w:val="00B1190F"/>
    <w:rsid w:val="00B144FA"/>
    <w:rsid w:val="00B15405"/>
    <w:rsid w:val="00B16F58"/>
    <w:rsid w:val="00B208B5"/>
    <w:rsid w:val="00B30648"/>
    <w:rsid w:val="00B337AA"/>
    <w:rsid w:val="00B3524D"/>
    <w:rsid w:val="00B40F69"/>
    <w:rsid w:val="00B417D0"/>
    <w:rsid w:val="00B42F44"/>
    <w:rsid w:val="00B4659E"/>
    <w:rsid w:val="00B46616"/>
    <w:rsid w:val="00B510CC"/>
    <w:rsid w:val="00B610E3"/>
    <w:rsid w:val="00B61205"/>
    <w:rsid w:val="00B617C4"/>
    <w:rsid w:val="00B626FA"/>
    <w:rsid w:val="00B7040A"/>
    <w:rsid w:val="00B71160"/>
    <w:rsid w:val="00B7246E"/>
    <w:rsid w:val="00B7692D"/>
    <w:rsid w:val="00B96FA0"/>
    <w:rsid w:val="00BB7100"/>
    <w:rsid w:val="00BD4196"/>
    <w:rsid w:val="00BE31CE"/>
    <w:rsid w:val="00BE5A4B"/>
    <w:rsid w:val="00BF1D5F"/>
    <w:rsid w:val="00BF22CA"/>
    <w:rsid w:val="00C00416"/>
    <w:rsid w:val="00C00AC1"/>
    <w:rsid w:val="00C16EE1"/>
    <w:rsid w:val="00C26032"/>
    <w:rsid w:val="00C265B0"/>
    <w:rsid w:val="00C321B5"/>
    <w:rsid w:val="00C33EDE"/>
    <w:rsid w:val="00C345E1"/>
    <w:rsid w:val="00C43F26"/>
    <w:rsid w:val="00C70FCB"/>
    <w:rsid w:val="00C977BA"/>
    <w:rsid w:val="00C97ECB"/>
    <w:rsid w:val="00CA1EF6"/>
    <w:rsid w:val="00CA283B"/>
    <w:rsid w:val="00CA3457"/>
    <w:rsid w:val="00CA52D2"/>
    <w:rsid w:val="00CA675A"/>
    <w:rsid w:val="00CA7F7E"/>
    <w:rsid w:val="00CB6E35"/>
    <w:rsid w:val="00CE1A46"/>
    <w:rsid w:val="00CE26B2"/>
    <w:rsid w:val="00CF253F"/>
    <w:rsid w:val="00CF56B4"/>
    <w:rsid w:val="00D20F09"/>
    <w:rsid w:val="00D22636"/>
    <w:rsid w:val="00D40FD9"/>
    <w:rsid w:val="00D430F6"/>
    <w:rsid w:val="00D45764"/>
    <w:rsid w:val="00D45A31"/>
    <w:rsid w:val="00D50FDF"/>
    <w:rsid w:val="00D53769"/>
    <w:rsid w:val="00D65912"/>
    <w:rsid w:val="00D85C13"/>
    <w:rsid w:val="00D91BE3"/>
    <w:rsid w:val="00D94AFC"/>
    <w:rsid w:val="00DB70AE"/>
    <w:rsid w:val="00DB7231"/>
    <w:rsid w:val="00DC1C00"/>
    <w:rsid w:val="00DD27FE"/>
    <w:rsid w:val="00DD5071"/>
    <w:rsid w:val="00DD5C39"/>
    <w:rsid w:val="00DE2125"/>
    <w:rsid w:val="00DE26AF"/>
    <w:rsid w:val="00DE7DB7"/>
    <w:rsid w:val="00DF01D3"/>
    <w:rsid w:val="00E00A0A"/>
    <w:rsid w:val="00E051AB"/>
    <w:rsid w:val="00E06BAA"/>
    <w:rsid w:val="00E07F57"/>
    <w:rsid w:val="00E1040E"/>
    <w:rsid w:val="00E21018"/>
    <w:rsid w:val="00E50BCE"/>
    <w:rsid w:val="00E61292"/>
    <w:rsid w:val="00E71548"/>
    <w:rsid w:val="00E71E4C"/>
    <w:rsid w:val="00E76309"/>
    <w:rsid w:val="00E77C4D"/>
    <w:rsid w:val="00E81D01"/>
    <w:rsid w:val="00E972C3"/>
    <w:rsid w:val="00EC3DB1"/>
    <w:rsid w:val="00EE45D8"/>
    <w:rsid w:val="00F004CD"/>
    <w:rsid w:val="00F02D87"/>
    <w:rsid w:val="00F04C76"/>
    <w:rsid w:val="00F13D39"/>
    <w:rsid w:val="00F208C4"/>
    <w:rsid w:val="00F22A22"/>
    <w:rsid w:val="00F22EDA"/>
    <w:rsid w:val="00F3224D"/>
    <w:rsid w:val="00F33E0E"/>
    <w:rsid w:val="00F346CB"/>
    <w:rsid w:val="00F503E2"/>
    <w:rsid w:val="00F5664C"/>
    <w:rsid w:val="00F72C44"/>
    <w:rsid w:val="00F93D51"/>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D4FB6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1922</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2018-09-03T10:02:00Z</dcterms:created>
  <dcterms:modified xsi:type="dcterms:W3CDTF">2018-09-03T10:02:00Z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