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292C7" w14:textId="77777777" w:rsidR="008A6059" w:rsidRPr="009B7433" w:rsidRDefault="0081537C" w:rsidP="008A6059">
      <w:pPr>
        <w:jc w:val="center"/>
        <w:rPr>
          <w:rFonts w:ascii="Book Antiqua" w:hAnsi="Book Antiqua" w:cs="Arial"/>
          <w:caps/>
          <w:color w:val="000000"/>
          <w:sz w:val="16"/>
          <w:szCs w:val="16"/>
        </w:rPr>
      </w:pPr>
      <w:r>
        <w:rPr>
          <w:noProof/>
          <w:lang w:val="en-US" w:eastAsia="en-US"/>
        </w:rPr>
        <w:drawing>
          <wp:inline distT="0" distB="0" distL="0" distR="0" wp14:anchorId="6EDCD468" wp14:editId="28CD93D7">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541592EA" w14:textId="26B7C1F7" w:rsidR="00D94AFC" w:rsidRPr="009B7433" w:rsidRDefault="00D94AFC">
      <w:pPr>
        <w:rPr>
          <w:rFonts w:ascii="Book Antiqua" w:hAnsi="Book Antiqua" w:cs="Arial"/>
          <w:color w:val="000000"/>
          <w:sz w:val="16"/>
          <w:szCs w:val="16"/>
        </w:rPr>
      </w:pPr>
    </w:p>
    <w:p w14:paraId="5AB204CE" w14:textId="77777777" w:rsidR="00D94AFC" w:rsidRPr="009B7433" w:rsidRDefault="00D94AFC">
      <w:pPr>
        <w:rPr>
          <w:rFonts w:ascii="Book Antiqua" w:hAnsi="Book Antiqua" w:cs="Arial"/>
          <w:color w:val="000000"/>
        </w:rPr>
      </w:pPr>
    </w:p>
    <w:p w14:paraId="7A6F3EF4"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18CF1AF7" w14:textId="0D45EB2F"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81537C">
        <w:rPr>
          <w:rFonts w:ascii="Book Antiqua" w:hAnsi="Book Antiqua" w:cs="Arial"/>
          <w:caps/>
          <w:color w:val="000000"/>
        </w:rPr>
        <w:t>HU/</w:t>
      </w:r>
      <w:r w:rsidR="00271E4C">
        <w:rPr>
          <w:rFonts w:ascii="Book Antiqua" w:hAnsi="Book Antiqua" w:cs="Arial"/>
          <w:caps/>
          <w:color w:val="000000"/>
        </w:rPr>
        <w:t>26891</w:t>
      </w:r>
      <w:r w:rsidR="0081537C">
        <w:rPr>
          <w:rFonts w:ascii="Book Antiqua" w:hAnsi="Book Antiqua" w:cs="Arial"/>
          <w:caps/>
          <w:color w:val="000000"/>
        </w:rPr>
        <w:t>/2016</w:t>
      </w:r>
    </w:p>
    <w:p w14:paraId="5C4A472D" w14:textId="77777777" w:rsidR="00C345E1" w:rsidRPr="009B7433" w:rsidRDefault="00C345E1" w:rsidP="00C345E1">
      <w:pPr>
        <w:jc w:val="center"/>
        <w:rPr>
          <w:rFonts w:ascii="Book Antiqua" w:hAnsi="Book Antiqua" w:cs="Arial"/>
          <w:color w:val="000000"/>
        </w:rPr>
      </w:pPr>
    </w:p>
    <w:p w14:paraId="28997432" w14:textId="77777777" w:rsidR="00C345E1" w:rsidRPr="009B7433" w:rsidRDefault="00C345E1" w:rsidP="00C345E1">
      <w:pPr>
        <w:jc w:val="center"/>
        <w:rPr>
          <w:rFonts w:ascii="Book Antiqua" w:hAnsi="Book Antiqua" w:cs="Arial"/>
          <w:color w:val="000000"/>
        </w:rPr>
      </w:pPr>
    </w:p>
    <w:p w14:paraId="220B7CC1"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2DBDC2BE" w14:textId="77777777" w:rsidR="00C345E1" w:rsidRPr="009B7433" w:rsidRDefault="00C345E1" w:rsidP="00C345E1">
      <w:pPr>
        <w:jc w:val="center"/>
        <w:rPr>
          <w:rFonts w:ascii="Book Antiqua" w:hAnsi="Book Antiqua" w:cs="Arial"/>
          <w:b/>
          <w:u w:val="single"/>
        </w:rPr>
      </w:pPr>
    </w:p>
    <w:p w14:paraId="63E4C990"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EBB1AFF" w14:textId="77777777" w:rsidTr="00D949B7">
        <w:tc>
          <w:tcPr>
            <w:tcW w:w="6048" w:type="dxa"/>
          </w:tcPr>
          <w:p w14:paraId="5B1591A5"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81537C">
              <w:rPr>
                <w:rFonts w:ascii="Book Antiqua" w:hAnsi="Book Antiqua" w:cs="Arial"/>
                <w:b/>
              </w:rPr>
              <w:t>Field House</w:t>
            </w:r>
          </w:p>
        </w:tc>
        <w:tc>
          <w:tcPr>
            <w:tcW w:w="3960" w:type="dxa"/>
          </w:tcPr>
          <w:p w14:paraId="65815C34"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36DE9308" w14:textId="77777777" w:rsidTr="00D949B7">
        <w:tc>
          <w:tcPr>
            <w:tcW w:w="6048" w:type="dxa"/>
          </w:tcPr>
          <w:p w14:paraId="5B0775E3" w14:textId="5F201355"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EE4883">
              <w:rPr>
                <w:rFonts w:ascii="Book Antiqua" w:hAnsi="Book Antiqua" w:cs="Arial"/>
                <w:b/>
              </w:rPr>
              <w:t>13</w:t>
            </w:r>
            <w:r w:rsidR="0081537C" w:rsidRPr="0081537C">
              <w:rPr>
                <w:rFonts w:ascii="Book Antiqua" w:hAnsi="Book Antiqua" w:cs="Arial"/>
                <w:b/>
                <w:vertAlign w:val="superscript"/>
              </w:rPr>
              <w:t>th</w:t>
            </w:r>
            <w:r w:rsidR="0081537C">
              <w:rPr>
                <w:rFonts w:ascii="Book Antiqua" w:hAnsi="Book Antiqua" w:cs="Arial"/>
                <w:b/>
              </w:rPr>
              <w:t xml:space="preserve"> </w:t>
            </w:r>
            <w:r w:rsidR="00EE4883">
              <w:rPr>
                <w:rFonts w:ascii="Book Antiqua" w:hAnsi="Book Antiqua" w:cs="Arial"/>
                <w:b/>
              </w:rPr>
              <w:t xml:space="preserve">July </w:t>
            </w:r>
            <w:r w:rsidR="0081537C">
              <w:rPr>
                <w:rFonts w:ascii="Book Antiqua" w:hAnsi="Book Antiqua" w:cs="Arial"/>
                <w:b/>
              </w:rPr>
              <w:t>2018</w:t>
            </w:r>
          </w:p>
        </w:tc>
        <w:tc>
          <w:tcPr>
            <w:tcW w:w="3960" w:type="dxa"/>
          </w:tcPr>
          <w:p w14:paraId="484269B8" w14:textId="6A09283D" w:rsidR="00D22636" w:rsidRPr="009B7433" w:rsidRDefault="00EF0BF9" w:rsidP="004A1848">
            <w:pPr>
              <w:jc w:val="both"/>
              <w:rPr>
                <w:rFonts w:ascii="Book Antiqua" w:hAnsi="Book Antiqua" w:cs="Arial"/>
                <w:b/>
              </w:rPr>
            </w:pPr>
            <w:r>
              <w:rPr>
                <w:rFonts w:ascii="Book Antiqua" w:hAnsi="Book Antiqua" w:cs="Arial"/>
                <w:b/>
              </w:rPr>
              <w:t>1</w:t>
            </w:r>
            <w:r w:rsidRPr="00EF0BF9">
              <w:rPr>
                <w:rFonts w:ascii="Book Antiqua" w:hAnsi="Book Antiqua" w:cs="Arial"/>
                <w:b/>
                <w:vertAlign w:val="superscript"/>
              </w:rPr>
              <w:t>st</w:t>
            </w:r>
            <w:r>
              <w:rPr>
                <w:rFonts w:ascii="Book Antiqua" w:hAnsi="Book Antiqua" w:cs="Arial"/>
                <w:b/>
              </w:rPr>
              <w:t xml:space="preserve"> August 2018 </w:t>
            </w:r>
          </w:p>
        </w:tc>
      </w:tr>
      <w:tr w:rsidR="00D22636" w:rsidRPr="009B7433" w14:paraId="4CF16FAB" w14:textId="77777777" w:rsidTr="00D949B7">
        <w:tc>
          <w:tcPr>
            <w:tcW w:w="6048" w:type="dxa"/>
          </w:tcPr>
          <w:p w14:paraId="13BB75EC" w14:textId="77777777" w:rsidR="00D22636" w:rsidRPr="009B7433" w:rsidRDefault="00D22636" w:rsidP="004A1848">
            <w:pPr>
              <w:jc w:val="both"/>
              <w:rPr>
                <w:rFonts w:ascii="Book Antiqua" w:hAnsi="Book Antiqua" w:cs="Arial"/>
                <w:b/>
              </w:rPr>
            </w:pPr>
          </w:p>
        </w:tc>
        <w:tc>
          <w:tcPr>
            <w:tcW w:w="3960" w:type="dxa"/>
          </w:tcPr>
          <w:p w14:paraId="19A79450" w14:textId="17147AB2" w:rsidR="00D22636" w:rsidRPr="009B7433" w:rsidRDefault="00D22636" w:rsidP="004A1848">
            <w:pPr>
              <w:jc w:val="both"/>
              <w:rPr>
                <w:rFonts w:ascii="Book Antiqua" w:hAnsi="Book Antiqua" w:cs="Arial"/>
                <w:b/>
              </w:rPr>
            </w:pPr>
          </w:p>
        </w:tc>
      </w:tr>
    </w:tbl>
    <w:p w14:paraId="6555CC35" w14:textId="77777777" w:rsidR="00A15234" w:rsidRPr="009B7433" w:rsidRDefault="00A15234" w:rsidP="00A15234">
      <w:pPr>
        <w:jc w:val="center"/>
        <w:rPr>
          <w:rFonts w:ascii="Book Antiqua" w:hAnsi="Book Antiqua" w:cs="Arial"/>
        </w:rPr>
      </w:pPr>
    </w:p>
    <w:p w14:paraId="294DF51E"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EC14A61" w14:textId="77777777" w:rsidR="00A15234" w:rsidRPr="009B7433" w:rsidRDefault="00A15234" w:rsidP="00A15234">
      <w:pPr>
        <w:jc w:val="center"/>
        <w:rPr>
          <w:rFonts w:ascii="Book Antiqua" w:hAnsi="Book Antiqua" w:cs="Arial"/>
          <w:b/>
        </w:rPr>
      </w:pPr>
    </w:p>
    <w:p w14:paraId="484F33D8"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2184BFAF" w14:textId="77777777" w:rsidR="001B186A" w:rsidRPr="009B7433" w:rsidRDefault="001B186A" w:rsidP="00A15234">
      <w:pPr>
        <w:jc w:val="center"/>
        <w:rPr>
          <w:rFonts w:ascii="Book Antiqua" w:hAnsi="Book Antiqua" w:cs="Arial"/>
          <w:b/>
          <w:color w:val="000000"/>
        </w:rPr>
      </w:pPr>
    </w:p>
    <w:p w14:paraId="7CBA6AB9" w14:textId="77777777" w:rsidR="00D20757" w:rsidRPr="009B7433" w:rsidRDefault="00D20757" w:rsidP="00A15234">
      <w:pPr>
        <w:jc w:val="center"/>
        <w:rPr>
          <w:rFonts w:ascii="Book Antiqua" w:hAnsi="Book Antiqua" w:cs="Arial"/>
          <w:b/>
        </w:rPr>
      </w:pPr>
    </w:p>
    <w:p w14:paraId="169D265B"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25D5414F" w14:textId="77777777" w:rsidR="00A845DC" w:rsidRPr="009B7433" w:rsidRDefault="00A845DC" w:rsidP="00A15234">
      <w:pPr>
        <w:jc w:val="center"/>
        <w:rPr>
          <w:rFonts w:ascii="Book Antiqua" w:hAnsi="Book Antiqua" w:cs="Arial"/>
          <w:b/>
        </w:rPr>
      </w:pPr>
    </w:p>
    <w:p w14:paraId="01373BC9" w14:textId="5A1A6D35" w:rsidR="00A845DC" w:rsidRDefault="0081537C" w:rsidP="00A15234">
      <w:pPr>
        <w:jc w:val="center"/>
        <w:rPr>
          <w:rFonts w:ascii="Book Antiqua" w:hAnsi="Book Antiqua" w:cs="Arial"/>
          <w:b/>
          <w:caps/>
        </w:rPr>
      </w:pPr>
      <w:r>
        <w:rPr>
          <w:rFonts w:ascii="Book Antiqua" w:hAnsi="Book Antiqua" w:cs="Arial"/>
          <w:b/>
          <w:caps/>
        </w:rPr>
        <w:t>M</w:t>
      </w:r>
      <w:r w:rsidR="00EE4883">
        <w:rPr>
          <w:rFonts w:ascii="Book Antiqua" w:hAnsi="Book Antiqua" w:cs="Arial"/>
          <w:b/>
          <w:caps/>
        </w:rPr>
        <w:t xml:space="preserve">ISS PAVARISA SAINAK </w:t>
      </w:r>
    </w:p>
    <w:p w14:paraId="13454824" w14:textId="5F69B88A" w:rsidR="00704B61" w:rsidRPr="00424491" w:rsidRDefault="00D949B7" w:rsidP="00FD5B31">
      <w:pPr>
        <w:jc w:val="center"/>
        <w:rPr>
          <w:rFonts w:ascii="Book Antiqua" w:hAnsi="Book Antiqua" w:cs="Arial"/>
          <w:b/>
          <w:caps/>
          <w:sz w:val="22"/>
        </w:rPr>
      </w:pPr>
      <w:r w:rsidRPr="00424491">
        <w:rPr>
          <w:rFonts w:ascii="Book Antiqua" w:hAnsi="Book Antiqua" w:cs="Arial"/>
          <w:b/>
          <w:caps/>
          <w:sz w:val="22"/>
        </w:rPr>
        <w:t xml:space="preserve">(ANONYMITY DIRECTION </w:t>
      </w:r>
      <w:r w:rsidR="0081537C" w:rsidRPr="00424491">
        <w:rPr>
          <w:rFonts w:ascii="Book Antiqua" w:hAnsi="Book Antiqua" w:cs="Arial"/>
          <w:b/>
          <w:caps/>
          <w:sz w:val="22"/>
        </w:rPr>
        <w:t>NOT MADE</w:t>
      </w:r>
      <w:r w:rsidRPr="00424491">
        <w:rPr>
          <w:rFonts w:ascii="Book Antiqua" w:hAnsi="Book Antiqua" w:cs="Arial"/>
          <w:b/>
          <w:caps/>
          <w:sz w:val="22"/>
        </w:rPr>
        <w:t>)</w:t>
      </w:r>
    </w:p>
    <w:p w14:paraId="63ED5AB4"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3BD8C20"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39B56E35" w14:textId="77777777" w:rsidR="00DD5071" w:rsidRPr="009B7433" w:rsidRDefault="00DD5071" w:rsidP="00704B61">
      <w:pPr>
        <w:jc w:val="center"/>
        <w:rPr>
          <w:rFonts w:ascii="Book Antiqua" w:hAnsi="Book Antiqua" w:cs="Arial"/>
          <w:b/>
        </w:rPr>
      </w:pPr>
    </w:p>
    <w:p w14:paraId="0051C525"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14:paraId="3D5636D1"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2F81BA68" w14:textId="77777777" w:rsidR="00DD5071" w:rsidRPr="009B7433" w:rsidRDefault="00DD5071" w:rsidP="00DD5071">
      <w:pPr>
        <w:rPr>
          <w:rFonts w:ascii="Book Antiqua" w:hAnsi="Book Antiqua" w:cs="Arial"/>
          <w:u w:val="single"/>
        </w:rPr>
      </w:pPr>
    </w:p>
    <w:p w14:paraId="1ED8F064" w14:textId="77777777" w:rsidR="00DD5071" w:rsidRPr="009B7433" w:rsidRDefault="00DD5071" w:rsidP="00DD5071">
      <w:pPr>
        <w:rPr>
          <w:rFonts w:ascii="Book Antiqua" w:hAnsi="Book Antiqua" w:cs="Arial"/>
          <w:u w:val="single"/>
        </w:rPr>
      </w:pPr>
    </w:p>
    <w:p w14:paraId="038AE02F"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4D2B6D12" w14:textId="20D04A7B"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E4883">
        <w:rPr>
          <w:rFonts w:ascii="Book Antiqua" w:hAnsi="Book Antiqua" w:cs="Arial"/>
        </w:rPr>
        <w:t xml:space="preserve">Ms S </w:t>
      </w:r>
      <w:proofErr w:type="spellStart"/>
      <w:r w:rsidR="00EE4883">
        <w:rPr>
          <w:rFonts w:ascii="Book Antiqua" w:hAnsi="Book Antiqua" w:cs="Arial"/>
        </w:rPr>
        <w:t>Iengar</w:t>
      </w:r>
      <w:proofErr w:type="spellEnd"/>
      <w:r w:rsidR="0081537C">
        <w:rPr>
          <w:rFonts w:ascii="Book Antiqua" w:hAnsi="Book Antiqua" w:cs="Arial"/>
        </w:rPr>
        <w:t xml:space="preserve">, </w:t>
      </w:r>
      <w:r w:rsidR="00EE4883">
        <w:rPr>
          <w:rFonts w:ascii="Book Antiqua" w:hAnsi="Book Antiqua" w:cs="Arial"/>
        </w:rPr>
        <w:t>Counsel</w:t>
      </w:r>
      <w:r w:rsidR="0081537C">
        <w:rPr>
          <w:rFonts w:ascii="Book Antiqua" w:hAnsi="Book Antiqua" w:cs="Arial"/>
        </w:rPr>
        <w:t xml:space="preserve"> </w:t>
      </w:r>
    </w:p>
    <w:p w14:paraId="16041BA5" w14:textId="76C84F25"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81537C">
        <w:rPr>
          <w:rFonts w:ascii="Book Antiqua" w:hAnsi="Book Antiqua" w:cs="Arial"/>
        </w:rPr>
        <w:t>M</w:t>
      </w:r>
      <w:r w:rsidR="00EE4883">
        <w:rPr>
          <w:rFonts w:ascii="Book Antiqua" w:hAnsi="Book Antiqua" w:cs="Arial"/>
        </w:rPr>
        <w:t xml:space="preserve">s L Kenny, </w:t>
      </w:r>
      <w:r w:rsidR="0081537C">
        <w:rPr>
          <w:rFonts w:ascii="Book Antiqua" w:hAnsi="Book Antiqua" w:cs="Arial"/>
        </w:rPr>
        <w:t xml:space="preserve">Senior Presenting Officer </w:t>
      </w:r>
    </w:p>
    <w:p w14:paraId="36A533BA" w14:textId="77777777" w:rsidR="00DE7DB7" w:rsidRPr="009B7433" w:rsidRDefault="00DE7DB7" w:rsidP="00402B9E">
      <w:pPr>
        <w:tabs>
          <w:tab w:val="left" w:pos="2520"/>
        </w:tabs>
        <w:jc w:val="center"/>
        <w:rPr>
          <w:rFonts w:ascii="Book Antiqua" w:hAnsi="Book Antiqua" w:cs="Arial"/>
        </w:rPr>
      </w:pPr>
    </w:p>
    <w:p w14:paraId="7ABE358B" w14:textId="77777777" w:rsidR="00DE7DB7" w:rsidRPr="009B7433" w:rsidRDefault="00DE7DB7" w:rsidP="000A0743">
      <w:pPr>
        <w:jc w:val="center"/>
        <w:rPr>
          <w:rFonts w:ascii="Book Antiqua" w:hAnsi="Book Antiqua" w:cs="Arial"/>
        </w:rPr>
      </w:pPr>
    </w:p>
    <w:p w14:paraId="6E190091"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0714DA06" w14:textId="77777777" w:rsidR="00EE4883" w:rsidRDefault="008A2D37"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appeals against the decision of First-tier Tribunal Judge </w:t>
      </w:r>
      <w:r w:rsidR="00EE4883">
        <w:rPr>
          <w:rFonts w:ascii="Book Antiqua" w:hAnsi="Book Antiqua" w:cs="Arial"/>
        </w:rPr>
        <w:t>Hussain</w:t>
      </w:r>
      <w:r>
        <w:rPr>
          <w:rFonts w:ascii="Book Antiqua" w:hAnsi="Book Antiqua" w:cs="Arial"/>
        </w:rPr>
        <w:t xml:space="preserve"> dismissing </w:t>
      </w:r>
      <w:r w:rsidR="00EE4883">
        <w:rPr>
          <w:rFonts w:ascii="Book Antiqua" w:hAnsi="Book Antiqua" w:cs="Arial"/>
        </w:rPr>
        <w:t>her</w:t>
      </w:r>
      <w:r>
        <w:rPr>
          <w:rFonts w:ascii="Book Antiqua" w:hAnsi="Book Antiqua" w:cs="Arial"/>
        </w:rPr>
        <w:t xml:space="preserve"> appeal against the </w:t>
      </w:r>
      <w:r w:rsidR="00EE4883">
        <w:rPr>
          <w:rFonts w:ascii="Book Antiqua" w:hAnsi="Book Antiqua" w:cs="Arial"/>
        </w:rPr>
        <w:t xml:space="preserve">refusal of an application for leave to remain on the basis of her family and private life with her British partner.  </w:t>
      </w:r>
    </w:p>
    <w:p w14:paraId="39F00E84" w14:textId="45EDEE2B" w:rsidR="00EE4883" w:rsidRDefault="00EE4883"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appealed against that decision and permission to appeal was granted by First-tier Tribunal Judge L Murray in the following terms:</w:t>
      </w:r>
    </w:p>
    <w:p w14:paraId="53D6D132" w14:textId="7D1832FE" w:rsidR="00EE4883" w:rsidRDefault="00EE4883" w:rsidP="00EE4883">
      <w:pPr>
        <w:spacing w:before="240"/>
        <w:ind w:left="1134"/>
        <w:jc w:val="both"/>
        <w:rPr>
          <w:rFonts w:ascii="Book Antiqua" w:hAnsi="Book Antiqua" w:cs="Arial"/>
        </w:rPr>
      </w:pPr>
      <w:r>
        <w:rPr>
          <w:rFonts w:ascii="Book Antiqua" w:hAnsi="Book Antiqua" w:cs="Arial"/>
        </w:rPr>
        <w:lastRenderedPageBreak/>
        <w:t>“The grounds assert that the judge erred in making a perverse finding that there would be no insurmountable obstacles to family life continuing in Thailand in the light of the medical and other evidence relating to the Appellant’s partner; failed to take into account medical evidence dated 19</w:t>
      </w:r>
      <w:r w:rsidRPr="00EE4883">
        <w:rPr>
          <w:rFonts w:ascii="Book Antiqua" w:hAnsi="Book Antiqua" w:cs="Arial"/>
          <w:vertAlign w:val="superscript"/>
        </w:rPr>
        <w:t>th</w:t>
      </w:r>
      <w:r>
        <w:rPr>
          <w:rFonts w:ascii="Book Antiqua" w:hAnsi="Book Antiqua" w:cs="Arial"/>
        </w:rPr>
        <w:t xml:space="preserve"> November 2017 and failed to demonstrate any public interest in the Appellant</w:t>
      </w:r>
      <w:r w:rsidR="00581CB1">
        <w:rPr>
          <w:rFonts w:ascii="Book Antiqua" w:hAnsi="Book Antiqua" w:cs="Arial"/>
        </w:rPr>
        <w:t>’</w:t>
      </w:r>
      <w:r>
        <w:rPr>
          <w:rFonts w:ascii="Book Antiqua" w:hAnsi="Book Antiqua" w:cs="Arial"/>
        </w:rPr>
        <w:t>s removal.</w:t>
      </w:r>
    </w:p>
    <w:p w14:paraId="728A7756" w14:textId="67F6CDEB" w:rsidR="0080068E" w:rsidRDefault="0080068E" w:rsidP="00EE4883">
      <w:pPr>
        <w:spacing w:before="240"/>
        <w:ind w:left="1134"/>
        <w:jc w:val="both"/>
        <w:rPr>
          <w:rFonts w:ascii="Book Antiqua" w:hAnsi="Book Antiqua" w:cs="Arial"/>
        </w:rPr>
      </w:pPr>
      <w:r>
        <w:rPr>
          <w:rFonts w:ascii="Book Antiqua" w:hAnsi="Book Antiqua" w:cs="Arial"/>
        </w:rPr>
        <w:t>The grounds are arguable.  The First-tier Tribunal found that the Appellant had provided no more recent evidence of her partner’s medical conditions than a letter dated 18</w:t>
      </w:r>
      <w:r w:rsidRPr="0080068E">
        <w:rPr>
          <w:rFonts w:ascii="Book Antiqua" w:hAnsi="Book Antiqua" w:cs="Arial"/>
          <w:vertAlign w:val="superscript"/>
        </w:rPr>
        <w:t>th</w:t>
      </w:r>
      <w:r>
        <w:rPr>
          <w:rFonts w:ascii="Book Antiqua" w:hAnsi="Book Antiqua" w:cs="Arial"/>
        </w:rPr>
        <w:t xml:space="preserve"> October 2016 (mentioned at paragraph 22).  However, there was a letter detailing his medical problems dated 29</w:t>
      </w:r>
      <w:r w:rsidRPr="0080068E">
        <w:rPr>
          <w:rFonts w:ascii="Book Antiqua" w:hAnsi="Book Antiqua" w:cs="Arial"/>
          <w:vertAlign w:val="superscript"/>
        </w:rPr>
        <w:t>th</w:t>
      </w:r>
      <w:r>
        <w:rPr>
          <w:rFonts w:ascii="Book Antiqua" w:hAnsi="Book Antiqua" w:cs="Arial"/>
        </w:rPr>
        <w:t xml:space="preserve"> November 2017 from Waterloo Health at page 82 and 83 of his bundle.  It is arguable that the judge materially misapprehended the evidence on a material issue”.</w:t>
      </w:r>
    </w:p>
    <w:p w14:paraId="3EDE7B58" w14:textId="378C53AF" w:rsidR="0080068E" w:rsidRDefault="0080068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was not provided with a Rule 24 response from the Secretary </w:t>
      </w:r>
      <w:r w:rsidR="008A2D37">
        <w:rPr>
          <w:rFonts w:ascii="Book Antiqua" w:hAnsi="Book Antiqua" w:cs="Arial"/>
        </w:rPr>
        <w:t>of State</w:t>
      </w:r>
      <w:r>
        <w:rPr>
          <w:rFonts w:ascii="Book Antiqua" w:hAnsi="Book Antiqua" w:cs="Arial"/>
        </w:rPr>
        <w:t xml:space="preserve"> but was given the indication that the appeal was resisted.  </w:t>
      </w:r>
    </w:p>
    <w:p w14:paraId="1D732702" w14:textId="752B5606" w:rsidR="0080068E" w:rsidRPr="0080068E" w:rsidRDefault="0080068E" w:rsidP="0080068E">
      <w:pPr>
        <w:spacing w:before="240"/>
        <w:jc w:val="both"/>
        <w:rPr>
          <w:rFonts w:ascii="Book Antiqua" w:hAnsi="Book Antiqua" w:cs="Arial"/>
          <w:b/>
          <w:u w:val="single"/>
        </w:rPr>
      </w:pPr>
      <w:r>
        <w:rPr>
          <w:rFonts w:ascii="Book Antiqua" w:hAnsi="Book Antiqua" w:cs="Arial"/>
          <w:b/>
          <w:u w:val="single"/>
        </w:rPr>
        <w:t>Error of Law</w:t>
      </w:r>
    </w:p>
    <w:p w14:paraId="28A85026" w14:textId="5B438615" w:rsidR="0080068E" w:rsidRDefault="0080068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At the close of </w:t>
      </w:r>
      <w:proofErr w:type="gramStart"/>
      <w:r>
        <w:rPr>
          <w:rFonts w:ascii="Book Antiqua" w:hAnsi="Book Antiqua" w:cs="Arial"/>
        </w:rPr>
        <w:t>submissions</w:t>
      </w:r>
      <w:proofErr w:type="gramEnd"/>
      <w:r>
        <w:rPr>
          <w:rFonts w:ascii="Book Antiqua" w:hAnsi="Book Antiqua" w:cs="Arial"/>
        </w:rPr>
        <w:t xml:space="preserve"> I indicated I would reserve my decision which I shall now give.  I do find that there is an error of law such that the decision should be set aside.  My reasons for so finding are as follows.</w:t>
      </w:r>
    </w:p>
    <w:p w14:paraId="15D292AF" w14:textId="77777777" w:rsidR="00852B3D" w:rsidRDefault="0080068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the grounds as they were drafted, Ms </w:t>
      </w:r>
      <w:proofErr w:type="spellStart"/>
      <w:r>
        <w:rPr>
          <w:rFonts w:ascii="Book Antiqua" w:hAnsi="Book Antiqua" w:cs="Arial"/>
        </w:rPr>
        <w:t>Iengar</w:t>
      </w:r>
      <w:proofErr w:type="spellEnd"/>
      <w:r>
        <w:rPr>
          <w:rFonts w:ascii="Book Antiqua" w:hAnsi="Book Antiqua" w:cs="Arial"/>
        </w:rPr>
        <w:t xml:space="preserve"> did embellish them to some degree for which I am grateful</w:t>
      </w:r>
      <w:r w:rsidR="00852B3D">
        <w:rPr>
          <w:rFonts w:ascii="Book Antiqua" w:hAnsi="Book Antiqua" w:cs="Arial"/>
        </w:rPr>
        <w:t>,</w:t>
      </w:r>
      <w:r>
        <w:rPr>
          <w:rFonts w:ascii="Book Antiqua" w:hAnsi="Book Antiqua" w:cs="Arial"/>
        </w:rPr>
        <w:t xml:space="preserve"> particularly as she highlighted the materiality of the </w:t>
      </w:r>
      <w:r w:rsidR="00852B3D">
        <w:rPr>
          <w:rFonts w:ascii="Book Antiqua" w:hAnsi="Book Antiqua" w:cs="Arial"/>
        </w:rPr>
        <w:t xml:space="preserve">alleged error in the judge’s </w:t>
      </w:r>
      <w:r>
        <w:rPr>
          <w:rFonts w:ascii="Book Antiqua" w:hAnsi="Book Antiqua" w:cs="Arial"/>
        </w:rPr>
        <w:t>failure to consider the up-to-date evidence of the Appellant’s medical condition.  In the judge’s decision at paragraph 22 the judge notes that “</w:t>
      </w:r>
      <w:r w:rsidR="00581CB1">
        <w:rPr>
          <w:rFonts w:ascii="Book Antiqua" w:hAnsi="Book Antiqua" w:cs="Arial"/>
        </w:rPr>
        <w:t>i</w:t>
      </w:r>
      <w:r>
        <w:rPr>
          <w:rFonts w:ascii="Book Antiqua" w:hAnsi="Book Antiqua" w:cs="Arial"/>
        </w:rPr>
        <w:t xml:space="preserve">t is regrettable that a more up-to-date medical report was not provided” and </w:t>
      </w:r>
      <w:r w:rsidR="00852B3D">
        <w:rPr>
          <w:rFonts w:ascii="Book Antiqua" w:hAnsi="Book Antiqua" w:cs="Arial"/>
        </w:rPr>
        <w:t xml:space="preserve">again at paragraph 27 </w:t>
      </w:r>
      <w:r>
        <w:rPr>
          <w:rFonts w:ascii="Book Antiqua" w:hAnsi="Book Antiqua" w:cs="Arial"/>
        </w:rPr>
        <w:t>further states that “</w:t>
      </w:r>
      <w:r w:rsidR="00581CB1">
        <w:rPr>
          <w:rFonts w:ascii="Book Antiqua" w:hAnsi="Book Antiqua" w:cs="Arial"/>
        </w:rPr>
        <w:t>i</w:t>
      </w:r>
      <w:r w:rsidR="008C2968">
        <w:rPr>
          <w:rFonts w:ascii="Book Antiqua" w:hAnsi="Book Antiqua" w:cs="Arial"/>
        </w:rPr>
        <w:t xml:space="preserve">t is unfortunate that there is no up-to-date medical report”.  Given that the judge seems to have been unaware of the up-to-date letter, it is for this inadvertent </w:t>
      </w:r>
      <w:r w:rsidR="00852B3D">
        <w:rPr>
          <w:rFonts w:ascii="Book Antiqua" w:hAnsi="Book Antiqua" w:cs="Arial"/>
        </w:rPr>
        <w:t xml:space="preserve">error </w:t>
      </w:r>
      <w:r w:rsidR="008C2968">
        <w:rPr>
          <w:rFonts w:ascii="Book Antiqua" w:hAnsi="Book Antiqua" w:cs="Arial"/>
        </w:rPr>
        <w:t>that the judge did not give consideration to that medical evidence which</w:t>
      </w:r>
      <w:r w:rsidR="00607848">
        <w:rPr>
          <w:rFonts w:ascii="Book Antiqua" w:hAnsi="Book Antiqua" w:cs="Arial"/>
        </w:rPr>
        <w:t xml:space="preserve"> may have resulted in the judge coming to a different conclusion as the letter dated 29</w:t>
      </w:r>
      <w:r w:rsidR="00607848" w:rsidRPr="00607848">
        <w:rPr>
          <w:rFonts w:ascii="Book Antiqua" w:hAnsi="Book Antiqua" w:cs="Arial"/>
          <w:vertAlign w:val="superscript"/>
        </w:rPr>
        <w:t>th</w:t>
      </w:r>
      <w:r w:rsidR="00607848">
        <w:rPr>
          <w:rFonts w:ascii="Book Antiqua" w:hAnsi="Book Antiqua" w:cs="Arial"/>
        </w:rPr>
        <w:t xml:space="preserve"> November 2017 from Waterloo Health (see pages 82 to 83 of the Appellant’s bundle) does mention, </w:t>
      </w:r>
      <w:r w:rsidR="00607848" w:rsidRPr="00852B3D">
        <w:rPr>
          <w:rFonts w:ascii="Book Antiqua" w:hAnsi="Book Antiqua" w:cs="Arial"/>
          <w:i/>
        </w:rPr>
        <w:t>inter alia</w:t>
      </w:r>
      <w:r w:rsidR="00607848">
        <w:rPr>
          <w:rFonts w:ascii="Book Antiqua" w:hAnsi="Book Antiqua" w:cs="Arial"/>
        </w:rPr>
        <w:t xml:space="preserve">, that the Appellant is suffering from depression, anxiety and post-traumatic stress disorder and importantly, that he has been under the care of the CMHT and undergone psychotherapy and remains on psychotropic medication, suffers from memory impairment and most important of all “has difficulties in engaging with other people, especially new people and in particular in unfamiliar or new environments”.  </w:t>
      </w:r>
    </w:p>
    <w:p w14:paraId="56650E46" w14:textId="39BCEE9A" w:rsidR="00581CB1" w:rsidRDefault="00607848" w:rsidP="009D348A">
      <w:pPr>
        <w:numPr>
          <w:ilvl w:val="0"/>
          <w:numId w:val="1"/>
        </w:numPr>
        <w:tabs>
          <w:tab w:val="clear" w:pos="567"/>
        </w:tabs>
        <w:spacing w:before="240"/>
        <w:jc w:val="both"/>
        <w:rPr>
          <w:rFonts w:ascii="Book Antiqua" w:hAnsi="Book Antiqua" w:cs="Arial"/>
        </w:rPr>
      </w:pPr>
      <w:r>
        <w:rPr>
          <w:rFonts w:ascii="Book Antiqua" w:hAnsi="Book Antiqua" w:cs="Arial"/>
        </w:rPr>
        <w:t>With that in mind</w:t>
      </w:r>
      <w:r w:rsidR="00852B3D">
        <w:rPr>
          <w:rFonts w:ascii="Book Antiqua" w:hAnsi="Book Antiqua" w:cs="Arial"/>
        </w:rPr>
        <w:t>,</w:t>
      </w:r>
      <w:r>
        <w:rPr>
          <w:rFonts w:ascii="Book Antiqua" w:hAnsi="Book Antiqua" w:cs="Arial"/>
        </w:rPr>
        <w:t xml:space="preserve"> the judge’s assessment that the difficulties the Appellant would face as a consequence of his medical conditions as being that he does not speak Thai and that medication for his condition would be available in Thailand and that his condition is stable does not</w:t>
      </w:r>
      <w:r w:rsidR="00852B3D">
        <w:rPr>
          <w:rFonts w:ascii="Book Antiqua" w:hAnsi="Book Antiqua" w:cs="Arial"/>
        </w:rPr>
        <w:t>, in my view,</w:t>
      </w:r>
      <w:r>
        <w:rPr>
          <w:rFonts w:ascii="Book Antiqua" w:hAnsi="Book Antiqua" w:cs="Arial"/>
        </w:rPr>
        <w:t xml:space="preserve"> reflect the evidence to which I have just referred</w:t>
      </w:r>
      <w:r w:rsidR="00852B3D">
        <w:rPr>
          <w:rFonts w:ascii="Book Antiqua" w:hAnsi="Book Antiqua" w:cs="Arial"/>
        </w:rPr>
        <w:t>,</w:t>
      </w:r>
      <w:r>
        <w:rPr>
          <w:rFonts w:ascii="Book Antiqua" w:hAnsi="Book Antiqua" w:cs="Arial"/>
        </w:rPr>
        <w:t xml:space="preserve"> and in particular does not reflect the fact that there would be more than the “normal” difficulties </w:t>
      </w:r>
      <w:r w:rsidR="00B52D6F">
        <w:rPr>
          <w:rFonts w:ascii="Book Antiqua" w:hAnsi="Book Antiqua" w:cs="Arial"/>
        </w:rPr>
        <w:t xml:space="preserve">one might face </w:t>
      </w:r>
      <w:r>
        <w:rPr>
          <w:rFonts w:ascii="Book Antiqua" w:hAnsi="Book Antiqua" w:cs="Arial"/>
        </w:rPr>
        <w:t xml:space="preserve">in adjusting to life in a foreign country given the partner’s stated difficulties.  </w:t>
      </w:r>
    </w:p>
    <w:p w14:paraId="517E2189" w14:textId="1DF45394" w:rsidR="00AD1651" w:rsidRDefault="00607848"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My decision is further supported by the Appendix FM 1.0</w:t>
      </w:r>
      <w:r w:rsidR="00581CB1">
        <w:rPr>
          <w:rFonts w:ascii="Book Antiqua" w:hAnsi="Book Antiqua" w:cs="Arial"/>
        </w:rPr>
        <w:t>b</w:t>
      </w:r>
      <w:r>
        <w:rPr>
          <w:rFonts w:ascii="Book Antiqua" w:hAnsi="Book Antiqua" w:cs="Arial"/>
        </w:rPr>
        <w:t xml:space="preserve"> guidance </w:t>
      </w:r>
      <w:r w:rsidR="00B52D6F">
        <w:rPr>
          <w:rFonts w:ascii="Book Antiqua" w:hAnsi="Book Antiqua" w:cs="Arial"/>
        </w:rPr>
        <w:t>published</w:t>
      </w:r>
      <w:r>
        <w:rPr>
          <w:rFonts w:ascii="Book Antiqua" w:hAnsi="Book Antiqua" w:cs="Arial"/>
        </w:rPr>
        <w:t xml:space="preserve"> 22</w:t>
      </w:r>
      <w:r w:rsidRPr="00607848">
        <w:rPr>
          <w:rFonts w:ascii="Book Antiqua" w:hAnsi="Book Antiqua" w:cs="Arial"/>
          <w:vertAlign w:val="superscript"/>
        </w:rPr>
        <w:t>nd</w:t>
      </w:r>
      <w:r>
        <w:rPr>
          <w:rFonts w:ascii="Book Antiqua" w:hAnsi="Book Antiqua" w:cs="Arial"/>
        </w:rPr>
        <w:t xml:space="preserve"> February 2018 (which was </w:t>
      </w:r>
      <w:r w:rsidR="00B52D6F">
        <w:rPr>
          <w:rFonts w:ascii="Book Antiqua" w:hAnsi="Book Antiqua" w:cs="Arial"/>
        </w:rPr>
        <w:t xml:space="preserve">also </w:t>
      </w:r>
      <w:r>
        <w:rPr>
          <w:rFonts w:ascii="Book Antiqua" w:hAnsi="Book Antiqua" w:cs="Arial"/>
        </w:rPr>
        <w:t xml:space="preserve">the version in force at the date of the hearing before the First-tier Tribunal) which mentions various factors on pages 36 to 38 which could constitute insurmountable obstacles (in the Secretary of State’s opinion) and </w:t>
      </w:r>
      <w:r w:rsidR="00B52D6F">
        <w:rPr>
          <w:rFonts w:ascii="Book Antiqua" w:hAnsi="Book Antiqua" w:cs="Arial"/>
        </w:rPr>
        <w:t>which includes the subject of “S</w:t>
      </w:r>
      <w:r>
        <w:rPr>
          <w:rFonts w:ascii="Book Antiqua" w:hAnsi="Book Antiqua" w:cs="Arial"/>
        </w:rPr>
        <w:t xml:space="preserve">erious cultural barriers to relocation overseas” as well as the further heading of “The impact of a mental or physical disability or of a serious illness which requires ongoing medical treatment” which latter passage mentions that </w:t>
      </w:r>
      <w:r w:rsidR="007253C3">
        <w:rPr>
          <w:rFonts w:ascii="Book Antiqua" w:hAnsi="Book Antiqua" w:cs="Arial"/>
        </w:rPr>
        <w:t>if there is independent medical evidence which establishes a mental disability which requires ongoing medical treatment this may lead to very serious hardship.</w:t>
      </w:r>
      <w:r w:rsidR="00AD1651">
        <w:rPr>
          <w:rFonts w:ascii="Book Antiqua" w:hAnsi="Book Antiqua" w:cs="Arial"/>
        </w:rPr>
        <w:t xml:space="preserve">  I </w:t>
      </w:r>
      <w:r w:rsidR="00B52D6F">
        <w:rPr>
          <w:rFonts w:ascii="Book Antiqua" w:hAnsi="Book Antiqua" w:cs="Arial"/>
        </w:rPr>
        <w:t xml:space="preserve">further </w:t>
      </w:r>
      <w:r w:rsidR="00AD1651">
        <w:rPr>
          <w:rFonts w:ascii="Book Antiqua" w:hAnsi="Book Antiqua" w:cs="Arial"/>
        </w:rPr>
        <w:t xml:space="preserve">note the guidance talks, for example, of the lack of adequate healthcare in the country, however the reality of this appeal is that the </w:t>
      </w:r>
      <w:r w:rsidR="00581CB1">
        <w:rPr>
          <w:rFonts w:ascii="Book Antiqua" w:hAnsi="Book Antiqua" w:cs="Arial"/>
        </w:rPr>
        <w:t>Sponsor</w:t>
      </w:r>
      <w:r w:rsidR="00AD1651">
        <w:rPr>
          <w:rFonts w:ascii="Book Antiqua" w:hAnsi="Book Antiqua" w:cs="Arial"/>
        </w:rPr>
        <w:t xml:space="preserve"> is a former refugee with longstanding PTSD and is receiving treatment for that from the NHS and so severe are his mental conditions that he is still in receipt of employment support allowance (ESA) as well as housing benefit.  Indeed, it is the Sponsor’s inability to meet the requirements of Appendix FM which is the </w:t>
      </w:r>
      <w:r w:rsidR="00B52D6F">
        <w:rPr>
          <w:rFonts w:ascii="Book Antiqua" w:hAnsi="Book Antiqua" w:cs="Arial"/>
        </w:rPr>
        <w:t xml:space="preserve">sole </w:t>
      </w:r>
      <w:r w:rsidR="00AD1651">
        <w:rPr>
          <w:rFonts w:ascii="Book Antiqua" w:hAnsi="Book Antiqua" w:cs="Arial"/>
        </w:rPr>
        <w:t xml:space="preserve">reason why the Appellant is unable to qualify </w:t>
      </w:r>
      <w:r w:rsidR="00B52D6F">
        <w:rPr>
          <w:rFonts w:ascii="Book Antiqua" w:hAnsi="Book Antiqua" w:cs="Arial"/>
        </w:rPr>
        <w:t>for leave to remain on the five-</w:t>
      </w:r>
      <w:r w:rsidR="00AD1651">
        <w:rPr>
          <w:rFonts w:ascii="Book Antiqua" w:hAnsi="Book Antiqua" w:cs="Arial"/>
        </w:rPr>
        <w:t>year path to settlement given that she has previous</w:t>
      </w:r>
      <w:r w:rsidR="00B52D6F">
        <w:rPr>
          <w:rFonts w:ascii="Book Antiqua" w:hAnsi="Book Antiqua" w:cs="Arial"/>
        </w:rPr>
        <w:t>ly held</w:t>
      </w:r>
      <w:r w:rsidR="00AD1651">
        <w:rPr>
          <w:rFonts w:ascii="Book Antiqua" w:hAnsi="Book Antiqua" w:cs="Arial"/>
        </w:rPr>
        <w:t xml:space="preserve"> lawful leave.  </w:t>
      </w:r>
    </w:p>
    <w:p w14:paraId="098F0869" w14:textId="61A16CD4" w:rsidR="002F3489" w:rsidRDefault="00AD1651"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Iengar</w:t>
      </w:r>
      <w:proofErr w:type="spellEnd"/>
      <w:r>
        <w:rPr>
          <w:rFonts w:ascii="Book Antiqua" w:hAnsi="Book Antiqua" w:cs="Arial"/>
        </w:rPr>
        <w:t xml:space="preserve"> further argued, and I accept, that an error is revealed in paragraph 30 of the First-tier Tribunal’s decision in that</w:t>
      </w:r>
      <w:r w:rsidR="00B52D6F">
        <w:rPr>
          <w:rFonts w:ascii="Book Antiqua" w:hAnsi="Book Antiqua" w:cs="Arial"/>
        </w:rPr>
        <w:t>:</w:t>
      </w:r>
      <w:r>
        <w:rPr>
          <w:rFonts w:ascii="Book Antiqua" w:hAnsi="Book Antiqua" w:cs="Arial"/>
        </w:rPr>
        <w:t xml:space="preserve"> </w:t>
      </w:r>
      <w:r w:rsidRPr="00B52D6F">
        <w:rPr>
          <w:rFonts w:ascii="Book Antiqua" w:hAnsi="Book Antiqua" w:cs="Arial"/>
          <w:i/>
        </w:rPr>
        <w:t>firstly</w:t>
      </w:r>
      <w:r w:rsidR="00B52D6F">
        <w:rPr>
          <w:rFonts w:ascii="Book Antiqua" w:hAnsi="Book Antiqua" w:cs="Arial"/>
        </w:rPr>
        <w:t>,</w:t>
      </w:r>
      <w:r>
        <w:rPr>
          <w:rFonts w:ascii="Book Antiqua" w:hAnsi="Book Antiqua" w:cs="Arial"/>
        </w:rPr>
        <w:t xml:space="preserve"> the judge was under the impression that the </w:t>
      </w:r>
      <w:r w:rsidR="00581CB1">
        <w:rPr>
          <w:rFonts w:ascii="Book Antiqua" w:hAnsi="Book Antiqua" w:cs="Arial"/>
        </w:rPr>
        <w:t>Sponsor</w:t>
      </w:r>
      <w:r>
        <w:rPr>
          <w:rFonts w:ascii="Book Antiqua" w:hAnsi="Book Antiqua" w:cs="Arial"/>
        </w:rPr>
        <w:t xml:space="preserve"> was in receipt of disability living allowance and a host of other benefits, which is quite apart from his employment support allowance and housing benefit which do not form the basis for an exception under E-LTRP.3.3(a) (which relates to disability living allowance as an exception to the financial requirements) and, </w:t>
      </w:r>
      <w:r w:rsidRPr="00B52D6F">
        <w:rPr>
          <w:rFonts w:ascii="Book Antiqua" w:hAnsi="Book Antiqua" w:cs="Arial"/>
          <w:i/>
        </w:rPr>
        <w:t>secondly</w:t>
      </w:r>
      <w:r>
        <w:rPr>
          <w:rFonts w:ascii="Book Antiqua" w:hAnsi="Book Antiqua" w:cs="Arial"/>
        </w:rPr>
        <w:t xml:space="preserve">, the judge has materially erred in finding that it is perfectly open to the Appellant to return to Thailand whilst her husband supports her visa application from the UK.  This finding is obviously illogical because the Sponsor is in receipt of benefits which are not subject to an exception from the financial requirements to Appendix FM, and consequently </w:t>
      </w:r>
      <w:r w:rsidRPr="00B52D6F">
        <w:rPr>
          <w:rFonts w:ascii="Book Antiqua" w:hAnsi="Book Antiqua" w:cs="Arial"/>
          <w:i/>
        </w:rPr>
        <w:t>unless</w:t>
      </w:r>
      <w:r>
        <w:rPr>
          <w:rFonts w:ascii="Book Antiqua" w:hAnsi="Book Antiqua" w:cs="Arial"/>
        </w:rPr>
        <w:t xml:space="preserve"> the Sponsor overcomes his PTSD and related mental health problems </w:t>
      </w:r>
      <w:r w:rsidRPr="002F3489">
        <w:rPr>
          <w:rFonts w:ascii="Book Antiqua" w:hAnsi="Book Antiqua" w:cs="Arial"/>
          <w:i/>
        </w:rPr>
        <w:t>and</w:t>
      </w:r>
      <w:r>
        <w:rPr>
          <w:rFonts w:ascii="Book Antiqua" w:hAnsi="Book Antiqua" w:cs="Arial"/>
        </w:rPr>
        <w:t xml:space="preserve"> obtains employment for six months which surpasses the financial threshold of £18,600, the Appellant will be unable to apply for entry clearance from Thailand to join him here.  </w:t>
      </w:r>
      <w:r w:rsidR="002F3489">
        <w:rPr>
          <w:rFonts w:ascii="Book Antiqua" w:hAnsi="Book Antiqua" w:cs="Arial"/>
        </w:rPr>
        <w:t>O</w:t>
      </w:r>
      <w:r>
        <w:rPr>
          <w:rFonts w:ascii="Book Antiqua" w:hAnsi="Book Antiqua" w:cs="Arial"/>
        </w:rPr>
        <w:t>n the evidence before the First-tier Judge</w:t>
      </w:r>
      <w:r w:rsidR="002F3489">
        <w:rPr>
          <w:rFonts w:ascii="Book Antiqua" w:hAnsi="Book Antiqua" w:cs="Arial"/>
        </w:rPr>
        <w:t>,</w:t>
      </w:r>
      <w:r>
        <w:rPr>
          <w:rFonts w:ascii="Book Antiqua" w:hAnsi="Book Antiqua" w:cs="Arial"/>
        </w:rPr>
        <w:t xml:space="preserve"> there was no indication that this would ever become a reality and consequently the conclusion of the judge</w:t>
      </w:r>
      <w:r w:rsidR="002F3489">
        <w:rPr>
          <w:rFonts w:ascii="Book Antiqua" w:hAnsi="Book Antiqua" w:cs="Arial"/>
        </w:rPr>
        <w:t xml:space="preserve"> that the Appellant could apply for entry clearance from Thailand whilst being supported by her Sponsor in the UK, </w:t>
      </w:r>
      <w:r>
        <w:rPr>
          <w:rFonts w:ascii="Book Antiqua" w:hAnsi="Book Antiqua" w:cs="Arial"/>
        </w:rPr>
        <w:t>is inconsistent with the facts underlying the appeal</w:t>
      </w:r>
      <w:r w:rsidR="002F3489">
        <w:rPr>
          <w:rFonts w:ascii="Book Antiqua" w:hAnsi="Book Antiqua" w:cs="Arial"/>
        </w:rPr>
        <w:t xml:space="preserve"> and the Sponsor’s inability to meet the financial requirements</w:t>
      </w:r>
      <w:r>
        <w:rPr>
          <w:rFonts w:ascii="Book Antiqua" w:hAnsi="Book Antiqua" w:cs="Arial"/>
        </w:rPr>
        <w:t xml:space="preserve">.  </w:t>
      </w:r>
    </w:p>
    <w:p w14:paraId="6F4EAE54" w14:textId="52F6346B" w:rsidR="00DD186F" w:rsidRDefault="00DD186F"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observe </w:t>
      </w:r>
      <w:r w:rsidR="002F3489">
        <w:rPr>
          <w:rFonts w:ascii="Book Antiqua" w:hAnsi="Book Antiqua" w:cs="Arial"/>
        </w:rPr>
        <w:t xml:space="preserve">for the benefit of the First-tier Tribunal upon remittal </w:t>
      </w:r>
      <w:r>
        <w:rPr>
          <w:rFonts w:ascii="Book Antiqua" w:hAnsi="Book Antiqua" w:cs="Arial"/>
        </w:rPr>
        <w:t xml:space="preserve">that this appeal </w:t>
      </w:r>
      <w:r w:rsidR="002F3489">
        <w:rPr>
          <w:rFonts w:ascii="Book Antiqua" w:hAnsi="Book Antiqua" w:cs="Arial"/>
        </w:rPr>
        <w:t xml:space="preserve">may be </w:t>
      </w:r>
      <w:r>
        <w:rPr>
          <w:rFonts w:ascii="Book Antiqua" w:hAnsi="Book Antiqua" w:cs="Arial"/>
        </w:rPr>
        <w:t xml:space="preserve">properly characterised as one where </w:t>
      </w:r>
      <w:r w:rsidR="002F3489">
        <w:rPr>
          <w:rFonts w:ascii="Book Antiqua" w:hAnsi="Book Antiqua" w:cs="Arial"/>
        </w:rPr>
        <w:t>an</w:t>
      </w:r>
      <w:r>
        <w:rPr>
          <w:rFonts w:ascii="Book Antiqua" w:hAnsi="Book Antiqua" w:cs="Arial"/>
        </w:rPr>
        <w:t xml:space="preserve"> Appellant fails to meet the financial requirements </w:t>
      </w:r>
      <w:r w:rsidR="002F3489">
        <w:rPr>
          <w:rFonts w:ascii="Book Antiqua" w:hAnsi="Book Antiqua" w:cs="Arial"/>
        </w:rPr>
        <w:t xml:space="preserve">owing to </w:t>
      </w:r>
      <w:r>
        <w:rPr>
          <w:rFonts w:ascii="Book Antiqua" w:hAnsi="Book Antiqua" w:cs="Arial"/>
        </w:rPr>
        <w:t xml:space="preserve">the </w:t>
      </w:r>
      <w:r w:rsidR="002F3489">
        <w:rPr>
          <w:rFonts w:ascii="Book Antiqua" w:hAnsi="Book Antiqua" w:cs="Arial"/>
        </w:rPr>
        <w:t xml:space="preserve">unusual </w:t>
      </w:r>
      <w:r>
        <w:rPr>
          <w:rFonts w:ascii="Book Antiqua" w:hAnsi="Book Antiqua" w:cs="Arial"/>
        </w:rPr>
        <w:t xml:space="preserve">nature of the Sponsor’s circumstances </w:t>
      </w:r>
      <w:r w:rsidR="002F3489">
        <w:rPr>
          <w:rFonts w:ascii="Book Antiqua" w:hAnsi="Book Antiqua" w:cs="Arial"/>
        </w:rPr>
        <w:t xml:space="preserve">and in this scenario, </w:t>
      </w:r>
      <w:r>
        <w:rPr>
          <w:rFonts w:ascii="Book Antiqua" w:hAnsi="Book Antiqua" w:cs="Arial"/>
        </w:rPr>
        <w:t>the key question at stake for any First-tier Tribunal hearing this matter anew is whether it is proportionate for the Sponsor to permanently relocate to Thailand given the Sponsor’s mental health and his receipt of benefits and NHS medical treatment and medication, alongside an array of other factors at stake, and whether such permanent relocation (given that there is no possibility of an entry clearance appli</w:t>
      </w:r>
      <w:r w:rsidR="00680311">
        <w:rPr>
          <w:rFonts w:ascii="Book Antiqua" w:hAnsi="Book Antiqua" w:cs="Arial"/>
        </w:rPr>
        <w:t>cation being granted under the r</w:t>
      </w:r>
      <w:r>
        <w:rPr>
          <w:rFonts w:ascii="Book Antiqua" w:hAnsi="Book Antiqua" w:cs="Arial"/>
        </w:rPr>
        <w:t xml:space="preserve">ules) is a proportionate outcome to the question of the Appellant’s quest for leave to remain with her British </w:t>
      </w:r>
      <w:r w:rsidR="00680311">
        <w:rPr>
          <w:rFonts w:ascii="Book Antiqua" w:hAnsi="Book Antiqua" w:cs="Arial"/>
        </w:rPr>
        <w:t>Sponsor</w:t>
      </w:r>
      <w:r>
        <w:rPr>
          <w:rFonts w:ascii="Book Antiqua" w:hAnsi="Book Antiqua" w:cs="Arial"/>
        </w:rPr>
        <w:t xml:space="preserve">.  </w:t>
      </w:r>
    </w:p>
    <w:p w14:paraId="1EB936E6" w14:textId="77777777" w:rsidR="00DD186F" w:rsidRDefault="00DD186F"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light of the above findings I set aside the decision of the First-tier Tribunal owing to material error.  </w:t>
      </w:r>
    </w:p>
    <w:p w14:paraId="18A90D75" w14:textId="76A15C42" w:rsidR="00D949B7" w:rsidRPr="00DD186F" w:rsidRDefault="00D949B7" w:rsidP="00DD186F">
      <w:pPr>
        <w:spacing w:before="240"/>
        <w:jc w:val="both"/>
        <w:rPr>
          <w:rFonts w:ascii="Book Antiqua" w:hAnsi="Book Antiqua" w:cs="Arial"/>
        </w:rPr>
      </w:pPr>
      <w:r w:rsidRPr="00D949B7">
        <w:rPr>
          <w:rFonts w:ascii="Book Antiqua" w:hAnsi="Book Antiqua" w:cs="Arial"/>
          <w:b/>
          <w:u w:val="single"/>
        </w:rPr>
        <w:t>Notice of Decision</w:t>
      </w:r>
    </w:p>
    <w:p w14:paraId="287606AA" w14:textId="77777777" w:rsidR="00D949B7" w:rsidRDefault="00D949B7" w:rsidP="00F34177">
      <w:pPr>
        <w:numPr>
          <w:ilvl w:val="0"/>
          <w:numId w:val="1"/>
        </w:numPr>
        <w:tabs>
          <w:tab w:val="clear" w:pos="567"/>
        </w:tabs>
        <w:spacing w:before="240"/>
        <w:jc w:val="both"/>
        <w:rPr>
          <w:rFonts w:ascii="Book Antiqua" w:hAnsi="Book Antiqua" w:cs="Arial"/>
        </w:rPr>
      </w:pPr>
      <w:r w:rsidRPr="00D949B7">
        <w:rPr>
          <w:rFonts w:ascii="Book Antiqua" w:hAnsi="Book Antiqua" w:cs="Arial"/>
        </w:rPr>
        <w:t xml:space="preserve">The appeal </w:t>
      </w:r>
      <w:r w:rsidR="00F34177">
        <w:rPr>
          <w:rFonts w:ascii="Book Antiqua" w:hAnsi="Book Antiqua" w:cs="Arial"/>
        </w:rPr>
        <w:t xml:space="preserve">to the Upper Tribunal </w:t>
      </w:r>
      <w:r w:rsidRPr="00D949B7">
        <w:rPr>
          <w:rFonts w:ascii="Book Antiqua" w:hAnsi="Book Antiqua" w:cs="Arial"/>
        </w:rPr>
        <w:t xml:space="preserve">is </w:t>
      </w:r>
      <w:r w:rsidR="00F34177">
        <w:rPr>
          <w:rFonts w:ascii="Book Antiqua" w:hAnsi="Book Antiqua" w:cs="Arial"/>
        </w:rPr>
        <w:t>allowed.</w:t>
      </w:r>
    </w:p>
    <w:p w14:paraId="481B7770" w14:textId="4A154FE7" w:rsidR="00FD5B31" w:rsidRDefault="00F34177" w:rsidP="00FD5B31">
      <w:pPr>
        <w:numPr>
          <w:ilvl w:val="0"/>
          <w:numId w:val="1"/>
        </w:numPr>
        <w:tabs>
          <w:tab w:val="clear" w:pos="567"/>
        </w:tabs>
        <w:spacing w:before="240"/>
        <w:jc w:val="both"/>
        <w:rPr>
          <w:rFonts w:ascii="Book Antiqua" w:hAnsi="Book Antiqua" w:cs="Arial"/>
        </w:rPr>
      </w:pPr>
      <w:r w:rsidRPr="00DD186F">
        <w:rPr>
          <w:rFonts w:ascii="Book Antiqua" w:hAnsi="Book Antiqua" w:cs="Arial"/>
        </w:rPr>
        <w:t>The appeal is to be remitted to</w:t>
      </w:r>
      <w:r w:rsidR="00DD186F" w:rsidRPr="00DD186F">
        <w:rPr>
          <w:rFonts w:ascii="Book Antiqua" w:hAnsi="Book Antiqua" w:cs="Arial"/>
        </w:rPr>
        <w:t xml:space="preserve"> be heard by a </w:t>
      </w:r>
      <w:r w:rsidRPr="00DD186F">
        <w:rPr>
          <w:rFonts w:ascii="Book Antiqua" w:hAnsi="Book Antiqua" w:cs="Arial"/>
        </w:rPr>
        <w:t>differently constituted bench</w:t>
      </w:r>
      <w:r w:rsidR="00DD186F" w:rsidRPr="00DD186F">
        <w:rPr>
          <w:rFonts w:ascii="Book Antiqua" w:hAnsi="Book Antiqua" w:cs="Arial"/>
        </w:rPr>
        <w:t xml:space="preserve"> of the First-tier Tribunal.  </w:t>
      </w:r>
    </w:p>
    <w:p w14:paraId="2EA7285C" w14:textId="4EB28892" w:rsidR="00DD186F" w:rsidRPr="00DD186F" w:rsidRDefault="00DD186F" w:rsidP="00DD186F">
      <w:pPr>
        <w:spacing w:before="240"/>
        <w:jc w:val="both"/>
        <w:rPr>
          <w:rFonts w:ascii="Book Antiqua" w:hAnsi="Book Antiqua" w:cs="Arial"/>
        </w:rPr>
      </w:pPr>
      <w:r>
        <w:rPr>
          <w:rFonts w:ascii="Book Antiqua" w:hAnsi="Book Antiqua" w:cs="Arial"/>
          <w:b/>
          <w:u w:val="single"/>
        </w:rPr>
        <w:t xml:space="preserve">Directions </w:t>
      </w:r>
    </w:p>
    <w:p w14:paraId="3E713BBF" w14:textId="6F4FD0B2" w:rsidR="00DD186F" w:rsidRDefault="00DD186F" w:rsidP="00DD186F">
      <w:pPr>
        <w:pStyle w:val="ListParagraph"/>
        <w:numPr>
          <w:ilvl w:val="3"/>
          <w:numId w:val="1"/>
        </w:numPr>
        <w:tabs>
          <w:tab w:val="clear" w:pos="2268"/>
          <w:tab w:val="num" w:pos="1134"/>
        </w:tabs>
        <w:spacing w:before="240"/>
        <w:ind w:left="1134"/>
        <w:jc w:val="both"/>
        <w:rPr>
          <w:rFonts w:ascii="Book Antiqua" w:hAnsi="Book Antiqua" w:cs="Arial"/>
        </w:rPr>
      </w:pPr>
      <w:r w:rsidRPr="00DD186F">
        <w:rPr>
          <w:rFonts w:ascii="Book Antiqua" w:hAnsi="Book Antiqua" w:cs="Arial"/>
        </w:rPr>
        <w:t xml:space="preserve">Standard directions are to be given.  </w:t>
      </w:r>
    </w:p>
    <w:p w14:paraId="42BD24C0" w14:textId="480C0A46" w:rsidR="00DD186F" w:rsidRDefault="00DD186F" w:rsidP="00DD186F">
      <w:pPr>
        <w:pStyle w:val="ListParagraph"/>
        <w:numPr>
          <w:ilvl w:val="3"/>
          <w:numId w:val="1"/>
        </w:numPr>
        <w:tabs>
          <w:tab w:val="clear" w:pos="2268"/>
          <w:tab w:val="num" w:pos="1134"/>
        </w:tabs>
        <w:spacing w:before="240"/>
        <w:ind w:left="1134"/>
        <w:contextualSpacing w:val="0"/>
        <w:jc w:val="both"/>
        <w:rPr>
          <w:rFonts w:ascii="Book Antiqua" w:hAnsi="Book Antiqua" w:cs="Arial"/>
        </w:rPr>
      </w:pPr>
      <w:r w:rsidRPr="00DD186F">
        <w:rPr>
          <w:rFonts w:ascii="Book Antiqua" w:hAnsi="Book Antiqua" w:cs="Arial"/>
        </w:rPr>
        <w:t>No interpreter is required.</w:t>
      </w:r>
    </w:p>
    <w:p w14:paraId="02626814" w14:textId="02A75D29" w:rsidR="00DD186F" w:rsidRDefault="00DD186F" w:rsidP="00DD186F">
      <w:pPr>
        <w:pStyle w:val="ListParagraph"/>
        <w:numPr>
          <w:ilvl w:val="3"/>
          <w:numId w:val="1"/>
        </w:numPr>
        <w:tabs>
          <w:tab w:val="clear" w:pos="2268"/>
          <w:tab w:val="num" w:pos="1134"/>
        </w:tabs>
        <w:spacing w:before="240"/>
        <w:ind w:left="1134"/>
        <w:contextualSpacing w:val="0"/>
        <w:jc w:val="both"/>
        <w:rPr>
          <w:rFonts w:ascii="Book Antiqua" w:hAnsi="Book Antiqua" w:cs="Arial"/>
        </w:rPr>
      </w:pPr>
      <w:r w:rsidRPr="00DD186F">
        <w:rPr>
          <w:rFonts w:ascii="Book Antiqua" w:hAnsi="Book Antiqua" w:cs="Arial"/>
        </w:rPr>
        <w:t xml:space="preserve">The Appellant states she will provide further medical evidence, however this is not subject to any specific direction.  </w:t>
      </w:r>
    </w:p>
    <w:p w14:paraId="732DD0B1" w14:textId="34A81DA1" w:rsidR="00DD186F" w:rsidRDefault="00DD186F" w:rsidP="008812E0">
      <w:pPr>
        <w:pStyle w:val="ListParagraph"/>
        <w:numPr>
          <w:ilvl w:val="3"/>
          <w:numId w:val="1"/>
        </w:numPr>
        <w:tabs>
          <w:tab w:val="clear" w:pos="2268"/>
          <w:tab w:val="num" w:pos="1134"/>
        </w:tabs>
        <w:spacing w:before="240"/>
        <w:ind w:left="1134"/>
        <w:contextualSpacing w:val="0"/>
        <w:jc w:val="both"/>
        <w:rPr>
          <w:rFonts w:ascii="Book Antiqua" w:hAnsi="Book Antiqua" w:cs="Arial"/>
        </w:rPr>
      </w:pPr>
      <w:r w:rsidRPr="008812E0">
        <w:rPr>
          <w:rFonts w:ascii="Book Antiqua" w:hAnsi="Book Antiqua" w:cs="Arial"/>
        </w:rPr>
        <w:t>Both the Appellant and Sponsor will give evidence at the further hearing before the First-tier Tribunal.</w:t>
      </w:r>
    </w:p>
    <w:p w14:paraId="06C2E32D" w14:textId="735D94D8" w:rsidR="00DD186F" w:rsidRPr="001F27AA" w:rsidRDefault="00DD186F" w:rsidP="001F27AA">
      <w:pPr>
        <w:pStyle w:val="ListParagraph"/>
        <w:numPr>
          <w:ilvl w:val="3"/>
          <w:numId w:val="1"/>
        </w:numPr>
        <w:tabs>
          <w:tab w:val="clear" w:pos="2268"/>
          <w:tab w:val="num" w:pos="1134"/>
        </w:tabs>
        <w:spacing w:before="240"/>
        <w:ind w:left="1134"/>
        <w:contextualSpacing w:val="0"/>
        <w:jc w:val="both"/>
        <w:rPr>
          <w:rFonts w:ascii="Book Antiqua" w:hAnsi="Book Antiqua" w:cs="Arial"/>
        </w:rPr>
      </w:pPr>
      <w:r w:rsidRPr="008812E0">
        <w:rPr>
          <w:rFonts w:ascii="Book Antiqua" w:hAnsi="Book Antiqua" w:cs="Arial"/>
        </w:rPr>
        <w:t xml:space="preserve">The time estimate I have been told for that hearing is </w:t>
      </w:r>
      <w:r w:rsidR="00680311">
        <w:rPr>
          <w:rFonts w:ascii="Book Antiqua" w:hAnsi="Book Antiqua" w:cs="Arial"/>
        </w:rPr>
        <w:t xml:space="preserve">three </w:t>
      </w:r>
      <w:r w:rsidRPr="008812E0">
        <w:rPr>
          <w:rFonts w:ascii="Book Antiqua" w:hAnsi="Book Antiqua" w:cs="Arial"/>
        </w:rPr>
        <w:t xml:space="preserve">hours.  </w:t>
      </w:r>
    </w:p>
    <w:p w14:paraId="011A0C5C" w14:textId="77777777" w:rsidR="00F34177" w:rsidRDefault="00F34177" w:rsidP="00DD186F">
      <w:pPr>
        <w:spacing w:before="240"/>
        <w:jc w:val="both"/>
        <w:rPr>
          <w:rFonts w:ascii="Book Antiqua" w:hAnsi="Book Antiqua" w:cs="Arial"/>
        </w:rPr>
      </w:pPr>
      <w:r>
        <w:rPr>
          <w:rFonts w:ascii="Book Antiqua" w:hAnsi="Book Antiqua" w:cs="Arial"/>
        </w:rPr>
        <w:t xml:space="preserve">No anonymity direction is made.  </w:t>
      </w:r>
    </w:p>
    <w:p w14:paraId="5F58D7B2" w14:textId="10AC8E3E" w:rsidR="00F34177" w:rsidRDefault="00F34177" w:rsidP="00D949B7">
      <w:pPr>
        <w:jc w:val="both"/>
        <w:rPr>
          <w:rFonts w:ascii="Book Antiqua" w:hAnsi="Book Antiqua" w:cs="Arial"/>
        </w:rPr>
      </w:pPr>
    </w:p>
    <w:p w14:paraId="17E40D0C" w14:textId="77777777" w:rsidR="00DD186F" w:rsidRPr="00A56832" w:rsidRDefault="00DD186F" w:rsidP="00DD186F">
      <w:pPr>
        <w:jc w:val="both"/>
        <w:rPr>
          <w:rFonts w:ascii="Book Antiqua" w:hAnsi="Book Antiqua" w:cs="Arial"/>
        </w:rPr>
      </w:pPr>
      <w:bookmarkStart w:id="1" w:name="_GoBack"/>
      <w:bookmarkEnd w:id="1"/>
    </w:p>
    <w:p w14:paraId="22D53DDB" w14:textId="78B27F6E" w:rsidR="00DD186F" w:rsidRPr="00A56832" w:rsidRDefault="00DD186F" w:rsidP="00DD186F">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t>Date</w:t>
      </w:r>
      <w:r w:rsidR="008E368E">
        <w:rPr>
          <w:rFonts w:ascii="Book Antiqua" w:hAnsi="Book Antiqua" w:cs="Arial"/>
        </w:rPr>
        <w:t>: 27. 07. 2018</w:t>
      </w:r>
    </w:p>
    <w:p w14:paraId="69B2D2BF" w14:textId="77777777" w:rsidR="00DD186F" w:rsidRPr="00A56832" w:rsidRDefault="00DD186F" w:rsidP="00DD186F">
      <w:pPr>
        <w:jc w:val="both"/>
        <w:rPr>
          <w:rFonts w:ascii="Book Antiqua" w:hAnsi="Book Antiqua" w:cs="Arial"/>
        </w:rPr>
      </w:pPr>
    </w:p>
    <w:p w14:paraId="45248E3F" w14:textId="583EFDF3" w:rsidR="00DD186F" w:rsidRPr="009B7433" w:rsidRDefault="00DD186F" w:rsidP="00DD186F">
      <w:pPr>
        <w:jc w:val="both"/>
        <w:rPr>
          <w:rFonts w:ascii="Book Antiqua" w:hAnsi="Book Antiqua" w:cs="Arial"/>
          <w:color w:val="000000"/>
        </w:rPr>
      </w:pPr>
      <w:r>
        <w:rPr>
          <w:rFonts w:ascii="Book Antiqua" w:hAnsi="Book Antiqua" w:cs="Arial"/>
          <w:color w:val="000000"/>
        </w:rPr>
        <w:t>Deputy Upper Tribunal Judge Saini</w:t>
      </w:r>
    </w:p>
    <w:p w14:paraId="1CB63DDB" w14:textId="086762B6" w:rsidR="00DD186F" w:rsidRDefault="00DD186F" w:rsidP="00DD186F">
      <w:pPr>
        <w:jc w:val="both"/>
        <w:rPr>
          <w:rFonts w:ascii="Book Antiqua" w:hAnsi="Book Antiqua" w:cs="Arial"/>
        </w:rPr>
      </w:pPr>
    </w:p>
    <w:p w14:paraId="166FBF7F" w14:textId="77777777" w:rsidR="00DD186F" w:rsidRDefault="00DD186F" w:rsidP="00DD186F">
      <w:pPr>
        <w:jc w:val="both"/>
        <w:rPr>
          <w:rFonts w:ascii="Book Antiqua" w:hAnsi="Book Antiqua" w:cs="Arial"/>
        </w:rPr>
      </w:pPr>
    </w:p>
    <w:p w14:paraId="2E297278" w14:textId="77777777" w:rsidR="00B95326" w:rsidRPr="009B7433" w:rsidRDefault="00B95326" w:rsidP="00B95326">
      <w:pPr>
        <w:rPr>
          <w:rFonts w:ascii="Book Antiqua" w:hAnsi="Book Antiqua" w:cs="Arial"/>
        </w:rPr>
      </w:pPr>
    </w:p>
    <w:p w14:paraId="071940EF"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A9619" w14:textId="77777777" w:rsidR="002F3489" w:rsidRDefault="002F3489">
      <w:r>
        <w:separator/>
      </w:r>
    </w:p>
  </w:endnote>
  <w:endnote w:type="continuationSeparator" w:id="0">
    <w:p w14:paraId="703EDC7A" w14:textId="77777777" w:rsidR="002F3489" w:rsidRDefault="002F3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5FF0" w14:textId="3DD1F977" w:rsidR="002F3489" w:rsidRPr="009B7433" w:rsidRDefault="002F348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4028C">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C6B8" w14:textId="77777777" w:rsidR="002F3489" w:rsidRPr="009B7433" w:rsidRDefault="002F348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47A3" w14:textId="77777777" w:rsidR="002F3489" w:rsidRDefault="002F3489">
      <w:r>
        <w:separator/>
      </w:r>
    </w:p>
  </w:footnote>
  <w:footnote w:type="continuationSeparator" w:id="0">
    <w:p w14:paraId="5C0E6A69" w14:textId="77777777" w:rsidR="002F3489" w:rsidRDefault="002F3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F65D7" w14:textId="3162F269" w:rsidR="002F3489" w:rsidRPr="009B7433" w:rsidRDefault="002F348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HU/26891/2016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002DD" w14:textId="13B0BC5C" w:rsidR="002F3489" w:rsidRPr="009B7433" w:rsidRDefault="002F348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877DB"/>
    <w:multiLevelType w:val="hybridMultilevel"/>
    <w:tmpl w:val="A938528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7C"/>
    <w:rsid w:val="00000621"/>
    <w:rsid w:val="000036C2"/>
    <w:rsid w:val="00016C1A"/>
    <w:rsid w:val="00017607"/>
    <w:rsid w:val="000301FE"/>
    <w:rsid w:val="00033588"/>
    <w:rsid w:val="00033D3D"/>
    <w:rsid w:val="0004776F"/>
    <w:rsid w:val="00052895"/>
    <w:rsid w:val="00062F02"/>
    <w:rsid w:val="00071A7E"/>
    <w:rsid w:val="000746C0"/>
    <w:rsid w:val="00074D1D"/>
    <w:rsid w:val="00092580"/>
    <w:rsid w:val="00093D4D"/>
    <w:rsid w:val="000A0743"/>
    <w:rsid w:val="000C40FF"/>
    <w:rsid w:val="000D5D94"/>
    <w:rsid w:val="000F1A0E"/>
    <w:rsid w:val="001165A7"/>
    <w:rsid w:val="0016508E"/>
    <w:rsid w:val="00167D3A"/>
    <w:rsid w:val="00173F50"/>
    <w:rsid w:val="00185986"/>
    <w:rsid w:val="001A3082"/>
    <w:rsid w:val="001B186A"/>
    <w:rsid w:val="001B2F75"/>
    <w:rsid w:val="001C6F5F"/>
    <w:rsid w:val="001D6167"/>
    <w:rsid w:val="001F2716"/>
    <w:rsid w:val="001F27AA"/>
    <w:rsid w:val="001F3AC0"/>
    <w:rsid w:val="00207617"/>
    <w:rsid w:val="0023134B"/>
    <w:rsid w:val="00271E4C"/>
    <w:rsid w:val="00283659"/>
    <w:rsid w:val="002C6BD4"/>
    <w:rsid w:val="002D68BF"/>
    <w:rsid w:val="002E4541"/>
    <w:rsid w:val="002F3489"/>
    <w:rsid w:val="002F4345"/>
    <w:rsid w:val="002F6B98"/>
    <w:rsid w:val="00336CBF"/>
    <w:rsid w:val="0034028C"/>
    <w:rsid w:val="00343FE3"/>
    <w:rsid w:val="003546C8"/>
    <w:rsid w:val="0037106C"/>
    <w:rsid w:val="0037777D"/>
    <w:rsid w:val="003825D4"/>
    <w:rsid w:val="003A7CF2"/>
    <w:rsid w:val="003C5CE5"/>
    <w:rsid w:val="003D25F1"/>
    <w:rsid w:val="003D6FAD"/>
    <w:rsid w:val="003E267B"/>
    <w:rsid w:val="003E7CD1"/>
    <w:rsid w:val="00402B9E"/>
    <w:rsid w:val="00424491"/>
    <w:rsid w:val="004249CB"/>
    <w:rsid w:val="0044127D"/>
    <w:rsid w:val="004448DB"/>
    <w:rsid w:val="00446C9A"/>
    <w:rsid w:val="00452F2B"/>
    <w:rsid w:val="00477193"/>
    <w:rsid w:val="004A1848"/>
    <w:rsid w:val="004A2D15"/>
    <w:rsid w:val="004A534C"/>
    <w:rsid w:val="004A6F4A"/>
    <w:rsid w:val="004B70D7"/>
    <w:rsid w:val="004D6B45"/>
    <w:rsid w:val="004E4717"/>
    <w:rsid w:val="004E6DA7"/>
    <w:rsid w:val="004F2676"/>
    <w:rsid w:val="00502673"/>
    <w:rsid w:val="00507FEC"/>
    <w:rsid w:val="00510F0E"/>
    <w:rsid w:val="00532FDB"/>
    <w:rsid w:val="005479E1"/>
    <w:rsid w:val="00553028"/>
    <w:rsid w:val="00553E0A"/>
    <w:rsid w:val="005570FD"/>
    <w:rsid w:val="005575EA"/>
    <w:rsid w:val="005621D2"/>
    <w:rsid w:val="00575D3F"/>
    <w:rsid w:val="0057790C"/>
    <w:rsid w:val="00581CB1"/>
    <w:rsid w:val="00593795"/>
    <w:rsid w:val="005A75FF"/>
    <w:rsid w:val="005D10AB"/>
    <w:rsid w:val="00601D8F"/>
    <w:rsid w:val="00605582"/>
    <w:rsid w:val="00607848"/>
    <w:rsid w:val="00611F34"/>
    <w:rsid w:val="00621FE8"/>
    <w:rsid w:val="006434B6"/>
    <w:rsid w:val="00653E97"/>
    <w:rsid w:val="006667DB"/>
    <w:rsid w:val="00680311"/>
    <w:rsid w:val="00684A74"/>
    <w:rsid w:val="0068620A"/>
    <w:rsid w:val="00690B8A"/>
    <w:rsid w:val="006F2CF1"/>
    <w:rsid w:val="007038ED"/>
    <w:rsid w:val="00703BC3"/>
    <w:rsid w:val="00704B61"/>
    <w:rsid w:val="00715A64"/>
    <w:rsid w:val="007253C3"/>
    <w:rsid w:val="00733DF3"/>
    <w:rsid w:val="00740C1F"/>
    <w:rsid w:val="007552A9"/>
    <w:rsid w:val="0075658A"/>
    <w:rsid w:val="00761858"/>
    <w:rsid w:val="00767D59"/>
    <w:rsid w:val="00776E97"/>
    <w:rsid w:val="00780F86"/>
    <w:rsid w:val="007845C5"/>
    <w:rsid w:val="007912AD"/>
    <w:rsid w:val="007B0824"/>
    <w:rsid w:val="007B5D3C"/>
    <w:rsid w:val="007B7BFD"/>
    <w:rsid w:val="0080068E"/>
    <w:rsid w:val="00815011"/>
    <w:rsid w:val="0081537C"/>
    <w:rsid w:val="00821B72"/>
    <w:rsid w:val="0082229E"/>
    <w:rsid w:val="00823EF2"/>
    <w:rsid w:val="008303B8"/>
    <w:rsid w:val="00833DCE"/>
    <w:rsid w:val="00833E86"/>
    <w:rsid w:val="00852B3D"/>
    <w:rsid w:val="00871D34"/>
    <w:rsid w:val="008800A7"/>
    <w:rsid w:val="008812E0"/>
    <w:rsid w:val="008A25EC"/>
    <w:rsid w:val="008A2D37"/>
    <w:rsid w:val="008A6059"/>
    <w:rsid w:val="008B270C"/>
    <w:rsid w:val="008B5078"/>
    <w:rsid w:val="008C2968"/>
    <w:rsid w:val="008C3D3D"/>
    <w:rsid w:val="008D4131"/>
    <w:rsid w:val="008E368E"/>
    <w:rsid w:val="008F1932"/>
    <w:rsid w:val="0090151B"/>
    <w:rsid w:val="009042A9"/>
    <w:rsid w:val="00921062"/>
    <w:rsid w:val="0092525D"/>
    <w:rsid w:val="009531AA"/>
    <w:rsid w:val="009722BC"/>
    <w:rsid w:val="009727A3"/>
    <w:rsid w:val="00987774"/>
    <w:rsid w:val="009A11E8"/>
    <w:rsid w:val="009B7433"/>
    <w:rsid w:val="009C57C8"/>
    <w:rsid w:val="009D336C"/>
    <w:rsid w:val="009D348A"/>
    <w:rsid w:val="009F03BB"/>
    <w:rsid w:val="009F5220"/>
    <w:rsid w:val="00A07919"/>
    <w:rsid w:val="00A15234"/>
    <w:rsid w:val="00A172F5"/>
    <w:rsid w:val="00A201AB"/>
    <w:rsid w:val="00A31C8B"/>
    <w:rsid w:val="00A509FA"/>
    <w:rsid w:val="00A74B2D"/>
    <w:rsid w:val="00A845DC"/>
    <w:rsid w:val="00AD1651"/>
    <w:rsid w:val="00B26AA2"/>
    <w:rsid w:val="00B32C15"/>
    <w:rsid w:val="00B3524D"/>
    <w:rsid w:val="00B40F69"/>
    <w:rsid w:val="00B46616"/>
    <w:rsid w:val="00B528BB"/>
    <w:rsid w:val="00B52D6F"/>
    <w:rsid w:val="00B7040A"/>
    <w:rsid w:val="00B83391"/>
    <w:rsid w:val="00B95326"/>
    <w:rsid w:val="00BD4196"/>
    <w:rsid w:val="00BF22CA"/>
    <w:rsid w:val="00BF23BB"/>
    <w:rsid w:val="00C26032"/>
    <w:rsid w:val="00C345E1"/>
    <w:rsid w:val="00C43BFD"/>
    <w:rsid w:val="00C6048A"/>
    <w:rsid w:val="00CB6E35"/>
    <w:rsid w:val="00CE09B1"/>
    <w:rsid w:val="00CE1A46"/>
    <w:rsid w:val="00D05EA6"/>
    <w:rsid w:val="00D20757"/>
    <w:rsid w:val="00D22636"/>
    <w:rsid w:val="00D40FD9"/>
    <w:rsid w:val="00D53769"/>
    <w:rsid w:val="00D6602D"/>
    <w:rsid w:val="00D82818"/>
    <w:rsid w:val="00D8510D"/>
    <w:rsid w:val="00D85C13"/>
    <w:rsid w:val="00D9111A"/>
    <w:rsid w:val="00D91BE3"/>
    <w:rsid w:val="00D949B7"/>
    <w:rsid w:val="00D94AFC"/>
    <w:rsid w:val="00DB70AE"/>
    <w:rsid w:val="00DD186F"/>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A0E7C"/>
    <w:rsid w:val="00EB485A"/>
    <w:rsid w:val="00EE45D8"/>
    <w:rsid w:val="00EE4883"/>
    <w:rsid w:val="00EF0BF9"/>
    <w:rsid w:val="00F22EDA"/>
    <w:rsid w:val="00F34177"/>
    <w:rsid w:val="00F470D6"/>
    <w:rsid w:val="00F5589A"/>
    <w:rsid w:val="00F819EB"/>
    <w:rsid w:val="00FC40FA"/>
    <w:rsid w:val="00FD5B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83B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DD1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7076</Characters>
  <Application>Microsoft Office Word</Application>
  <DocSecurity>0</DocSecurity>
  <Lines>58</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2018-08-17T11:41:00Z</dcterms:created>
  <dcterms:modified xsi:type="dcterms:W3CDTF">2018-08-17T11:41:00Z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