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Pr="00C2312A" w:rsidRDefault="000D4534" w:rsidP="008A6059">
      <w:pPr>
        <w:jc w:val="center"/>
        <w:rPr>
          <w:rFonts w:ascii="Book Antiqua" w:hAnsi="Book Antiqua" w:cs="Arial"/>
          <w:caps/>
          <w:color w:val="000000"/>
          <w:sz w:val="16"/>
          <w:szCs w:val="16"/>
        </w:rPr>
      </w:pPr>
      <w:r w:rsidRPr="00C2312A">
        <w:rPr>
          <w:noProof/>
          <w:sz w:val="16"/>
          <w:szCs w:val="16"/>
        </w:rPr>
        <w:drawing>
          <wp:inline distT="0" distB="0" distL="0" distR="0">
            <wp:extent cx="1048385" cy="90614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048385" cy="906145"/>
                    </a:xfrm>
                    <a:prstGeom prst="rect">
                      <a:avLst/>
                    </a:prstGeom>
                    <a:noFill/>
                    <a:ln w="9525">
                      <a:noFill/>
                      <a:miter lim="800000"/>
                      <a:headEnd/>
                      <a:tailEnd/>
                    </a:ln>
                  </pic:spPr>
                </pic:pic>
              </a:graphicData>
            </a:graphic>
          </wp:inline>
        </w:drawing>
      </w:r>
    </w:p>
    <w:p w:rsidR="00D94AFC" w:rsidRPr="00C2312A" w:rsidRDefault="00D94AFC">
      <w:pPr>
        <w:rPr>
          <w:rFonts w:ascii="Book Antiqua" w:hAnsi="Book Antiqua" w:cs="Arial"/>
          <w:color w:val="000000"/>
          <w:sz w:val="16"/>
          <w:szCs w:val="16"/>
        </w:rPr>
      </w:pPr>
    </w:p>
    <w:p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7B0824" w:rsidRPr="00C72993" w:rsidRDefault="008A6059" w:rsidP="00780F86">
      <w:pPr>
        <w:tabs>
          <w:tab w:val="right" w:pos="9720"/>
        </w:tabs>
        <w:ind w:right="-82"/>
        <w:rPr>
          <w:rFonts w:ascii="Book Antiqua" w:hAnsi="Book Antiqua" w:cs="Arial"/>
          <w:caps/>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B3524D" w:rsidRPr="009B7433">
        <w:rPr>
          <w:rFonts w:ascii="Book Antiqua" w:hAnsi="Book Antiqua" w:cs="Arial"/>
          <w:color w:val="000000"/>
        </w:rPr>
        <w:t>Appeal Number</w:t>
      </w:r>
      <w:r w:rsidR="00D53769" w:rsidRPr="009B7433">
        <w:rPr>
          <w:rFonts w:ascii="Book Antiqua" w:hAnsi="Book Antiqua" w:cs="Arial"/>
          <w:color w:val="000000"/>
        </w:rPr>
        <w:t>:</w:t>
      </w:r>
      <w:r w:rsidR="00B3524D" w:rsidRPr="009B7433">
        <w:rPr>
          <w:rFonts w:ascii="Book Antiqua" w:hAnsi="Book Antiqua" w:cs="Arial"/>
          <w:color w:val="000000"/>
        </w:rPr>
        <w:t xml:space="preserve"> </w:t>
      </w:r>
      <w:bookmarkStart w:id="0" w:name="_GoBack"/>
      <w:r w:rsidR="00C72993" w:rsidRPr="00C72993">
        <w:rPr>
          <w:rFonts w:ascii="Book Antiqua" w:hAnsi="Book Antiqua" w:cs="Arial"/>
          <w:caps/>
          <w:color w:val="000000"/>
        </w:rPr>
        <w:t>HU/27004/2016</w:t>
      </w:r>
      <w:bookmarkEnd w:id="0"/>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C345E1" w:rsidRPr="009B7433" w:rsidRDefault="00C345E1" w:rsidP="00C345E1">
      <w:pPr>
        <w:jc w:val="center"/>
        <w:rPr>
          <w:rFonts w:ascii="Book Antiqua" w:hAnsi="Book Antiqua" w:cs="Arial"/>
          <w:b/>
          <w:u w:val="single"/>
        </w:rPr>
      </w:pPr>
    </w:p>
    <w:p w:rsidR="00C345E1" w:rsidRPr="009B7433"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9B7433" w:rsidTr="00D949B7">
        <w:tc>
          <w:tcPr>
            <w:tcW w:w="6048" w:type="dxa"/>
          </w:tcPr>
          <w:p w:rsidR="00D22636" w:rsidRPr="009B7433" w:rsidRDefault="00D22636" w:rsidP="004A1848">
            <w:pPr>
              <w:jc w:val="both"/>
              <w:rPr>
                <w:rFonts w:ascii="Book Antiqua" w:hAnsi="Book Antiqua" w:cs="Arial"/>
                <w:b/>
              </w:rPr>
            </w:pPr>
            <w:r w:rsidRPr="009B7433">
              <w:rPr>
                <w:rFonts w:ascii="Book Antiqua" w:hAnsi="Book Antiqua" w:cs="Arial"/>
                <w:b/>
              </w:rPr>
              <w:t xml:space="preserve">Heard at </w:t>
            </w:r>
            <w:r w:rsidR="00C72993">
              <w:rPr>
                <w:rFonts w:ascii="Book Antiqua" w:hAnsi="Book Antiqua" w:cs="Arial"/>
                <w:b/>
              </w:rPr>
              <w:t xml:space="preserve">Field House </w:t>
            </w:r>
          </w:p>
        </w:tc>
        <w:tc>
          <w:tcPr>
            <w:tcW w:w="3960" w:type="dxa"/>
          </w:tcPr>
          <w:p w:rsidR="00D22636" w:rsidRPr="009B7433" w:rsidRDefault="00D949B7" w:rsidP="00093D4D">
            <w:pPr>
              <w:jc w:val="both"/>
              <w:rPr>
                <w:rFonts w:ascii="Book Antiqua" w:hAnsi="Book Antiqua" w:cs="Arial"/>
                <w:b/>
                <w:color w:val="000000"/>
              </w:rPr>
            </w:pPr>
            <w:r>
              <w:rPr>
                <w:rFonts w:ascii="Book Antiqua" w:hAnsi="Book Antiqua" w:cs="Arial"/>
                <w:b/>
                <w:color w:val="000000"/>
              </w:rPr>
              <w:t>Decision &amp; Reasons</w:t>
            </w:r>
            <w:r w:rsidR="00283659" w:rsidRPr="009B7433">
              <w:rPr>
                <w:rFonts w:ascii="Book Antiqua" w:hAnsi="Book Antiqua" w:cs="Arial"/>
                <w:b/>
                <w:color w:val="000000"/>
              </w:rPr>
              <w:t xml:space="preserve"> Promulgated</w:t>
            </w:r>
          </w:p>
        </w:tc>
      </w:tr>
      <w:tr w:rsidR="00D22636" w:rsidRPr="009B7433" w:rsidTr="00D949B7">
        <w:tc>
          <w:tcPr>
            <w:tcW w:w="6048" w:type="dxa"/>
          </w:tcPr>
          <w:p w:rsidR="00D22636" w:rsidRPr="009B7433" w:rsidRDefault="00D22636" w:rsidP="004A1848">
            <w:pPr>
              <w:jc w:val="both"/>
              <w:rPr>
                <w:rFonts w:ascii="Book Antiqua" w:hAnsi="Book Antiqua" w:cs="Arial"/>
                <w:b/>
              </w:rPr>
            </w:pPr>
            <w:r w:rsidRPr="009B7433">
              <w:rPr>
                <w:rFonts w:ascii="Book Antiqua" w:hAnsi="Book Antiqua" w:cs="Arial"/>
                <w:b/>
              </w:rPr>
              <w:t xml:space="preserve">On </w:t>
            </w:r>
            <w:r w:rsidR="00C72993">
              <w:rPr>
                <w:rFonts w:ascii="Book Antiqua" w:hAnsi="Book Antiqua" w:cs="Arial"/>
                <w:b/>
              </w:rPr>
              <w:t xml:space="preserve">15 June 2018 </w:t>
            </w:r>
          </w:p>
        </w:tc>
        <w:tc>
          <w:tcPr>
            <w:tcW w:w="3960" w:type="dxa"/>
          </w:tcPr>
          <w:p w:rsidR="00D22636" w:rsidRPr="009B7433" w:rsidRDefault="00182D93" w:rsidP="004A1848">
            <w:pPr>
              <w:jc w:val="both"/>
              <w:rPr>
                <w:rFonts w:ascii="Book Antiqua" w:hAnsi="Book Antiqua" w:cs="Arial"/>
                <w:b/>
              </w:rPr>
            </w:pPr>
            <w:r>
              <w:rPr>
                <w:rFonts w:ascii="Book Antiqua" w:hAnsi="Book Antiqua" w:cs="Arial"/>
                <w:b/>
              </w:rPr>
              <w:t>On 09 July 2018</w:t>
            </w:r>
          </w:p>
        </w:tc>
      </w:tr>
      <w:tr w:rsidR="00D22636" w:rsidRPr="009B7433" w:rsidTr="00D949B7">
        <w:tc>
          <w:tcPr>
            <w:tcW w:w="6048" w:type="dxa"/>
          </w:tcPr>
          <w:p w:rsidR="00D22636" w:rsidRPr="009B7433" w:rsidRDefault="00D22636" w:rsidP="004A1848">
            <w:pPr>
              <w:jc w:val="both"/>
              <w:rPr>
                <w:rFonts w:ascii="Book Antiqua" w:hAnsi="Book Antiqua" w:cs="Arial"/>
                <w:b/>
              </w:rPr>
            </w:pPr>
          </w:p>
        </w:tc>
        <w:tc>
          <w:tcPr>
            <w:tcW w:w="3960" w:type="dxa"/>
          </w:tcPr>
          <w:p w:rsidR="00D22636" w:rsidRPr="009B7433" w:rsidRDefault="00D22636" w:rsidP="004A1848">
            <w:pPr>
              <w:jc w:val="both"/>
              <w:rPr>
                <w:rFonts w:ascii="Book Antiqua" w:hAnsi="Book Antiqua" w:cs="Arial"/>
                <w:b/>
              </w:rPr>
            </w:pPr>
          </w:p>
        </w:tc>
      </w:tr>
    </w:tbl>
    <w:p w:rsidR="00A15234" w:rsidRPr="009B7433" w:rsidRDefault="00A15234" w:rsidP="00A15234">
      <w:pPr>
        <w:jc w:val="center"/>
        <w:rPr>
          <w:rFonts w:ascii="Book Antiqua" w:hAnsi="Book Antiqua" w:cs="Arial"/>
        </w:rPr>
      </w:pPr>
    </w:p>
    <w:p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A15234" w:rsidRPr="009B7433" w:rsidRDefault="00A15234" w:rsidP="00A15234">
      <w:pPr>
        <w:jc w:val="center"/>
        <w:rPr>
          <w:rFonts w:ascii="Book Antiqua" w:hAnsi="Book Antiqua" w:cs="Arial"/>
          <w:b/>
        </w:rPr>
      </w:pPr>
    </w:p>
    <w:p w:rsidR="004A2D15" w:rsidRPr="001C5703" w:rsidRDefault="004A2D15" w:rsidP="004A2D15">
      <w:pPr>
        <w:jc w:val="center"/>
        <w:rPr>
          <w:rFonts w:ascii="Book Antiqua" w:hAnsi="Book Antiqua" w:cs="Arial"/>
          <w:b/>
          <w:color w:val="000000"/>
        </w:rPr>
      </w:pPr>
      <w:r>
        <w:rPr>
          <w:rFonts w:ascii="Book Antiqua" w:hAnsi="Book Antiqua" w:cs="Arial"/>
          <w:b/>
          <w:color w:val="000000"/>
        </w:rPr>
        <w:t>DE</w:t>
      </w:r>
      <w:r w:rsidR="00273201">
        <w:rPr>
          <w:rFonts w:ascii="Book Antiqua" w:hAnsi="Book Antiqua" w:cs="Arial"/>
          <w:b/>
          <w:color w:val="000000"/>
        </w:rPr>
        <w:t>PUTY UPPER TRIBUNAL JUDGE SHERIDAN</w:t>
      </w:r>
    </w:p>
    <w:p w:rsidR="001B186A" w:rsidRPr="009B7433" w:rsidRDefault="001B186A" w:rsidP="00A15234">
      <w:pPr>
        <w:jc w:val="center"/>
        <w:rPr>
          <w:rFonts w:ascii="Book Antiqua" w:hAnsi="Book Antiqua" w:cs="Arial"/>
          <w:b/>
          <w:color w:val="000000"/>
        </w:rPr>
      </w:pPr>
    </w:p>
    <w:p w:rsidR="00D20757" w:rsidRPr="009B7433" w:rsidRDefault="00D20757" w:rsidP="00A15234">
      <w:pPr>
        <w:jc w:val="center"/>
        <w:rPr>
          <w:rFonts w:ascii="Book Antiqua" w:hAnsi="Book Antiqua" w:cs="Arial"/>
          <w:b/>
        </w:rPr>
      </w:pPr>
    </w:p>
    <w:p w:rsidR="00A845DC" w:rsidRPr="009B7433" w:rsidRDefault="00A845DC" w:rsidP="00A15234">
      <w:pPr>
        <w:jc w:val="center"/>
        <w:rPr>
          <w:rFonts w:ascii="Book Antiqua" w:hAnsi="Book Antiqua" w:cs="Arial"/>
          <w:b/>
        </w:rPr>
      </w:pPr>
      <w:r w:rsidRPr="009B7433">
        <w:rPr>
          <w:rFonts w:ascii="Book Antiqua" w:hAnsi="Book Antiqua" w:cs="Arial"/>
          <w:b/>
        </w:rPr>
        <w:t>Between</w:t>
      </w:r>
    </w:p>
    <w:p w:rsidR="00A845DC" w:rsidRPr="009B7433" w:rsidRDefault="00A845DC" w:rsidP="00A15234">
      <w:pPr>
        <w:jc w:val="center"/>
        <w:rPr>
          <w:rFonts w:ascii="Book Antiqua" w:hAnsi="Book Antiqua" w:cs="Arial"/>
          <w:b/>
        </w:rPr>
      </w:pPr>
    </w:p>
    <w:p w:rsidR="00A845DC" w:rsidRDefault="00C72993" w:rsidP="00A15234">
      <w:pPr>
        <w:jc w:val="center"/>
        <w:rPr>
          <w:rFonts w:ascii="Book Antiqua" w:hAnsi="Book Antiqua" w:cs="Arial"/>
          <w:b/>
          <w:caps/>
        </w:rPr>
      </w:pPr>
      <w:r>
        <w:rPr>
          <w:rFonts w:ascii="Book Antiqua" w:hAnsi="Book Antiqua" w:cs="Arial"/>
          <w:b/>
          <w:caps/>
        </w:rPr>
        <w:t>inder kaur</w:t>
      </w:r>
    </w:p>
    <w:p w:rsidR="00D949B7" w:rsidRPr="00C2312A" w:rsidRDefault="00D949B7" w:rsidP="00D949B7">
      <w:pPr>
        <w:jc w:val="center"/>
        <w:rPr>
          <w:rFonts w:ascii="Book Antiqua" w:hAnsi="Book Antiqua" w:cs="Arial"/>
          <w:b/>
          <w:caps/>
          <w:sz w:val="22"/>
        </w:rPr>
      </w:pPr>
      <w:r w:rsidRPr="00C2312A">
        <w:rPr>
          <w:rFonts w:ascii="Book Antiqua" w:hAnsi="Book Antiqua" w:cs="Arial"/>
          <w:b/>
          <w:caps/>
          <w:sz w:val="22"/>
        </w:rPr>
        <w:t xml:space="preserve">(ANONYMITY DIRECTION </w:t>
      </w:r>
      <w:r w:rsidR="00C72993" w:rsidRPr="00C2312A">
        <w:rPr>
          <w:rFonts w:ascii="Book Antiqua" w:hAnsi="Book Antiqua" w:cs="Arial"/>
          <w:b/>
          <w:caps/>
          <w:sz w:val="22"/>
        </w:rPr>
        <w:t>not made</w:t>
      </w:r>
      <w:r w:rsidRPr="00C2312A">
        <w:rPr>
          <w:rFonts w:ascii="Book Antiqua" w:hAnsi="Book Antiqua" w:cs="Arial"/>
          <w:b/>
          <w:caps/>
          <w:sz w:val="22"/>
        </w:rPr>
        <w:t>)</w:t>
      </w:r>
    </w:p>
    <w:p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DD5071" w:rsidRPr="009B7433" w:rsidRDefault="00DD5071" w:rsidP="00704B61">
      <w:pPr>
        <w:jc w:val="center"/>
        <w:rPr>
          <w:rFonts w:ascii="Book Antiqua" w:hAnsi="Book Antiqua" w:cs="Arial"/>
          <w:b/>
        </w:rPr>
      </w:pPr>
    </w:p>
    <w:p w:rsidR="00DD5071" w:rsidRPr="009B7433" w:rsidRDefault="00DD5071" w:rsidP="00704B61">
      <w:pPr>
        <w:jc w:val="center"/>
        <w:rPr>
          <w:rFonts w:ascii="Book Antiqua" w:hAnsi="Book Antiqua" w:cs="Arial"/>
          <w:b/>
        </w:rPr>
      </w:pPr>
      <w:r w:rsidRPr="009B743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9B7433">
        <w:rPr>
          <w:rFonts w:ascii="Book Antiqua" w:hAnsi="Book Antiqua" w:cs="Arial"/>
          <w:b/>
        </w:rPr>
        <w:instrText xml:space="preserve"> FORMTEXT </w:instrText>
      </w:r>
      <w:r w:rsidRPr="009B7433">
        <w:rPr>
          <w:rFonts w:ascii="Book Antiqua" w:hAnsi="Book Antiqua" w:cs="Arial"/>
          <w:b/>
        </w:rPr>
      </w:r>
      <w:r w:rsidRPr="009B7433">
        <w:rPr>
          <w:rFonts w:ascii="Book Antiqua" w:hAnsi="Book Antiqua" w:cs="Arial"/>
          <w:b/>
        </w:rPr>
        <w:fldChar w:fldCharType="separate"/>
      </w:r>
      <w:r w:rsidRPr="009B7433">
        <w:rPr>
          <w:rFonts w:ascii="Book Antiqua" w:hAnsi="Book Antiqua" w:cs="Arial"/>
          <w:b/>
          <w:noProof/>
        </w:rPr>
        <w:t>THE SECRETARY OF STATE FOR THE HOME DEPARTMENT</w:t>
      </w:r>
      <w:r w:rsidRPr="009B7433">
        <w:rPr>
          <w:rFonts w:ascii="Book Antiqua" w:hAnsi="Book Antiqua" w:cs="Arial"/>
          <w:b/>
        </w:rPr>
        <w:fldChar w:fldCharType="end"/>
      </w:r>
      <w:bookmarkEnd w:id="1"/>
    </w:p>
    <w:p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rsidR="00DD5071" w:rsidRPr="009B7433" w:rsidRDefault="00DD5071" w:rsidP="00DD5071">
      <w:pPr>
        <w:rPr>
          <w:rFonts w:ascii="Book Antiqua" w:hAnsi="Book Antiqua" w:cs="Arial"/>
          <w:u w:val="single"/>
        </w:rPr>
      </w:pPr>
    </w:p>
    <w:p w:rsidR="00DD5071" w:rsidRPr="009B7433" w:rsidRDefault="00DD5071" w:rsidP="00DD5071">
      <w:pPr>
        <w:rPr>
          <w:rFonts w:ascii="Book Antiqua" w:hAnsi="Book Antiqua" w:cs="Arial"/>
          <w:u w:val="single"/>
        </w:rPr>
      </w:pPr>
    </w:p>
    <w:p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C72993">
        <w:rPr>
          <w:rFonts w:ascii="Book Antiqua" w:hAnsi="Book Antiqua" w:cs="Arial"/>
        </w:rPr>
        <w:t>Mr E Wilford</w:t>
      </w:r>
      <w:r w:rsidR="00B71C05">
        <w:rPr>
          <w:rFonts w:ascii="Book Antiqua" w:hAnsi="Book Antiqua" w:cs="Arial"/>
        </w:rPr>
        <w:t xml:space="preserve">, instructed by </w:t>
      </w:r>
      <w:proofErr w:type="spellStart"/>
      <w:r w:rsidR="00B71C05">
        <w:rPr>
          <w:rFonts w:ascii="Book Antiqua" w:hAnsi="Book Antiqua" w:cs="Arial"/>
        </w:rPr>
        <w:t>Braitch</w:t>
      </w:r>
      <w:proofErr w:type="spellEnd"/>
      <w:r w:rsidR="00B71C05">
        <w:rPr>
          <w:rFonts w:ascii="Book Antiqua" w:hAnsi="Book Antiqua" w:cs="Arial"/>
        </w:rPr>
        <w:t xml:space="preserve"> RB solicitors</w:t>
      </w: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2F0CAF">
        <w:rPr>
          <w:rFonts w:ascii="Book Antiqua" w:hAnsi="Book Antiqua" w:cs="Arial"/>
        </w:rPr>
        <w:t xml:space="preserve">Ms </w:t>
      </w:r>
      <w:r w:rsidR="00C72993">
        <w:rPr>
          <w:rFonts w:ascii="Book Antiqua" w:hAnsi="Book Antiqua" w:cs="Arial"/>
        </w:rPr>
        <w:t xml:space="preserve">Z Kiss, Home Office Presenting Officer </w:t>
      </w:r>
    </w:p>
    <w:p w:rsidR="00DE7DB7" w:rsidRPr="009B7433" w:rsidRDefault="00DE7DB7" w:rsidP="00402B9E">
      <w:pPr>
        <w:tabs>
          <w:tab w:val="left" w:pos="2520"/>
        </w:tabs>
        <w:jc w:val="center"/>
        <w:rPr>
          <w:rFonts w:ascii="Book Antiqua" w:hAnsi="Book Antiqua" w:cs="Arial"/>
        </w:rPr>
      </w:pPr>
    </w:p>
    <w:p w:rsidR="00DE7DB7" w:rsidRPr="009B7433" w:rsidRDefault="00DE7DB7" w:rsidP="000A0743">
      <w:pPr>
        <w:jc w:val="center"/>
        <w:rPr>
          <w:rFonts w:ascii="Book Antiqua" w:hAnsi="Book Antiqua" w:cs="Arial"/>
        </w:rPr>
      </w:pPr>
    </w:p>
    <w:p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rsidR="00B71C05" w:rsidRDefault="00B83715" w:rsidP="00C2312A">
      <w:pPr>
        <w:numPr>
          <w:ilvl w:val="0"/>
          <w:numId w:val="1"/>
        </w:numPr>
        <w:tabs>
          <w:tab w:val="clear" w:pos="567"/>
        </w:tabs>
        <w:spacing w:before="120"/>
        <w:rPr>
          <w:rFonts w:ascii="Book Antiqua" w:hAnsi="Book Antiqua" w:cs="Arial"/>
        </w:rPr>
      </w:pPr>
      <w:r>
        <w:rPr>
          <w:rFonts w:ascii="Book Antiqua" w:hAnsi="Book Antiqua" w:cs="Arial"/>
        </w:rPr>
        <w:t xml:space="preserve">The appellant is a citizen of India born on 20 May 1937.  She is appealing against the decision of First-tier Tribunal Judge </w:t>
      </w:r>
      <w:proofErr w:type="spellStart"/>
      <w:r>
        <w:rPr>
          <w:rFonts w:ascii="Book Antiqua" w:hAnsi="Book Antiqua" w:cs="Arial"/>
        </w:rPr>
        <w:t>Broe</w:t>
      </w:r>
      <w:proofErr w:type="spellEnd"/>
      <w:r>
        <w:rPr>
          <w:rFonts w:ascii="Book Antiqua" w:hAnsi="Book Antiqua" w:cs="Arial"/>
        </w:rPr>
        <w:t xml:space="preserve"> promulgated on 18 September 2017 to dismiss her appeal against the decision of the respondent </w:t>
      </w:r>
      <w:r w:rsidR="001A1ABD">
        <w:rPr>
          <w:rFonts w:ascii="Book Antiqua" w:hAnsi="Book Antiqua" w:cs="Arial"/>
        </w:rPr>
        <w:t xml:space="preserve">on 11 November 2016 </w:t>
      </w:r>
      <w:r>
        <w:rPr>
          <w:rFonts w:ascii="Book Antiqua" w:hAnsi="Book Antiqua" w:cs="Arial"/>
        </w:rPr>
        <w:t xml:space="preserve">to refuse her application for entry clearance as the dependent relative of her </w:t>
      </w:r>
      <w:r w:rsidR="007442AA">
        <w:rPr>
          <w:rFonts w:ascii="Book Antiqua" w:hAnsi="Book Antiqua" w:cs="Arial"/>
        </w:rPr>
        <w:t>son</w:t>
      </w:r>
      <w:r w:rsidR="001A1ABD">
        <w:rPr>
          <w:rFonts w:ascii="Book Antiqua" w:hAnsi="Book Antiqua" w:cs="Arial"/>
        </w:rPr>
        <w:t xml:space="preserve"> (“the </w:t>
      </w:r>
      <w:r>
        <w:rPr>
          <w:rFonts w:ascii="Book Antiqua" w:hAnsi="Book Antiqua" w:cs="Arial"/>
        </w:rPr>
        <w:t>sponsor</w:t>
      </w:r>
      <w:r w:rsidR="001A1ABD">
        <w:rPr>
          <w:rFonts w:ascii="Book Antiqua" w:hAnsi="Book Antiqua" w:cs="Arial"/>
        </w:rPr>
        <w:t>”)</w:t>
      </w:r>
      <w:r>
        <w:rPr>
          <w:rFonts w:ascii="Book Antiqua" w:hAnsi="Book Antiqua" w:cs="Arial"/>
        </w:rPr>
        <w:t xml:space="preserve">.  Entry clearance was refused on the basis that the requirements of Appendix FM as an adult dependent relative were not satisfied and there </w:t>
      </w:r>
      <w:r w:rsidR="00B71C05">
        <w:rPr>
          <w:rFonts w:ascii="Book Antiqua" w:hAnsi="Book Antiqua" w:cs="Arial"/>
        </w:rPr>
        <w:t xml:space="preserve">were not </w:t>
      </w:r>
      <w:r>
        <w:rPr>
          <w:rFonts w:ascii="Book Antiqua" w:hAnsi="Book Antiqua" w:cs="Arial"/>
        </w:rPr>
        <w:t xml:space="preserve">exceptional circumstances to warrant allowing the appeal under Article 8 </w:t>
      </w:r>
      <w:r w:rsidR="00553695">
        <w:rPr>
          <w:rFonts w:ascii="Book Antiqua" w:hAnsi="Book Antiqua" w:cs="Arial"/>
        </w:rPr>
        <w:t>outside</w:t>
      </w:r>
      <w:r>
        <w:rPr>
          <w:rFonts w:ascii="Book Antiqua" w:hAnsi="Book Antiqua" w:cs="Arial"/>
        </w:rPr>
        <w:t xml:space="preserve"> the Immigration Rules.  </w:t>
      </w:r>
    </w:p>
    <w:p w:rsidR="00597F74" w:rsidRPr="00597F74" w:rsidRDefault="00597F74" w:rsidP="00C2312A">
      <w:pPr>
        <w:spacing w:before="120"/>
        <w:rPr>
          <w:rFonts w:ascii="Book Antiqua" w:hAnsi="Book Antiqua" w:cs="Arial"/>
          <w:u w:val="single"/>
        </w:rPr>
      </w:pPr>
      <w:r w:rsidRPr="00597F74">
        <w:rPr>
          <w:rFonts w:ascii="Book Antiqua" w:hAnsi="Book Antiqua" w:cs="Arial"/>
          <w:u w:val="single"/>
        </w:rPr>
        <w:lastRenderedPageBreak/>
        <w:t>Decision of the First-tier Tribunal</w:t>
      </w:r>
    </w:p>
    <w:p w:rsidR="009D348A" w:rsidRPr="00B71C05" w:rsidRDefault="00B83715" w:rsidP="00C2312A">
      <w:pPr>
        <w:numPr>
          <w:ilvl w:val="0"/>
          <w:numId w:val="1"/>
        </w:numPr>
        <w:tabs>
          <w:tab w:val="clear" w:pos="567"/>
        </w:tabs>
        <w:spacing w:before="120"/>
        <w:rPr>
          <w:rFonts w:ascii="Book Antiqua" w:hAnsi="Book Antiqua" w:cs="Arial"/>
        </w:rPr>
      </w:pPr>
      <w:r>
        <w:rPr>
          <w:rFonts w:ascii="Book Antiqua" w:hAnsi="Book Antiqua" w:cs="Arial"/>
        </w:rPr>
        <w:t xml:space="preserve">The appellant appealed to the First-tier Tribunal where her appeal was heard by Judge </w:t>
      </w:r>
      <w:proofErr w:type="spellStart"/>
      <w:r w:rsidR="008673FE">
        <w:rPr>
          <w:rFonts w:ascii="Book Antiqua" w:hAnsi="Book Antiqua" w:cs="Arial"/>
        </w:rPr>
        <w:t>Broe</w:t>
      </w:r>
      <w:proofErr w:type="spellEnd"/>
      <w:r>
        <w:rPr>
          <w:rFonts w:ascii="Book Antiqua" w:hAnsi="Book Antiqua" w:cs="Arial"/>
        </w:rPr>
        <w:t xml:space="preserve">. </w:t>
      </w:r>
      <w:r w:rsidR="00B71C05">
        <w:rPr>
          <w:rFonts w:ascii="Book Antiqua" w:hAnsi="Book Antiqua" w:cs="Arial"/>
        </w:rPr>
        <w:t xml:space="preserve">The judge </w:t>
      </w:r>
      <w:r w:rsidRPr="00B71C05">
        <w:rPr>
          <w:rFonts w:ascii="Book Antiqua" w:hAnsi="Book Antiqua" w:cs="Arial"/>
        </w:rPr>
        <w:t xml:space="preserve">firstly considered </w:t>
      </w:r>
      <w:r w:rsidR="00B71C05">
        <w:rPr>
          <w:rFonts w:ascii="Book Antiqua" w:hAnsi="Book Antiqua" w:cs="Arial"/>
        </w:rPr>
        <w:t xml:space="preserve">whether </w:t>
      </w:r>
      <w:r w:rsidRPr="00B71C05">
        <w:rPr>
          <w:rFonts w:ascii="Book Antiqua" w:hAnsi="Book Antiqua" w:cs="Arial"/>
        </w:rPr>
        <w:t xml:space="preserve">the requirements for entry clearance as an adult dependent relative </w:t>
      </w:r>
      <w:r w:rsidR="00B71C05">
        <w:rPr>
          <w:rFonts w:ascii="Book Antiqua" w:hAnsi="Book Antiqua" w:cs="Arial"/>
        </w:rPr>
        <w:t xml:space="preserve">under Section EC-DR of Appendix FM of the Immigration Rules were </w:t>
      </w:r>
      <w:r w:rsidRPr="00B71C05">
        <w:rPr>
          <w:rFonts w:ascii="Book Antiqua" w:hAnsi="Book Antiqua" w:cs="Arial"/>
        </w:rPr>
        <w:t>satisfied</w:t>
      </w:r>
      <w:r w:rsidR="000814D3" w:rsidRPr="00B71C05">
        <w:rPr>
          <w:rFonts w:ascii="Book Antiqua" w:hAnsi="Book Antiqua" w:cs="Arial"/>
        </w:rPr>
        <w:t xml:space="preserve">.  The judge found that </w:t>
      </w:r>
      <w:r w:rsidR="00B71C05">
        <w:rPr>
          <w:rFonts w:ascii="Book Antiqua" w:hAnsi="Book Antiqua" w:cs="Arial"/>
        </w:rPr>
        <w:t xml:space="preserve">they were not. </w:t>
      </w:r>
      <w:r w:rsidR="000814D3" w:rsidRPr="00B71C05">
        <w:rPr>
          <w:rFonts w:ascii="Book Antiqua" w:hAnsi="Book Antiqua" w:cs="Arial"/>
        </w:rPr>
        <w:t>At paragraph</w:t>
      </w:r>
      <w:r w:rsidR="00B71C05">
        <w:rPr>
          <w:rFonts w:ascii="Book Antiqua" w:hAnsi="Book Antiqua" w:cs="Arial"/>
        </w:rPr>
        <w:t>s</w:t>
      </w:r>
      <w:r w:rsidR="000814D3" w:rsidRPr="00B71C05">
        <w:rPr>
          <w:rFonts w:ascii="Book Antiqua" w:hAnsi="Book Antiqua" w:cs="Arial"/>
        </w:rPr>
        <w:t xml:space="preserve"> 19</w:t>
      </w:r>
      <w:r w:rsidR="00B71C05">
        <w:rPr>
          <w:rFonts w:ascii="Book Antiqua" w:hAnsi="Book Antiqua" w:cs="Arial"/>
        </w:rPr>
        <w:t>-20</w:t>
      </w:r>
      <w:r w:rsidR="000814D3" w:rsidRPr="00B71C05">
        <w:rPr>
          <w:rFonts w:ascii="Book Antiqua" w:hAnsi="Book Antiqua" w:cs="Arial"/>
        </w:rPr>
        <w:t xml:space="preserve"> he stated:-</w:t>
      </w:r>
    </w:p>
    <w:p w:rsidR="00B71C05" w:rsidRPr="00C2312A" w:rsidRDefault="000814D3" w:rsidP="00C2312A">
      <w:pPr>
        <w:tabs>
          <w:tab w:val="left" w:pos="1701"/>
        </w:tabs>
        <w:spacing w:before="120" w:after="120"/>
        <w:ind w:left="1134" w:right="567"/>
        <w:jc w:val="both"/>
        <w:rPr>
          <w:rFonts w:ascii="Book Antiqua" w:hAnsi="Book Antiqua" w:cs="Arial"/>
          <w:sz w:val="22"/>
          <w:szCs w:val="22"/>
        </w:rPr>
      </w:pPr>
      <w:r w:rsidRPr="00C2312A">
        <w:rPr>
          <w:rFonts w:ascii="Book Antiqua" w:hAnsi="Book Antiqua" w:cs="Arial"/>
          <w:sz w:val="22"/>
          <w:szCs w:val="22"/>
        </w:rPr>
        <w:t>“</w:t>
      </w:r>
      <w:r w:rsidR="00B71C05" w:rsidRPr="00C2312A">
        <w:rPr>
          <w:rFonts w:ascii="Book Antiqua" w:hAnsi="Book Antiqua" w:cs="Arial"/>
          <w:sz w:val="22"/>
          <w:szCs w:val="22"/>
        </w:rPr>
        <w:t xml:space="preserve">19. </w:t>
      </w:r>
      <w:r w:rsidR="00C2312A">
        <w:rPr>
          <w:rFonts w:ascii="Book Antiqua" w:hAnsi="Book Antiqua" w:cs="Arial"/>
          <w:sz w:val="22"/>
          <w:szCs w:val="22"/>
        </w:rPr>
        <w:tab/>
      </w:r>
      <w:r w:rsidRPr="00C2312A">
        <w:rPr>
          <w:rFonts w:ascii="Book Antiqua" w:hAnsi="Book Antiqua" w:cs="Arial"/>
          <w:sz w:val="22"/>
          <w:szCs w:val="22"/>
        </w:rPr>
        <w:t xml:space="preserve">I note that the Appellant has been living alone since her daughter in law and grandchildren left in 2013, four years ago.  I note that she is 80 years old and that she has pains in her lower back, leg and knees.  There is no evidence of how she currently copes without assistance although I note that she lives alone.  I accept that her life would be made easier if she was living with a relative who would help and also provide the emotional support and </w:t>
      </w:r>
      <w:r w:rsidR="00553695" w:rsidRPr="00C2312A">
        <w:rPr>
          <w:rFonts w:ascii="Book Antiqua" w:hAnsi="Book Antiqua" w:cs="Arial"/>
          <w:sz w:val="22"/>
          <w:szCs w:val="22"/>
        </w:rPr>
        <w:t>interaction</w:t>
      </w:r>
      <w:r w:rsidRPr="00C2312A">
        <w:rPr>
          <w:rFonts w:ascii="Book Antiqua" w:hAnsi="Book Antiqua" w:cs="Arial"/>
          <w:sz w:val="22"/>
          <w:szCs w:val="22"/>
        </w:rPr>
        <w:t xml:space="preserve"> that she desires.  I am not </w:t>
      </w:r>
      <w:r w:rsidR="000031D9" w:rsidRPr="00C2312A">
        <w:rPr>
          <w:rFonts w:ascii="Book Antiqua" w:hAnsi="Book Antiqua" w:cs="Arial"/>
          <w:sz w:val="22"/>
          <w:szCs w:val="22"/>
        </w:rPr>
        <w:t xml:space="preserve">however </w:t>
      </w:r>
      <w:r w:rsidRPr="00C2312A">
        <w:rPr>
          <w:rFonts w:ascii="Book Antiqua" w:hAnsi="Book Antiqua" w:cs="Arial"/>
          <w:sz w:val="22"/>
          <w:szCs w:val="22"/>
        </w:rPr>
        <w:t xml:space="preserve">persuaded on what is before me that, as a result of age, illness or disability she requires long-term </w:t>
      </w:r>
      <w:r w:rsidR="00553695" w:rsidRPr="00C2312A">
        <w:rPr>
          <w:rFonts w:ascii="Book Antiqua" w:hAnsi="Book Antiqua" w:cs="Arial"/>
          <w:sz w:val="22"/>
          <w:szCs w:val="22"/>
        </w:rPr>
        <w:t>personal</w:t>
      </w:r>
      <w:r w:rsidRPr="00C2312A">
        <w:rPr>
          <w:rFonts w:ascii="Book Antiqua" w:hAnsi="Book Antiqua" w:cs="Arial"/>
          <w:sz w:val="22"/>
          <w:szCs w:val="22"/>
        </w:rPr>
        <w:t xml:space="preserve"> care to </w:t>
      </w:r>
      <w:r w:rsidR="00553695" w:rsidRPr="00C2312A">
        <w:rPr>
          <w:rFonts w:ascii="Book Antiqua" w:hAnsi="Book Antiqua" w:cs="Arial"/>
          <w:sz w:val="22"/>
          <w:szCs w:val="22"/>
        </w:rPr>
        <w:t>perform</w:t>
      </w:r>
      <w:r w:rsidRPr="00C2312A">
        <w:rPr>
          <w:rFonts w:ascii="Book Antiqua" w:hAnsi="Book Antiqua" w:cs="Arial"/>
          <w:sz w:val="22"/>
          <w:szCs w:val="22"/>
        </w:rPr>
        <w:t xml:space="preserve"> everyday tasks.</w:t>
      </w:r>
    </w:p>
    <w:p w:rsidR="000031D9" w:rsidRPr="00C2312A" w:rsidRDefault="00B71C05" w:rsidP="00C2312A">
      <w:pPr>
        <w:tabs>
          <w:tab w:val="left" w:pos="1701"/>
        </w:tabs>
        <w:spacing w:before="120" w:after="120"/>
        <w:ind w:left="1134" w:right="567"/>
        <w:jc w:val="both"/>
        <w:rPr>
          <w:rFonts w:ascii="Book Antiqua" w:hAnsi="Book Antiqua" w:cs="Arial"/>
          <w:sz w:val="22"/>
          <w:szCs w:val="22"/>
        </w:rPr>
      </w:pPr>
      <w:r w:rsidRPr="00C2312A">
        <w:rPr>
          <w:rFonts w:ascii="Book Antiqua" w:hAnsi="Book Antiqua" w:cs="Arial"/>
          <w:sz w:val="22"/>
          <w:szCs w:val="22"/>
        </w:rPr>
        <w:t xml:space="preserve">20. </w:t>
      </w:r>
      <w:r w:rsidR="00C2312A">
        <w:rPr>
          <w:rFonts w:ascii="Book Antiqua" w:hAnsi="Book Antiqua" w:cs="Arial"/>
          <w:sz w:val="22"/>
          <w:szCs w:val="22"/>
        </w:rPr>
        <w:tab/>
      </w:r>
      <w:r w:rsidR="000031D9" w:rsidRPr="00C2312A">
        <w:rPr>
          <w:rFonts w:ascii="Book Antiqua" w:hAnsi="Book Antiqua" w:cs="Arial"/>
          <w:sz w:val="22"/>
          <w:szCs w:val="22"/>
        </w:rPr>
        <w:t xml:space="preserve">In the event </w:t>
      </w:r>
      <w:r w:rsidR="00553695" w:rsidRPr="00C2312A">
        <w:rPr>
          <w:rFonts w:ascii="Book Antiqua" w:hAnsi="Book Antiqua" w:cs="Arial"/>
          <w:sz w:val="22"/>
          <w:szCs w:val="22"/>
        </w:rPr>
        <w:t>that</w:t>
      </w:r>
      <w:r w:rsidR="000031D9" w:rsidRPr="00C2312A">
        <w:rPr>
          <w:rFonts w:ascii="Book Antiqua" w:hAnsi="Book Antiqua" w:cs="Arial"/>
          <w:sz w:val="22"/>
          <w:szCs w:val="22"/>
        </w:rPr>
        <w:t xml:space="preserve"> I am </w:t>
      </w:r>
      <w:r w:rsidR="00553695" w:rsidRPr="00C2312A">
        <w:rPr>
          <w:rFonts w:ascii="Book Antiqua" w:hAnsi="Book Antiqua" w:cs="Arial"/>
          <w:sz w:val="22"/>
          <w:szCs w:val="22"/>
        </w:rPr>
        <w:t>wrong</w:t>
      </w:r>
      <w:r w:rsidR="000031D9" w:rsidRPr="00C2312A">
        <w:rPr>
          <w:rFonts w:ascii="Book Antiqua" w:hAnsi="Book Antiqua" w:cs="Arial"/>
          <w:sz w:val="22"/>
          <w:szCs w:val="22"/>
        </w:rPr>
        <w:t xml:space="preserve"> about that I have given careful consideration to whether she can obtain the required level of care in India.  In his most recent letter her doctor </w:t>
      </w:r>
      <w:r w:rsidRPr="00C2312A">
        <w:rPr>
          <w:rFonts w:ascii="Book Antiqua" w:hAnsi="Book Antiqua" w:cs="Arial"/>
          <w:sz w:val="22"/>
          <w:szCs w:val="22"/>
        </w:rPr>
        <w:t xml:space="preserve">says: </w:t>
      </w:r>
      <w:r w:rsidR="000031D9" w:rsidRPr="00C2312A">
        <w:rPr>
          <w:rFonts w:ascii="Book Antiqua" w:hAnsi="Book Antiqua" w:cs="Arial"/>
          <w:sz w:val="22"/>
          <w:szCs w:val="22"/>
        </w:rPr>
        <w:t>“</w:t>
      </w:r>
      <w:r w:rsidR="000031D9" w:rsidRPr="00C2312A">
        <w:rPr>
          <w:rFonts w:ascii="Book Antiqua" w:hAnsi="Book Antiqua" w:cs="Arial"/>
          <w:i/>
          <w:sz w:val="22"/>
          <w:szCs w:val="22"/>
        </w:rPr>
        <w:t xml:space="preserve">There are many care homes and old age homes in Punjab.  Many are in the city of Jalandhar where my patient </w:t>
      </w:r>
      <w:proofErr w:type="spellStart"/>
      <w:r w:rsidR="000031D9" w:rsidRPr="00C2312A">
        <w:rPr>
          <w:rFonts w:ascii="Book Antiqua" w:hAnsi="Book Antiqua" w:cs="Arial"/>
          <w:i/>
          <w:sz w:val="22"/>
          <w:szCs w:val="22"/>
        </w:rPr>
        <w:t>Inder</w:t>
      </w:r>
      <w:proofErr w:type="spellEnd"/>
      <w:r w:rsidR="000031D9" w:rsidRPr="00C2312A">
        <w:rPr>
          <w:rFonts w:ascii="Book Antiqua" w:hAnsi="Book Antiqua" w:cs="Arial"/>
          <w:i/>
          <w:sz w:val="22"/>
          <w:szCs w:val="22"/>
        </w:rPr>
        <w:t xml:space="preserve"> Kaur resides.  The care home may claim that the elderly people are living in full comfort and care in the care home.  But the emotions of the elder people are </w:t>
      </w:r>
      <w:r w:rsidR="00553695" w:rsidRPr="00C2312A">
        <w:rPr>
          <w:rFonts w:ascii="Book Antiqua" w:hAnsi="Book Antiqua" w:cs="Arial"/>
          <w:i/>
          <w:sz w:val="22"/>
          <w:szCs w:val="22"/>
        </w:rPr>
        <w:t>attached</w:t>
      </w:r>
      <w:r w:rsidR="000031D9" w:rsidRPr="00C2312A">
        <w:rPr>
          <w:rFonts w:ascii="Book Antiqua" w:hAnsi="Book Antiqua" w:cs="Arial"/>
          <w:i/>
          <w:sz w:val="22"/>
          <w:szCs w:val="22"/>
        </w:rPr>
        <w:t xml:space="preserve"> to their loved ones ... Even though </w:t>
      </w:r>
      <w:proofErr w:type="spellStart"/>
      <w:r w:rsidR="000031D9" w:rsidRPr="00C2312A">
        <w:rPr>
          <w:rFonts w:ascii="Book Antiqua" w:hAnsi="Book Antiqua" w:cs="Arial"/>
          <w:i/>
          <w:sz w:val="22"/>
          <w:szCs w:val="22"/>
        </w:rPr>
        <w:t>the</w:t>
      </w:r>
      <w:proofErr w:type="spellEnd"/>
      <w:r w:rsidR="000031D9" w:rsidRPr="00C2312A">
        <w:rPr>
          <w:rFonts w:ascii="Book Antiqua" w:hAnsi="Book Antiqua" w:cs="Arial"/>
          <w:i/>
          <w:sz w:val="22"/>
          <w:szCs w:val="22"/>
        </w:rPr>
        <w:t xml:space="preserve"> </w:t>
      </w:r>
      <w:proofErr w:type="spellStart"/>
      <w:r w:rsidR="000031D9" w:rsidRPr="00C2312A">
        <w:rPr>
          <w:rFonts w:ascii="Book Antiqua" w:hAnsi="Book Antiqua" w:cs="Arial"/>
          <w:i/>
          <w:sz w:val="22"/>
          <w:szCs w:val="22"/>
        </w:rPr>
        <w:t>are</w:t>
      </w:r>
      <w:proofErr w:type="spellEnd"/>
      <w:r w:rsidR="000031D9" w:rsidRPr="00C2312A">
        <w:rPr>
          <w:rFonts w:ascii="Book Antiqua" w:hAnsi="Book Antiqua" w:cs="Arial"/>
          <w:i/>
          <w:sz w:val="22"/>
          <w:szCs w:val="22"/>
        </w:rPr>
        <w:t xml:space="preserve"> (sic) homes obtain high standers (sic) in care</w:t>
      </w:r>
      <w:r w:rsidR="00323007" w:rsidRPr="00C2312A">
        <w:rPr>
          <w:rFonts w:ascii="Book Antiqua" w:hAnsi="Book Antiqua" w:cs="Arial"/>
          <w:i/>
          <w:sz w:val="22"/>
          <w:szCs w:val="22"/>
        </w:rPr>
        <w:t xml:space="preserve"> and hygiene but they will not be able to support </w:t>
      </w:r>
      <w:proofErr w:type="spellStart"/>
      <w:r w:rsidR="00323007" w:rsidRPr="00C2312A">
        <w:rPr>
          <w:rFonts w:ascii="Book Antiqua" w:hAnsi="Book Antiqua" w:cs="Arial"/>
          <w:i/>
          <w:sz w:val="22"/>
          <w:szCs w:val="22"/>
        </w:rPr>
        <w:t>Inder</w:t>
      </w:r>
      <w:proofErr w:type="spellEnd"/>
      <w:r w:rsidR="00323007" w:rsidRPr="00C2312A">
        <w:rPr>
          <w:rFonts w:ascii="Book Antiqua" w:hAnsi="Book Antiqua" w:cs="Arial"/>
          <w:i/>
          <w:sz w:val="22"/>
          <w:szCs w:val="22"/>
        </w:rPr>
        <w:t xml:space="preserve"> Kaur in the way her loved ones will and it may not be possible to comfort </w:t>
      </w:r>
      <w:proofErr w:type="spellStart"/>
      <w:r w:rsidR="00323007" w:rsidRPr="00C2312A">
        <w:rPr>
          <w:rFonts w:ascii="Book Antiqua" w:hAnsi="Book Antiqua" w:cs="Arial"/>
          <w:i/>
          <w:sz w:val="22"/>
          <w:szCs w:val="22"/>
        </w:rPr>
        <w:t>Inder</w:t>
      </w:r>
      <w:proofErr w:type="spellEnd"/>
      <w:r w:rsidR="00323007" w:rsidRPr="00C2312A">
        <w:rPr>
          <w:rFonts w:ascii="Book Antiqua" w:hAnsi="Book Antiqua" w:cs="Arial"/>
          <w:i/>
          <w:sz w:val="22"/>
          <w:szCs w:val="22"/>
        </w:rPr>
        <w:t xml:space="preserve"> Kaur emotionally</w:t>
      </w:r>
      <w:r w:rsidRPr="00C2312A">
        <w:rPr>
          <w:rFonts w:ascii="Book Antiqua" w:hAnsi="Book Antiqua" w:cs="Arial"/>
          <w:i/>
          <w:sz w:val="22"/>
          <w:szCs w:val="22"/>
        </w:rPr>
        <w:t>”.</w:t>
      </w:r>
      <w:r w:rsidRPr="00C2312A">
        <w:rPr>
          <w:rFonts w:ascii="Book Antiqua" w:hAnsi="Book Antiqua" w:cs="Arial"/>
          <w:sz w:val="22"/>
          <w:szCs w:val="22"/>
        </w:rPr>
        <w:t xml:space="preserve"> </w:t>
      </w:r>
      <w:r w:rsidR="00323007" w:rsidRPr="00C2312A">
        <w:rPr>
          <w:rFonts w:ascii="Book Antiqua" w:hAnsi="Book Antiqua" w:cs="Arial"/>
          <w:sz w:val="22"/>
          <w:szCs w:val="22"/>
        </w:rPr>
        <w:t>He said that if she was in a care home she might feel neglected and hurt emotionally.</w:t>
      </w:r>
      <w:r w:rsidR="007442AA" w:rsidRPr="00C2312A">
        <w:rPr>
          <w:rFonts w:ascii="Book Antiqua" w:hAnsi="Book Antiqua" w:cs="Arial"/>
          <w:sz w:val="22"/>
          <w:szCs w:val="22"/>
        </w:rPr>
        <w:t>”</w:t>
      </w:r>
      <w:r w:rsidR="00323007" w:rsidRPr="00C2312A">
        <w:rPr>
          <w:rFonts w:ascii="Book Antiqua" w:hAnsi="Book Antiqua" w:cs="Arial"/>
          <w:sz w:val="22"/>
          <w:szCs w:val="22"/>
        </w:rPr>
        <w:t xml:space="preserve">  </w:t>
      </w:r>
    </w:p>
    <w:p w:rsidR="00B71C05" w:rsidRDefault="00323007" w:rsidP="00C2312A">
      <w:pPr>
        <w:numPr>
          <w:ilvl w:val="0"/>
          <w:numId w:val="1"/>
        </w:numPr>
        <w:tabs>
          <w:tab w:val="clear" w:pos="567"/>
        </w:tabs>
        <w:spacing w:before="120"/>
        <w:rPr>
          <w:rFonts w:ascii="Book Antiqua" w:hAnsi="Book Antiqua" w:cs="Arial"/>
        </w:rPr>
      </w:pPr>
      <w:r>
        <w:rPr>
          <w:rFonts w:ascii="Book Antiqua" w:hAnsi="Book Antiqua" w:cs="Arial"/>
        </w:rPr>
        <w:t xml:space="preserve">The judge then turned to consider whether the appeal should be allowed </w:t>
      </w:r>
      <w:r w:rsidR="00B71C05">
        <w:rPr>
          <w:rFonts w:ascii="Book Antiqua" w:hAnsi="Book Antiqua" w:cs="Arial"/>
        </w:rPr>
        <w:t xml:space="preserve">outside the Immigration Rules. </w:t>
      </w:r>
    </w:p>
    <w:p w:rsidR="000031D9" w:rsidRDefault="00323007" w:rsidP="00C2312A">
      <w:pPr>
        <w:numPr>
          <w:ilvl w:val="0"/>
          <w:numId w:val="1"/>
        </w:numPr>
        <w:tabs>
          <w:tab w:val="clear" w:pos="567"/>
        </w:tabs>
        <w:spacing w:before="120"/>
        <w:rPr>
          <w:rFonts w:ascii="Book Antiqua" w:hAnsi="Book Antiqua" w:cs="Arial"/>
        </w:rPr>
      </w:pPr>
      <w:r>
        <w:rPr>
          <w:rFonts w:ascii="Book Antiqua" w:hAnsi="Book Antiqua" w:cs="Arial"/>
        </w:rPr>
        <w:t>At paragraph 23 he concluded that</w:t>
      </w:r>
      <w:r w:rsidR="00B71C05">
        <w:rPr>
          <w:rFonts w:ascii="Book Antiqua" w:hAnsi="Book Antiqua" w:cs="Arial"/>
        </w:rPr>
        <w:t xml:space="preserve"> the</w:t>
      </w:r>
      <w:r>
        <w:rPr>
          <w:rFonts w:ascii="Book Antiqua" w:hAnsi="Book Antiqua" w:cs="Arial"/>
        </w:rPr>
        <w:t xml:space="preserve"> family life</w:t>
      </w:r>
      <w:r w:rsidR="00B71C05">
        <w:rPr>
          <w:rFonts w:ascii="Book Antiqua" w:hAnsi="Book Antiqua" w:cs="Arial"/>
        </w:rPr>
        <w:t xml:space="preserve"> between the appellant and her son (who was the sponsor) did not</w:t>
      </w:r>
      <w:r>
        <w:rPr>
          <w:rFonts w:ascii="Book Antiqua" w:hAnsi="Book Antiqua" w:cs="Arial"/>
        </w:rPr>
        <w:t xml:space="preserve"> </w:t>
      </w:r>
      <w:r w:rsidR="00B71C05">
        <w:rPr>
          <w:rFonts w:ascii="Book Antiqua" w:hAnsi="Book Antiqua" w:cs="Arial"/>
        </w:rPr>
        <w:t xml:space="preserve">engage Article 8 ECHR. </w:t>
      </w:r>
      <w:r>
        <w:rPr>
          <w:rFonts w:ascii="Book Antiqua" w:hAnsi="Book Antiqua" w:cs="Arial"/>
        </w:rPr>
        <w:t>He stated:-</w:t>
      </w:r>
    </w:p>
    <w:p w:rsidR="00323007" w:rsidRPr="00C2312A" w:rsidRDefault="00323007" w:rsidP="00C2312A">
      <w:pPr>
        <w:spacing w:before="120" w:after="120"/>
        <w:ind w:left="1134" w:right="567"/>
        <w:jc w:val="both"/>
        <w:rPr>
          <w:rFonts w:ascii="Book Antiqua" w:hAnsi="Book Antiqua" w:cs="Arial"/>
          <w:sz w:val="22"/>
          <w:szCs w:val="22"/>
        </w:rPr>
      </w:pPr>
      <w:r w:rsidRPr="00C2312A">
        <w:rPr>
          <w:rFonts w:ascii="Book Antiqua" w:hAnsi="Book Antiqua" w:cs="Arial"/>
          <w:sz w:val="22"/>
          <w:szCs w:val="22"/>
        </w:rPr>
        <w:t>“I have noted the findings in R (</w:t>
      </w:r>
      <w:proofErr w:type="spellStart"/>
      <w:r w:rsidRPr="00C2312A">
        <w:rPr>
          <w:rFonts w:ascii="Book Antiqua" w:hAnsi="Book Antiqua" w:cs="Arial"/>
          <w:sz w:val="22"/>
          <w:szCs w:val="22"/>
        </w:rPr>
        <w:t>Britcits</w:t>
      </w:r>
      <w:proofErr w:type="spellEnd"/>
      <w:r w:rsidRPr="00C2312A">
        <w:rPr>
          <w:rFonts w:ascii="Book Antiqua" w:hAnsi="Book Antiqua" w:cs="Arial"/>
          <w:sz w:val="22"/>
          <w:szCs w:val="22"/>
        </w:rPr>
        <w:t xml:space="preserve">) v SSHD (2017) EWCA </w:t>
      </w:r>
      <w:proofErr w:type="spellStart"/>
      <w:r w:rsidRPr="00C2312A">
        <w:rPr>
          <w:rFonts w:ascii="Book Antiqua" w:hAnsi="Book Antiqua" w:cs="Arial"/>
          <w:sz w:val="22"/>
          <w:szCs w:val="22"/>
        </w:rPr>
        <w:t>Civ</w:t>
      </w:r>
      <w:proofErr w:type="spellEnd"/>
      <w:r w:rsidRPr="00C2312A">
        <w:rPr>
          <w:rFonts w:ascii="Book Antiqua" w:hAnsi="Book Antiqua" w:cs="Arial"/>
          <w:sz w:val="22"/>
          <w:szCs w:val="22"/>
        </w:rPr>
        <w:t xml:space="preserve"> 368 in which the Master of the Rolls rejected the submission that there was always family life that engaged Article 8 whenever a UK citizen with an elderly parent resident outside the United Kingdom wished to bring that parent to this country to look after them.  Whether or not there was family life at the time of the application depended on the facts.  I have given careful consideration to the relationship between the Appellant and Sponsor in this case and am not persuaded there is a relationship beyond the normal bonds that would be expected between a parent and an adult child.”</w:t>
      </w:r>
    </w:p>
    <w:p w:rsidR="00597F74" w:rsidRDefault="00323007" w:rsidP="00C2312A">
      <w:pPr>
        <w:numPr>
          <w:ilvl w:val="0"/>
          <w:numId w:val="1"/>
        </w:numPr>
        <w:tabs>
          <w:tab w:val="clear" w:pos="567"/>
        </w:tabs>
        <w:spacing w:before="120"/>
        <w:rPr>
          <w:rFonts w:ascii="Book Antiqua" w:hAnsi="Book Antiqua" w:cs="Arial"/>
        </w:rPr>
      </w:pPr>
      <w:r>
        <w:rPr>
          <w:rFonts w:ascii="Book Antiqua" w:hAnsi="Book Antiqua" w:cs="Arial"/>
        </w:rPr>
        <w:t>The</w:t>
      </w:r>
      <w:r w:rsidR="00B71C05">
        <w:rPr>
          <w:rFonts w:ascii="Book Antiqua" w:hAnsi="Book Antiqua" w:cs="Arial"/>
        </w:rPr>
        <w:t xml:space="preserve"> judge then proceeded to assess, </w:t>
      </w:r>
      <w:r>
        <w:rPr>
          <w:rFonts w:ascii="Book Antiqua" w:hAnsi="Book Antiqua" w:cs="Arial"/>
        </w:rPr>
        <w:t>in the alternative</w:t>
      </w:r>
      <w:r w:rsidR="00B71C05">
        <w:rPr>
          <w:rFonts w:ascii="Book Antiqua" w:hAnsi="Book Antiqua" w:cs="Arial"/>
        </w:rPr>
        <w:t>,</w:t>
      </w:r>
      <w:r>
        <w:rPr>
          <w:rFonts w:ascii="Book Antiqua" w:hAnsi="Book Antiqua" w:cs="Arial"/>
        </w:rPr>
        <w:t xml:space="preserve"> the proportionality of refusing entry clearance.  At paragraph 24 he cited </w:t>
      </w:r>
      <w:proofErr w:type="spellStart"/>
      <w:r w:rsidR="004C6E6C" w:rsidRPr="004C6E6C">
        <w:rPr>
          <w:rFonts w:ascii="Book Antiqua" w:hAnsi="Book Antiqua" w:cs="Arial"/>
          <w:i/>
        </w:rPr>
        <w:t>Agyarko</w:t>
      </w:r>
      <w:proofErr w:type="spellEnd"/>
      <w:r w:rsidR="004C6E6C">
        <w:rPr>
          <w:rFonts w:ascii="Book Antiqua" w:hAnsi="Book Antiqua" w:cs="Arial"/>
        </w:rPr>
        <w:t xml:space="preserve"> [2017] UKSC 11 and noted the finding of the </w:t>
      </w:r>
      <w:smartTag w:uri="urn:schemas-microsoft-com:office:smarttags" w:element="Street">
        <w:smartTag w:uri="urn:schemas-microsoft-com:office:smarttags" w:element="address">
          <w:r w:rsidR="004C6E6C">
            <w:rPr>
              <w:rFonts w:ascii="Book Antiqua" w:hAnsi="Book Antiqua" w:cs="Arial"/>
            </w:rPr>
            <w:t>European Court</w:t>
          </w:r>
        </w:smartTag>
      </w:smartTag>
      <w:r w:rsidR="004C6E6C">
        <w:rPr>
          <w:rFonts w:ascii="Book Antiqua" w:hAnsi="Book Antiqua" w:cs="Arial"/>
        </w:rPr>
        <w:t xml:space="preserve"> in </w:t>
      </w:r>
      <w:r w:rsidR="004C6E6C" w:rsidRPr="004C6E6C">
        <w:rPr>
          <w:rFonts w:ascii="Book Antiqua" w:hAnsi="Book Antiqua" w:cs="Arial"/>
          <w:i/>
        </w:rPr>
        <w:t>Jeunesse</w:t>
      </w:r>
      <w:r w:rsidR="004C6E6C">
        <w:rPr>
          <w:rFonts w:ascii="Book Antiqua" w:hAnsi="Book Antiqua" w:cs="Arial"/>
        </w:rPr>
        <w:t xml:space="preserve"> about precarious family life.  </w:t>
      </w:r>
      <w:r w:rsidR="00597F74">
        <w:rPr>
          <w:rFonts w:ascii="Book Antiqua" w:hAnsi="Book Antiqua" w:cs="Arial"/>
        </w:rPr>
        <w:t>At paragraph 26 the judge stated that in cases where there is “precarious family life” there must be strong or compelling to outweigh the public interest in immigration control.</w:t>
      </w:r>
    </w:p>
    <w:p w:rsidR="00323007" w:rsidRDefault="00022D61" w:rsidP="00C2312A">
      <w:pPr>
        <w:pStyle w:val="ListParagraph"/>
        <w:numPr>
          <w:ilvl w:val="0"/>
          <w:numId w:val="1"/>
        </w:numPr>
        <w:spacing w:before="120"/>
        <w:contextualSpacing w:val="0"/>
        <w:rPr>
          <w:rFonts w:ascii="Book Antiqua" w:hAnsi="Book Antiqua" w:cs="Arial"/>
        </w:rPr>
      </w:pPr>
      <w:r w:rsidRPr="00B71C05">
        <w:rPr>
          <w:rFonts w:ascii="Book Antiqua" w:hAnsi="Book Antiqua" w:cs="Arial"/>
        </w:rPr>
        <w:t xml:space="preserve">The judge concluded that if he was </w:t>
      </w:r>
      <w:r w:rsidR="00553695" w:rsidRPr="00B71C05">
        <w:rPr>
          <w:rFonts w:ascii="Book Antiqua" w:hAnsi="Book Antiqua" w:cs="Arial"/>
        </w:rPr>
        <w:t>wrong</w:t>
      </w:r>
      <w:r w:rsidRPr="00B71C05">
        <w:rPr>
          <w:rFonts w:ascii="Book Antiqua" w:hAnsi="Book Antiqua" w:cs="Arial"/>
        </w:rPr>
        <w:t xml:space="preserve"> about Article 8 being engaged then, in any event, he was satisfied that the interference with Article 8 rights would be lawful for </w:t>
      </w:r>
      <w:r w:rsidRPr="00B71C05">
        <w:rPr>
          <w:rFonts w:ascii="Book Antiqua" w:hAnsi="Book Antiqua" w:cs="Arial"/>
        </w:rPr>
        <w:lastRenderedPageBreak/>
        <w:t xml:space="preserve">the legitimate purpose of maintaining immigration control and would be proportionate.  </w:t>
      </w:r>
    </w:p>
    <w:p w:rsidR="00597F74" w:rsidRPr="00597F74" w:rsidRDefault="00597F74" w:rsidP="00C2312A">
      <w:pPr>
        <w:spacing w:before="120"/>
        <w:rPr>
          <w:rFonts w:ascii="Book Antiqua" w:hAnsi="Book Antiqua" w:cs="Arial"/>
          <w:u w:val="single"/>
        </w:rPr>
      </w:pPr>
      <w:r w:rsidRPr="00597F74">
        <w:rPr>
          <w:rFonts w:ascii="Book Antiqua" w:hAnsi="Book Antiqua" w:cs="Arial"/>
          <w:u w:val="single"/>
        </w:rPr>
        <w:t>Grounds of appeal and submission</w:t>
      </w:r>
      <w:r w:rsidR="001A1ABD">
        <w:rPr>
          <w:rFonts w:ascii="Book Antiqua" w:hAnsi="Book Antiqua" w:cs="Arial"/>
          <w:u w:val="single"/>
        </w:rPr>
        <w:t>s</w:t>
      </w:r>
    </w:p>
    <w:p w:rsidR="001A1ABD" w:rsidRDefault="00022D61" w:rsidP="00C2312A">
      <w:pPr>
        <w:numPr>
          <w:ilvl w:val="0"/>
          <w:numId w:val="1"/>
        </w:numPr>
        <w:tabs>
          <w:tab w:val="clear" w:pos="567"/>
        </w:tabs>
        <w:spacing w:before="120"/>
        <w:rPr>
          <w:rFonts w:ascii="Book Antiqua" w:hAnsi="Book Antiqua" w:cs="Arial"/>
        </w:rPr>
      </w:pPr>
      <w:r>
        <w:rPr>
          <w:rFonts w:ascii="Book Antiqua" w:hAnsi="Book Antiqua" w:cs="Arial"/>
        </w:rPr>
        <w:t xml:space="preserve">The grounds of appeal raise a number of issues with the decision.  </w:t>
      </w:r>
    </w:p>
    <w:p w:rsidR="009277F2" w:rsidRDefault="00022D61" w:rsidP="00C2312A">
      <w:pPr>
        <w:numPr>
          <w:ilvl w:val="0"/>
          <w:numId w:val="1"/>
        </w:numPr>
        <w:tabs>
          <w:tab w:val="clear" w:pos="567"/>
        </w:tabs>
        <w:spacing w:before="120"/>
        <w:rPr>
          <w:rFonts w:ascii="Book Antiqua" w:hAnsi="Book Antiqua" w:cs="Arial"/>
        </w:rPr>
      </w:pPr>
      <w:r>
        <w:rPr>
          <w:rFonts w:ascii="Book Antiqua" w:hAnsi="Book Antiqua" w:cs="Arial"/>
        </w:rPr>
        <w:t xml:space="preserve">First, it is argued that the judge erred in respect of the application of the Immigration Rules concerning adult dependent relatives because there had been an inadequate assessment of whether care could reasonably be provided to the required level in India.  </w:t>
      </w:r>
    </w:p>
    <w:p w:rsidR="009277F2" w:rsidRPr="001A1ABD" w:rsidRDefault="00022D61" w:rsidP="00C2312A">
      <w:pPr>
        <w:numPr>
          <w:ilvl w:val="0"/>
          <w:numId w:val="1"/>
        </w:numPr>
        <w:tabs>
          <w:tab w:val="clear" w:pos="567"/>
        </w:tabs>
        <w:spacing w:before="120"/>
        <w:rPr>
          <w:rFonts w:ascii="Book Antiqua" w:hAnsi="Book Antiqua" w:cs="Arial"/>
        </w:rPr>
      </w:pPr>
      <w:r>
        <w:rPr>
          <w:rFonts w:ascii="Book Antiqua" w:hAnsi="Book Antiqua" w:cs="Arial"/>
        </w:rPr>
        <w:t xml:space="preserve">Second, the grounds argued that the judge </w:t>
      </w:r>
      <w:r w:rsidR="00553695">
        <w:rPr>
          <w:rFonts w:ascii="Book Antiqua" w:hAnsi="Book Antiqua" w:cs="Arial"/>
        </w:rPr>
        <w:t>failed</w:t>
      </w:r>
      <w:r>
        <w:rPr>
          <w:rFonts w:ascii="Book Antiqua" w:hAnsi="Book Antiqua" w:cs="Arial"/>
        </w:rPr>
        <w:t xml:space="preserve"> to give adequate reaso</w:t>
      </w:r>
      <w:r w:rsidR="009277F2">
        <w:rPr>
          <w:rFonts w:ascii="Book Antiqua" w:hAnsi="Book Antiqua" w:cs="Arial"/>
        </w:rPr>
        <w:t>ns for finding that Article 8 was</w:t>
      </w:r>
      <w:r>
        <w:rPr>
          <w:rFonts w:ascii="Book Antiqua" w:hAnsi="Book Antiqua" w:cs="Arial"/>
        </w:rPr>
        <w:t xml:space="preserve"> not engaged</w:t>
      </w:r>
      <w:r w:rsidR="001A1ABD">
        <w:rPr>
          <w:rFonts w:ascii="Book Antiqua" w:hAnsi="Book Antiqua" w:cs="Arial"/>
        </w:rPr>
        <w:t xml:space="preserve"> between the sponsor and appellant and failed to engage with the issue of whether family life was engaged between the appellant and the sponsor’s wife and children, </w:t>
      </w:r>
      <w:r w:rsidRPr="001A1ABD">
        <w:rPr>
          <w:rFonts w:ascii="Book Antiqua" w:hAnsi="Book Antiqua" w:cs="Arial"/>
        </w:rPr>
        <w:t xml:space="preserve">with whom </w:t>
      </w:r>
      <w:r w:rsidR="009277F2" w:rsidRPr="001A1ABD">
        <w:rPr>
          <w:rFonts w:ascii="Book Antiqua" w:hAnsi="Book Antiqua" w:cs="Arial"/>
        </w:rPr>
        <w:t xml:space="preserve">she </w:t>
      </w:r>
      <w:r w:rsidR="001A1ABD">
        <w:rPr>
          <w:rFonts w:ascii="Book Antiqua" w:hAnsi="Book Antiqua" w:cs="Arial"/>
        </w:rPr>
        <w:t xml:space="preserve">had </w:t>
      </w:r>
      <w:r w:rsidR="009277F2" w:rsidRPr="001A1ABD">
        <w:rPr>
          <w:rFonts w:ascii="Book Antiqua" w:hAnsi="Book Antiqua" w:cs="Arial"/>
        </w:rPr>
        <w:t>lived in India until 2014.</w:t>
      </w:r>
    </w:p>
    <w:p w:rsidR="009277F2" w:rsidRDefault="001A1ABD" w:rsidP="00C2312A">
      <w:pPr>
        <w:numPr>
          <w:ilvl w:val="0"/>
          <w:numId w:val="1"/>
        </w:numPr>
        <w:tabs>
          <w:tab w:val="clear" w:pos="567"/>
        </w:tabs>
        <w:spacing w:before="120"/>
        <w:rPr>
          <w:rFonts w:ascii="Book Antiqua" w:hAnsi="Book Antiqua" w:cs="Arial"/>
        </w:rPr>
      </w:pPr>
      <w:r>
        <w:rPr>
          <w:rFonts w:ascii="Book Antiqua" w:hAnsi="Book Antiqua" w:cs="Arial"/>
        </w:rPr>
        <w:t>Third</w:t>
      </w:r>
      <w:r w:rsidR="00022D61">
        <w:rPr>
          <w:rFonts w:ascii="Book Antiqua" w:hAnsi="Book Antiqua" w:cs="Arial"/>
        </w:rPr>
        <w:t xml:space="preserve">, the grounds argue that the judge erred by considering cases involving precarious family life when this had no relevance to this matter.  </w:t>
      </w:r>
    </w:p>
    <w:p w:rsidR="00022D61" w:rsidRDefault="001A1ABD" w:rsidP="00C2312A">
      <w:pPr>
        <w:numPr>
          <w:ilvl w:val="0"/>
          <w:numId w:val="1"/>
        </w:numPr>
        <w:tabs>
          <w:tab w:val="clear" w:pos="567"/>
        </w:tabs>
        <w:spacing w:before="120"/>
        <w:rPr>
          <w:rFonts w:ascii="Book Antiqua" w:hAnsi="Book Antiqua" w:cs="Arial"/>
        </w:rPr>
      </w:pPr>
      <w:r>
        <w:rPr>
          <w:rFonts w:ascii="Book Antiqua" w:hAnsi="Book Antiqua" w:cs="Arial"/>
        </w:rPr>
        <w:t>Fourth</w:t>
      </w:r>
      <w:r w:rsidR="00022D61">
        <w:rPr>
          <w:rFonts w:ascii="Book Antiqua" w:hAnsi="Book Antiqua" w:cs="Arial"/>
        </w:rPr>
        <w:t xml:space="preserve">, the grounds argue that the judge failed to apply a balance sheet approach to the proportionality assessment and did not identify factors of significant weight that supported the appellant’s application such as her health.  </w:t>
      </w:r>
    </w:p>
    <w:p w:rsidR="002F0CAF" w:rsidRDefault="009277F2" w:rsidP="00C2312A">
      <w:pPr>
        <w:numPr>
          <w:ilvl w:val="0"/>
          <w:numId w:val="1"/>
        </w:numPr>
        <w:tabs>
          <w:tab w:val="clear" w:pos="567"/>
        </w:tabs>
        <w:spacing w:before="120"/>
        <w:rPr>
          <w:rFonts w:ascii="Book Antiqua" w:hAnsi="Book Antiqua" w:cs="Arial"/>
        </w:rPr>
      </w:pPr>
      <w:r>
        <w:rPr>
          <w:rFonts w:ascii="Book Antiqua" w:hAnsi="Book Antiqua" w:cs="Arial"/>
        </w:rPr>
        <w:t xml:space="preserve">Before me, </w:t>
      </w:r>
      <w:r w:rsidR="002F0CAF">
        <w:rPr>
          <w:rFonts w:ascii="Book Antiqua" w:hAnsi="Book Antiqua" w:cs="Arial"/>
        </w:rPr>
        <w:t>Mr Wi</w:t>
      </w:r>
      <w:r w:rsidR="001A1ABD">
        <w:rPr>
          <w:rFonts w:ascii="Book Antiqua" w:hAnsi="Book Antiqua" w:cs="Arial"/>
        </w:rPr>
        <w:t xml:space="preserve">lford elaborated on the grounds. </w:t>
      </w:r>
      <w:r w:rsidR="002F0CAF">
        <w:rPr>
          <w:rFonts w:ascii="Book Antiqua" w:hAnsi="Book Antiqua" w:cs="Arial"/>
        </w:rPr>
        <w:t xml:space="preserve">He placed particular emphasis on the </w:t>
      </w:r>
      <w:r w:rsidR="00553695">
        <w:rPr>
          <w:rFonts w:ascii="Book Antiqua" w:hAnsi="Book Antiqua" w:cs="Arial"/>
        </w:rPr>
        <w:t>failure</w:t>
      </w:r>
      <w:r w:rsidR="002F0CAF">
        <w:rPr>
          <w:rFonts w:ascii="Book Antiqua" w:hAnsi="Book Antiqua" w:cs="Arial"/>
        </w:rPr>
        <w:t xml:space="preserve"> to consider the relationship between the appellant and his granddaughter noting that no reference to her </w:t>
      </w:r>
      <w:r w:rsidR="001A1ABD">
        <w:rPr>
          <w:rFonts w:ascii="Book Antiqua" w:hAnsi="Book Antiqua" w:cs="Arial"/>
        </w:rPr>
        <w:t>witness statement wa</w:t>
      </w:r>
      <w:r w:rsidR="002F0CAF">
        <w:rPr>
          <w:rFonts w:ascii="Book Antiqua" w:hAnsi="Book Antiqua" w:cs="Arial"/>
        </w:rPr>
        <w:t xml:space="preserve">s made in the decision.  He also </w:t>
      </w:r>
      <w:r>
        <w:rPr>
          <w:rFonts w:ascii="Book Antiqua" w:hAnsi="Book Antiqua" w:cs="Arial"/>
        </w:rPr>
        <w:t xml:space="preserve">stated </w:t>
      </w:r>
      <w:r w:rsidR="002F0CAF">
        <w:rPr>
          <w:rFonts w:ascii="Book Antiqua" w:hAnsi="Book Antiqua" w:cs="Arial"/>
        </w:rPr>
        <w:t>that th</w:t>
      </w:r>
      <w:r w:rsidR="001A1ABD">
        <w:rPr>
          <w:rFonts w:ascii="Book Antiqua" w:hAnsi="Book Antiqua" w:cs="Arial"/>
        </w:rPr>
        <w:t>e case law on precariousness had</w:t>
      </w:r>
      <w:r w:rsidR="002F0CAF">
        <w:rPr>
          <w:rFonts w:ascii="Book Antiqua" w:hAnsi="Book Antiqua" w:cs="Arial"/>
        </w:rPr>
        <w:t xml:space="preserve"> no bearing on the case.  In respect of the Immigration Rules concerning adult dependent relatives he argued that the judge failed to have proper regard to the medical evidence which established the need for family support and thereby brought this case within the ambit of the Rules.  </w:t>
      </w:r>
    </w:p>
    <w:p w:rsidR="009277F2" w:rsidRPr="009277F2" w:rsidRDefault="002F0CAF" w:rsidP="00C2312A">
      <w:pPr>
        <w:numPr>
          <w:ilvl w:val="0"/>
          <w:numId w:val="1"/>
        </w:numPr>
        <w:tabs>
          <w:tab w:val="clear" w:pos="567"/>
        </w:tabs>
        <w:spacing w:before="120"/>
        <w:rPr>
          <w:rFonts w:ascii="Book Antiqua" w:hAnsi="Book Antiqua" w:cs="Arial"/>
        </w:rPr>
      </w:pPr>
      <w:r>
        <w:rPr>
          <w:rFonts w:ascii="Book Antiqua" w:hAnsi="Book Antiqua" w:cs="Arial"/>
        </w:rPr>
        <w:t xml:space="preserve">Ms Kiss responded </w:t>
      </w:r>
      <w:r w:rsidR="0066691A">
        <w:rPr>
          <w:rFonts w:ascii="Book Antiqua" w:hAnsi="Book Antiqua" w:cs="Arial"/>
        </w:rPr>
        <w:t xml:space="preserve">by arguing firstly that the medical evidence that Mr Wilford sought to rely on could not be given substantial weight as it is written by an orthopaedic doctor yet purports to give medical advice on psychological issues relating to care and family support.  She also noted that the evidence is framed in terms of “may” rather than “will”.  She </w:t>
      </w:r>
      <w:r w:rsidR="009277F2">
        <w:rPr>
          <w:rFonts w:ascii="Book Antiqua" w:hAnsi="Book Antiqua" w:cs="Arial"/>
        </w:rPr>
        <w:t>also observed</w:t>
      </w:r>
      <w:r w:rsidR="0066691A">
        <w:rPr>
          <w:rFonts w:ascii="Book Antiqua" w:hAnsi="Book Antiqua" w:cs="Arial"/>
        </w:rPr>
        <w:t xml:space="preserve"> that the evidence shows the family travelled together in 2014 to Germany which suggests a level of independence and ability greater than that being proposed by the appellant and</w:t>
      </w:r>
      <w:r w:rsidR="009277F2">
        <w:rPr>
          <w:rFonts w:ascii="Book Antiqua" w:hAnsi="Book Antiqua" w:cs="Arial"/>
        </w:rPr>
        <w:t xml:space="preserve"> which is</w:t>
      </w:r>
      <w:r w:rsidR="0066691A">
        <w:rPr>
          <w:rFonts w:ascii="Book Antiqua" w:hAnsi="Book Antiqua" w:cs="Arial"/>
        </w:rPr>
        <w:t xml:space="preserve"> consistent with the findings of the ju</w:t>
      </w:r>
      <w:r w:rsidR="009277F2">
        <w:rPr>
          <w:rFonts w:ascii="Book Antiqua" w:hAnsi="Book Antiqua" w:cs="Arial"/>
        </w:rPr>
        <w:t>dge.  She also argued that the</w:t>
      </w:r>
      <w:r w:rsidR="0066691A">
        <w:rPr>
          <w:rFonts w:ascii="Book Antiqua" w:hAnsi="Book Antiqua" w:cs="Arial"/>
        </w:rPr>
        <w:t xml:space="preserve"> evidence of the medical condition and medication required does not suggest a particularly high need.</w:t>
      </w:r>
      <w:r w:rsidR="009277F2">
        <w:rPr>
          <w:rFonts w:ascii="Book Antiqua" w:hAnsi="Book Antiqua" w:cs="Arial"/>
        </w:rPr>
        <w:t xml:space="preserve"> </w:t>
      </w:r>
      <w:r w:rsidR="0066691A" w:rsidRPr="009277F2">
        <w:rPr>
          <w:rFonts w:ascii="Book Antiqua" w:hAnsi="Book Antiqua" w:cs="Arial"/>
        </w:rPr>
        <w:t xml:space="preserve">With </w:t>
      </w:r>
      <w:r w:rsidR="00077967" w:rsidRPr="009277F2">
        <w:rPr>
          <w:rFonts w:ascii="Book Antiqua" w:hAnsi="Book Antiqua" w:cs="Arial"/>
        </w:rPr>
        <w:t>reg</w:t>
      </w:r>
      <w:r w:rsidR="0066691A" w:rsidRPr="009277F2">
        <w:rPr>
          <w:rFonts w:ascii="Book Antiqua" w:hAnsi="Book Antiqua" w:cs="Arial"/>
        </w:rPr>
        <w:t>ard to whether Article 8 was engaged</w:t>
      </w:r>
      <w:r w:rsidR="009277F2">
        <w:rPr>
          <w:rFonts w:ascii="Book Antiqua" w:hAnsi="Book Antiqua" w:cs="Arial"/>
        </w:rPr>
        <w:t>,</w:t>
      </w:r>
      <w:r w:rsidR="0066691A" w:rsidRPr="009277F2">
        <w:rPr>
          <w:rFonts w:ascii="Book Antiqua" w:hAnsi="Book Antiqua" w:cs="Arial"/>
        </w:rPr>
        <w:t xml:space="preserve"> she argued that the test in </w:t>
      </w:r>
      <w:proofErr w:type="spellStart"/>
      <w:r w:rsidR="0066691A" w:rsidRPr="009277F2">
        <w:rPr>
          <w:rFonts w:ascii="Book Antiqua" w:hAnsi="Book Antiqua" w:cs="Arial"/>
          <w:i/>
        </w:rPr>
        <w:t>Kugathas</w:t>
      </w:r>
      <w:proofErr w:type="spellEnd"/>
      <w:r w:rsidR="0066691A" w:rsidRPr="009277F2">
        <w:rPr>
          <w:rFonts w:ascii="Book Antiqua" w:hAnsi="Book Antiqua" w:cs="Arial"/>
          <w:i/>
        </w:rPr>
        <w:t xml:space="preserve"> v SSHD</w:t>
      </w:r>
      <w:r w:rsidR="0066691A" w:rsidRPr="009277F2">
        <w:rPr>
          <w:rFonts w:ascii="Book Antiqua" w:hAnsi="Book Antiqua" w:cs="Arial"/>
        </w:rPr>
        <w:t xml:space="preserve"> [2003] EWCA </w:t>
      </w:r>
      <w:proofErr w:type="spellStart"/>
      <w:r w:rsidR="0066691A" w:rsidRPr="009277F2">
        <w:rPr>
          <w:rFonts w:ascii="Book Antiqua" w:hAnsi="Book Antiqua" w:cs="Arial"/>
        </w:rPr>
        <w:t>Civ</w:t>
      </w:r>
      <w:proofErr w:type="spellEnd"/>
      <w:r w:rsidR="0066691A" w:rsidRPr="009277F2">
        <w:rPr>
          <w:rFonts w:ascii="Book Antiqua" w:hAnsi="Book Antiqua" w:cs="Arial"/>
        </w:rPr>
        <w:t xml:space="preserve"> 31 had been properly applied with the judge correctly directing himself as to the test and applying it appropriately in the circumstances.  She acknowledged that the granddaughter had not been referred to in the decision but did not consider this material.  </w:t>
      </w:r>
    </w:p>
    <w:p w:rsidR="009277F2" w:rsidRPr="001A1ABD" w:rsidRDefault="009277F2" w:rsidP="00C2312A">
      <w:pPr>
        <w:spacing w:before="120"/>
        <w:rPr>
          <w:rFonts w:ascii="Book Antiqua" w:hAnsi="Book Antiqua" w:cs="Arial"/>
          <w:u w:val="single"/>
        </w:rPr>
      </w:pPr>
      <w:r w:rsidRPr="009277F2">
        <w:rPr>
          <w:rFonts w:ascii="Book Antiqua" w:hAnsi="Book Antiqua" w:cs="Arial"/>
          <w:u w:val="single"/>
        </w:rPr>
        <w:t>Analysis</w:t>
      </w:r>
    </w:p>
    <w:p w:rsidR="001A1ABD" w:rsidRDefault="001A1ABD" w:rsidP="00C2312A">
      <w:pPr>
        <w:numPr>
          <w:ilvl w:val="0"/>
          <w:numId w:val="1"/>
        </w:numPr>
        <w:tabs>
          <w:tab w:val="clear" w:pos="567"/>
        </w:tabs>
        <w:spacing w:before="120"/>
        <w:rPr>
          <w:rFonts w:ascii="Book Antiqua" w:hAnsi="Book Antiqua" w:cs="Arial"/>
        </w:rPr>
      </w:pPr>
      <w:r>
        <w:rPr>
          <w:rFonts w:ascii="Book Antiqua" w:hAnsi="Book Antiqua" w:cs="Arial"/>
        </w:rPr>
        <w:t xml:space="preserve">The decision is in two parts. Firstly, at paragraphs 18 – 21, the judge assessed whether the appellant met the requirements of section EC-DR of Appendix FM of the Immigration Rules to be granted entry clearance as an adult dependent relative of the </w:t>
      </w:r>
      <w:r>
        <w:rPr>
          <w:rFonts w:ascii="Book Antiqua" w:hAnsi="Book Antiqua" w:cs="Arial"/>
        </w:rPr>
        <w:lastRenderedPageBreak/>
        <w:t>sponsor. Secondly, after finding that the conditions of section EC-DR were not satisfied, at paragraphs 22 – 29 the judge considered whether refusing entry clearance to the appellant would be contrary to article 8 ECHR.</w:t>
      </w:r>
    </w:p>
    <w:p w:rsidR="001A1ABD" w:rsidRPr="001A1ABD" w:rsidRDefault="001A1ABD" w:rsidP="00C2312A">
      <w:pPr>
        <w:spacing w:before="120"/>
        <w:rPr>
          <w:rFonts w:ascii="Book Antiqua" w:hAnsi="Book Antiqua" w:cs="Arial"/>
          <w:u w:val="single"/>
        </w:rPr>
      </w:pPr>
      <w:r w:rsidRPr="001A1ABD">
        <w:rPr>
          <w:rFonts w:ascii="Book Antiqua" w:hAnsi="Book Antiqua" w:cs="Arial"/>
          <w:u w:val="single"/>
        </w:rPr>
        <w:t>Section EC-DR</w:t>
      </w:r>
    </w:p>
    <w:p w:rsidR="001A1ABD" w:rsidRDefault="001A1ABD" w:rsidP="00C2312A">
      <w:pPr>
        <w:numPr>
          <w:ilvl w:val="0"/>
          <w:numId w:val="1"/>
        </w:numPr>
        <w:tabs>
          <w:tab w:val="clear" w:pos="567"/>
        </w:tabs>
        <w:spacing w:before="120"/>
        <w:rPr>
          <w:rFonts w:ascii="Book Antiqua" w:hAnsi="Book Antiqua" w:cs="Arial"/>
        </w:rPr>
      </w:pPr>
      <w:r>
        <w:rPr>
          <w:rFonts w:ascii="Book Antiqua" w:hAnsi="Book Antiqua" w:cs="Arial"/>
        </w:rPr>
        <w:t xml:space="preserve">In order to satisfy the requirements under section EC-DR an applicant must establish, inter alia, </w:t>
      </w:r>
      <w:r w:rsidRPr="001A1ABD">
        <w:rPr>
          <w:rFonts w:ascii="Book Antiqua" w:hAnsi="Book Antiqua" w:cs="Arial"/>
          <w:u w:val="single"/>
        </w:rPr>
        <w:t>both</w:t>
      </w:r>
      <w:r>
        <w:rPr>
          <w:rFonts w:ascii="Book Antiqua" w:hAnsi="Book Antiqua" w:cs="Arial"/>
        </w:rPr>
        <w:t xml:space="preserve"> that she requires long-term personal care to perform everyday tasks (E-ECDR 2.4) </w:t>
      </w:r>
      <w:r w:rsidRPr="001A1ABD">
        <w:rPr>
          <w:rFonts w:ascii="Book Antiqua" w:hAnsi="Book Antiqua" w:cs="Arial"/>
          <w:u w:val="single"/>
        </w:rPr>
        <w:t>and</w:t>
      </w:r>
      <w:r>
        <w:rPr>
          <w:rFonts w:ascii="Book Antiqua" w:hAnsi="Book Antiqua" w:cs="Arial"/>
        </w:rPr>
        <w:t xml:space="preserve"> that she is unable, even with the support of the sponsor, to obtain the required level of care in the country in which is living because it is either not available or not affordable (E-ECDR 2.5).</w:t>
      </w:r>
    </w:p>
    <w:p w:rsidR="001A1ABD" w:rsidRDefault="001A1ABD" w:rsidP="00C2312A">
      <w:pPr>
        <w:numPr>
          <w:ilvl w:val="0"/>
          <w:numId w:val="1"/>
        </w:numPr>
        <w:tabs>
          <w:tab w:val="clear" w:pos="567"/>
        </w:tabs>
        <w:spacing w:before="120"/>
        <w:rPr>
          <w:rFonts w:ascii="Book Antiqua" w:hAnsi="Book Antiqua" w:cs="Arial"/>
        </w:rPr>
      </w:pPr>
      <w:r>
        <w:rPr>
          <w:rFonts w:ascii="Book Antiqua" w:hAnsi="Book Antiqua" w:cs="Arial"/>
        </w:rPr>
        <w:t>The judge found that neither E-ECDR 2.4 nor E-ECDR 2.5 were satisfied as he did not accept that long-term personal care was required or that it could not be obtained in India. The first ground of appeal only challenges the judge’s findings in respect of E-ECDR 2.5 (availability of care) and does not contain any challenge to the judge’s finding at paragraph 19 of the decision that long-term personal care is not required. Accordingly, even if the first ground of appeal is sustainable and the judge erred by finding care would be available, this is not material as there has been no challenge to the judge’s finding that the appellant does not require long-term personal care to perform everyday tasks, such that</w:t>
      </w:r>
      <w:r w:rsidRPr="001A1ABD">
        <w:rPr>
          <w:rFonts w:ascii="Book Antiqua" w:hAnsi="Book Antiqua" w:cs="Arial"/>
        </w:rPr>
        <w:t xml:space="preserve"> </w:t>
      </w:r>
      <w:r>
        <w:rPr>
          <w:rFonts w:ascii="Book Antiqua" w:hAnsi="Book Antiqua" w:cs="Arial"/>
        </w:rPr>
        <w:t xml:space="preserve">E-ECDR 2.4 is not satisfied. </w:t>
      </w:r>
    </w:p>
    <w:p w:rsidR="001A1ABD" w:rsidRDefault="001A1ABD" w:rsidP="00C2312A">
      <w:pPr>
        <w:numPr>
          <w:ilvl w:val="0"/>
          <w:numId w:val="1"/>
        </w:numPr>
        <w:tabs>
          <w:tab w:val="clear" w:pos="567"/>
        </w:tabs>
        <w:spacing w:before="120"/>
        <w:rPr>
          <w:rFonts w:ascii="Book Antiqua" w:hAnsi="Book Antiqua" w:cs="Arial"/>
        </w:rPr>
      </w:pPr>
      <w:r>
        <w:rPr>
          <w:rFonts w:ascii="Book Antiqua" w:hAnsi="Book Antiqua" w:cs="Arial"/>
        </w:rPr>
        <w:t>In any event, the judge was entitled to find, on the evidence before him, that the appellant did not require long-term care within the meaning of</w:t>
      </w:r>
      <w:r w:rsidRPr="001A1ABD">
        <w:rPr>
          <w:rFonts w:ascii="Book Antiqua" w:hAnsi="Book Antiqua" w:cs="Arial"/>
        </w:rPr>
        <w:t xml:space="preserve"> </w:t>
      </w:r>
      <w:r>
        <w:rPr>
          <w:rFonts w:ascii="Book Antiqua" w:hAnsi="Book Antiqua" w:cs="Arial"/>
        </w:rPr>
        <w:t>E-ECDR 2.4. As argued by Ms Kiss, the burden of proof was on the appellant and the evidence adduced did not point to a particularly high level of need. The judge was entitled to give weight to his finding, at paragraph 19, that the appellant lives alone and that there was no evidence of how she copes without assistance. I am therefore satisfied that it was open to the judge, based on the evidence before him, to conclude that the requirements of section</w:t>
      </w:r>
      <w:r w:rsidRPr="001A1ABD">
        <w:rPr>
          <w:rFonts w:ascii="Book Antiqua" w:hAnsi="Book Antiqua" w:cs="Arial"/>
        </w:rPr>
        <w:t xml:space="preserve"> </w:t>
      </w:r>
      <w:r>
        <w:rPr>
          <w:rFonts w:ascii="Book Antiqua" w:hAnsi="Book Antiqua" w:cs="Arial"/>
        </w:rPr>
        <w:t>EC-DR of Appendix FM were not met.</w:t>
      </w:r>
    </w:p>
    <w:p w:rsidR="001A1ABD" w:rsidRPr="001A1ABD" w:rsidRDefault="001A1ABD" w:rsidP="00C2312A">
      <w:pPr>
        <w:spacing w:before="120"/>
        <w:rPr>
          <w:rFonts w:ascii="Book Antiqua" w:hAnsi="Book Antiqua" w:cs="Arial"/>
          <w:u w:val="single"/>
        </w:rPr>
      </w:pPr>
      <w:r w:rsidRPr="001A1ABD">
        <w:rPr>
          <w:rFonts w:ascii="Book Antiqua" w:hAnsi="Book Antiqua" w:cs="Arial"/>
          <w:u w:val="single"/>
        </w:rPr>
        <w:t>Article 8 ECHR</w:t>
      </w:r>
    </w:p>
    <w:p w:rsidR="001A1ABD" w:rsidRDefault="001A1ABD" w:rsidP="00C2312A">
      <w:pPr>
        <w:numPr>
          <w:ilvl w:val="0"/>
          <w:numId w:val="1"/>
        </w:numPr>
        <w:tabs>
          <w:tab w:val="clear" w:pos="567"/>
        </w:tabs>
        <w:spacing w:before="120"/>
        <w:rPr>
          <w:rFonts w:ascii="Book Antiqua" w:hAnsi="Book Antiqua" w:cs="Arial"/>
        </w:rPr>
      </w:pPr>
      <w:r w:rsidRPr="001A1ABD">
        <w:rPr>
          <w:rFonts w:ascii="Book Antiqua" w:hAnsi="Book Antiqua" w:cs="Arial"/>
        </w:rPr>
        <w:t xml:space="preserve">At paragraph 22, the judge stated that it was necessary to consider whether article 8 ECHR was engaged and that </w:t>
      </w:r>
      <w:r>
        <w:rPr>
          <w:rFonts w:ascii="Book Antiqua" w:hAnsi="Book Antiqua" w:cs="Arial"/>
        </w:rPr>
        <w:t>“family life” entailed consideration of each affected family member. However, despite correctly directing himself that the family life of all family members was relevant, the decision does not contain any consideration of the family life between the appellant and her daughter-in-law and grandchildren. The witness evidence of the appellant’s granddaughter was that she saw the appellant as a mother figure because of their previous cohabitation and it was not in dispute that the appellant had lived with this granddaughter, as well as her son’s wife, before they came to the UK in 2013. Given this background, it was incumbent on the judge to make a finding, and assess the evidence, in respect of the claimed family life between the appellant and her daughter-in-law and grandchildren. The absence of this constitutes an error of law.</w:t>
      </w:r>
    </w:p>
    <w:p w:rsidR="00902F64" w:rsidRPr="00EE2499" w:rsidRDefault="001A1ABD" w:rsidP="00C2312A">
      <w:pPr>
        <w:numPr>
          <w:ilvl w:val="0"/>
          <w:numId w:val="1"/>
        </w:numPr>
        <w:tabs>
          <w:tab w:val="clear" w:pos="567"/>
        </w:tabs>
        <w:spacing w:before="120"/>
        <w:rPr>
          <w:rFonts w:ascii="Book Antiqua" w:hAnsi="Book Antiqua" w:cs="Arial"/>
        </w:rPr>
      </w:pPr>
      <w:r>
        <w:rPr>
          <w:rFonts w:ascii="Book Antiqua" w:hAnsi="Book Antiqua" w:cs="Arial"/>
        </w:rPr>
        <w:t xml:space="preserve">A further error of law arises from the judge’s assessment of whether family life existed between the appellant and the sponsor. At paragraph 23 the judge stated that he was not persuaded that the relationship between the appellant and sponsor went beyond the normal bonds that would be expected between a parent and an adult </w:t>
      </w:r>
      <w:r>
        <w:rPr>
          <w:rFonts w:ascii="Book Antiqua" w:hAnsi="Book Antiqua" w:cs="Arial"/>
        </w:rPr>
        <w:lastRenderedPageBreak/>
        <w:t xml:space="preserve">child. This conclusion by the judge demonstrates that he had in mind the correct legal test (the wording reflects the language used in </w:t>
      </w:r>
      <w:proofErr w:type="spellStart"/>
      <w:r w:rsidRPr="001A1ABD">
        <w:rPr>
          <w:rFonts w:ascii="Book Antiqua" w:hAnsi="Book Antiqua" w:cs="Arial"/>
          <w:i/>
        </w:rPr>
        <w:t>Kugathas</w:t>
      </w:r>
      <w:proofErr w:type="spellEnd"/>
      <w:r w:rsidRPr="001A1ABD">
        <w:rPr>
          <w:rFonts w:ascii="Book Antiqua" w:hAnsi="Book Antiqua" w:cs="Arial"/>
          <w:i/>
        </w:rPr>
        <w:t xml:space="preserve"> v SSHD</w:t>
      </w:r>
      <w:r>
        <w:rPr>
          <w:rFonts w:ascii="Book Antiqua" w:hAnsi="Book Antiqua" w:cs="Arial"/>
        </w:rPr>
        <w:t xml:space="preserve"> [2003] EWCA </w:t>
      </w:r>
      <w:proofErr w:type="spellStart"/>
      <w:r>
        <w:rPr>
          <w:rFonts w:ascii="Book Antiqua" w:hAnsi="Book Antiqua" w:cs="Arial"/>
        </w:rPr>
        <w:t>Civ</w:t>
      </w:r>
      <w:proofErr w:type="spellEnd"/>
      <w:r>
        <w:rPr>
          <w:rFonts w:ascii="Book Antiqua" w:hAnsi="Book Antiqua" w:cs="Arial"/>
        </w:rPr>
        <w:t xml:space="preserve"> 31). However, the judge has not given any reasons to explain why he has concluded that the relationship does not go beyond “normal bonds”.</w:t>
      </w:r>
      <w:r w:rsidR="00902F64">
        <w:rPr>
          <w:rFonts w:ascii="Book Antiqua" w:hAnsi="Book Antiqua" w:cs="Arial"/>
        </w:rPr>
        <w:t xml:space="preserve"> The appellant’s case was that the sponsor provides her with real, effective and committed financial and emotional support. The decision does not contain an evaluation of these claims, or the evidence put forward to support them, an</w:t>
      </w:r>
      <w:r w:rsidR="00902F64" w:rsidRPr="00EE2499">
        <w:rPr>
          <w:rFonts w:ascii="Book Antiqua" w:hAnsi="Book Antiqua" w:cs="Arial"/>
        </w:rPr>
        <w:t>d it is not discernible from the decision why the judge concluded that the relationship did not go beyond normal bonds.</w:t>
      </w:r>
    </w:p>
    <w:p w:rsidR="00902F64" w:rsidRDefault="00902F64" w:rsidP="00C2312A">
      <w:pPr>
        <w:numPr>
          <w:ilvl w:val="0"/>
          <w:numId w:val="1"/>
        </w:numPr>
        <w:tabs>
          <w:tab w:val="clear" w:pos="567"/>
        </w:tabs>
        <w:spacing w:before="120"/>
        <w:rPr>
          <w:rFonts w:ascii="Book Antiqua" w:hAnsi="Book Antiqua" w:cs="Arial"/>
        </w:rPr>
      </w:pPr>
      <w:r>
        <w:rPr>
          <w:rFonts w:ascii="Book Antiqua" w:hAnsi="Book Antiqua" w:cs="Arial"/>
        </w:rPr>
        <w:t>Having found that family life was not engaged, the judge proceeded (in the alternative, in case he was wrong) to evaluate whether refusing entry clearance would be disproportionate.</w:t>
      </w:r>
      <w:r w:rsidR="0077661B">
        <w:rPr>
          <w:rFonts w:ascii="Book Antiqua" w:hAnsi="Book Antiqua" w:cs="Arial"/>
        </w:rPr>
        <w:t xml:space="preserve"> The judge directed himself in paragraphs 24 and 26 that there needs to be compelling/exceptional circumstances to allow an appeal “in cases concerned with precarious family life” and  he referred to </w:t>
      </w:r>
      <w:proofErr w:type="spellStart"/>
      <w:r w:rsidR="0077661B" w:rsidRPr="0077661B">
        <w:rPr>
          <w:rFonts w:ascii="Book Antiqua" w:hAnsi="Book Antiqua" w:cs="Arial"/>
          <w:i/>
        </w:rPr>
        <w:t>Agyarko</w:t>
      </w:r>
      <w:proofErr w:type="spellEnd"/>
      <w:r w:rsidR="0077661B" w:rsidRPr="0077661B">
        <w:rPr>
          <w:rFonts w:ascii="Book Antiqua" w:hAnsi="Book Antiqua" w:cs="Arial"/>
          <w:i/>
        </w:rPr>
        <w:t xml:space="preserve"> v Secretary of State for the Home Department </w:t>
      </w:r>
      <w:r w:rsidR="0077661B" w:rsidRPr="0077661B">
        <w:rPr>
          <w:rFonts w:ascii="Book Antiqua" w:hAnsi="Book Antiqua" w:cs="Arial"/>
        </w:rPr>
        <w:t>[2017] UKSC 11</w:t>
      </w:r>
      <w:r w:rsidR="0077661B">
        <w:rPr>
          <w:rFonts w:ascii="Book Antiqua" w:hAnsi="Book Antiqua" w:cs="Arial"/>
        </w:rPr>
        <w:t>, which concerned appellants who formed relationships whilst in the UK unlawfully. Reading paragraph 24 to 26 together, the clear impression is formed that the judge took into account, when assessing the proportionality of entry clearance being refused, the case law which establishes that little weight should be given to relationships formed when an immigration status is unlawful or precarious. However, these considerations were irrelevant in this case, which concerned the relationship between</w:t>
      </w:r>
      <w:r w:rsidR="00EE2499">
        <w:rPr>
          <w:rFonts w:ascii="Book Antiqua" w:hAnsi="Book Antiqua" w:cs="Arial"/>
        </w:rPr>
        <w:t xml:space="preserve"> an elderly parent and her son (and his family) that was formed long before any issue of immigration status arose. Therefore, it would be an error of law to weigh against the appellant in the article 8 proportionality balancing exercise that </w:t>
      </w:r>
      <w:r w:rsidR="007442AA">
        <w:rPr>
          <w:rFonts w:ascii="Book Antiqua" w:hAnsi="Book Antiqua" w:cs="Arial"/>
        </w:rPr>
        <w:t xml:space="preserve">the </w:t>
      </w:r>
      <w:r w:rsidR="00EE2499">
        <w:rPr>
          <w:rFonts w:ascii="Book Antiqua" w:hAnsi="Book Antiqua" w:cs="Arial"/>
        </w:rPr>
        <w:t xml:space="preserve">relationship was formed when her </w:t>
      </w:r>
      <w:r w:rsidR="007442AA">
        <w:rPr>
          <w:rFonts w:ascii="Book Antiqua" w:hAnsi="Book Antiqua" w:cs="Arial"/>
        </w:rPr>
        <w:t xml:space="preserve">(or the sponsor’s) </w:t>
      </w:r>
      <w:r w:rsidR="00EE2499">
        <w:rPr>
          <w:rFonts w:ascii="Book Antiqua" w:hAnsi="Book Antiqua" w:cs="Arial"/>
        </w:rPr>
        <w:t>immigration status was “precarious.”</w:t>
      </w:r>
    </w:p>
    <w:p w:rsidR="00902F64" w:rsidRDefault="00EE2499" w:rsidP="00C2312A">
      <w:pPr>
        <w:numPr>
          <w:ilvl w:val="0"/>
          <w:numId w:val="1"/>
        </w:numPr>
        <w:tabs>
          <w:tab w:val="clear" w:pos="567"/>
        </w:tabs>
        <w:spacing w:before="120"/>
        <w:rPr>
          <w:rFonts w:ascii="Book Antiqua" w:hAnsi="Book Antiqua" w:cs="Arial"/>
        </w:rPr>
      </w:pPr>
      <w:r>
        <w:rPr>
          <w:rFonts w:ascii="Book Antiqua" w:hAnsi="Book Antiqua" w:cs="Arial"/>
        </w:rPr>
        <w:t>For the reasons given above, I find that th</w:t>
      </w:r>
      <w:r w:rsidR="007442AA">
        <w:rPr>
          <w:rFonts w:ascii="Book Antiqua" w:hAnsi="Book Antiqua" w:cs="Arial"/>
        </w:rPr>
        <w:t>e decision contains material errors</w:t>
      </w:r>
      <w:r>
        <w:rPr>
          <w:rFonts w:ascii="Book Antiqua" w:hAnsi="Book Antiqua" w:cs="Arial"/>
        </w:rPr>
        <w:t xml:space="preserve"> of law and consequently cannot stand. </w:t>
      </w:r>
      <w:r w:rsidRPr="00EE2499">
        <w:rPr>
          <w:rFonts w:ascii="Book Antiqua" w:hAnsi="Book Antiqua" w:cs="Arial"/>
        </w:rPr>
        <w:t>Given the extent of further fact-finding</w:t>
      </w:r>
      <w:r>
        <w:rPr>
          <w:rFonts w:ascii="Book Antiqua" w:hAnsi="Book Antiqua" w:cs="Arial"/>
        </w:rPr>
        <w:t xml:space="preserve"> that will be necessary for the decision to be remade, I find that the appeal should be remitted to the First-tier Tribunal to be heard afresh.</w:t>
      </w:r>
    </w:p>
    <w:p w:rsidR="00EE2499" w:rsidRPr="00EE2499" w:rsidRDefault="00EE2499" w:rsidP="00C2312A">
      <w:pPr>
        <w:spacing w:before="120"/>
        <w:rPr>
          <w:rFonts w:ascii="Book Antiqua" w:hAnsi="Book Antiqua" w:cs="Arial"/>
          <w:b/>
        </w:rPr>
      </w:pPr>
      <w:r w:rsidRPr="00EE2499">
        <w:rPr>
          <w:rFonts w:ascii="Book Antiqua" w:hAnsi="Book Antiqua" w:cs="Arial"/>
          <w:b/>
        </w:rPr>
        <w:t>Decision</w:t>
      </w:r>
    </w:p>
    <w:p w:rsidR="00EE2499" w:rsidRDefault="00EE2499" w:rsidP="00C2312A">
      <w:pPr>
        <w:numPr>
          <w:ilvl w:val="0"/>
          <w:numId w:val="1"/>
        </w:numPr>
        <w:tabs>
          <w:tab w:val="clear" w:pos="567"/>
        </w:tabs>
        <w:spacing w:before="120"/>
        <w:rPr>
          <w:rFonts w:ascii="Book Antiqua" w:hAnsi="Book Antiqua" w:cs="Arial"/>
        </w:rPr>
      </w:pPr>
      <w:r>
        <w:rPr>
          <w:rFonts w:ascii="Book Antiqua" w:hAnsi="Book Antiqua" w:cs="Arial"/>
        </w:rPr>
        <w:t>The appeal is allowed.</w:t>
      </w:r>
    </w:p>
    <w:p w:rsidR="00EE2499" w:rsidRDefault="00EE2499" w:rsidP="00C2312A">
      <w:pPr>
        <w:numPr>
          <w:ilvl w:val="0"/>
          <w:numId w:val="1"/>
        </w:numPr>
        <w:tabs>
          <w:tab w:val="clear" w:pos="567"/>
        </w:tabs>
        <w:spacing w:before="120"/>
        <w:rPr>
          <w:rFonts w:ascii="Book Antiqua" w:hAnsi="Book Antiqua" w:cs="Arial"/>
        </w:rPr>
      </w:pPr>
      <w:r>
        <w:rPr>
          <w:rFonts w:ascii="Book Antiqua" w:hAnsi="Book Antiqua" w:cs="Arial"/>
        </w:rPr>
        <w:t>The decision of the First-tier Tribunal contains a material error of law and is set aside.</w:t>
      </w:r>
    </w:p>
    <w:p w:rsidR="00EE2499" w:rsidRPr="00EE2499" w:rsidRDefault="00EE2499" w:rsidP="00C2312A">
      <w:pPr>
        <w:numPr>
          <w:ilvl w:val="0"/>
          <w:numId w:val="1"/>
        </w:numPr>
        <w:tabs>
          <w:tab w:val="clear" w:pos="567"/>
        </w:tabs>
        <w:spacing w:before="120"/>
        <w:rPr>
          <w:rFonts w:ascii="Book Antiqua" w:hAnsi="Book Antiqua" w:cs="Arial"/>
        </w:rPr>
      </w:pPr>
      <w:r>
        <w:rPr>
          <w:rFonts w:ascii="Book Antiqua" w:hAnsi="Book Antiqua" w:cs="Arial"/>
        </w:rPr>
        <w:t>The appeal is remitted to the First-tier Tribunal to be heard by a different judge.</w:t>
      </w:r>
    </w:p>
    <w:p w:rsidR="00D949B7" w:rsidRPr="00D949B7" w:rsidRDefault="00553695" w:rsidP="00C2312A">
      <w:pPr>
        <w:numPr>
          <w:ilvl w:val="0"/>
          <w:numId w:val="1"/>
        </w:numPr>
        <w:tabs>
          <w:tab w:val="clear" w:pos="567"/>
        </w:tabs>
        <w:spacing w:before="120"/>
        <w:rPr>
          <w:rFonts w:ascii="Book Antiqua" w:hAnsi="Book Antiqua" w:cs="Arial"/>
        </w:rPr>
      </w:pPr>
      <w:r>
        <w:rPr>
          <w:rFonts w:ascii="Book Antiqua" w:hAnsi="Book Antiqua" w:cs="Arial"/>
        </w:rPr>
        <w:t xml:space="preserve">No </w:t>
      </w:r>
      <w:r w:rsidR="00D949B7" w:rsidRPr="00D949B7">
        <w:rPr>
          <w:rFonts w:ascii="Book Antiqua" w:hAnsi="Book Antiqua" w:cs="Arial"/>
        </w:rPr>
        <w:t>anonymity direction is made.</w:t>
      </w:r>
    </w:p>
    <w:p w:rsidR="00D949B7" w:rsidRPr="00D949B7" w:rsidRDefault="00D949B7" w:rsidP="00273201">
      <w:pPr>
        <w:rPr>
          <w:rFonts w:ascii="Book Antiqua" w:hAnsi="Book Antiqua" w:cs="Arial"/>
        </w:rPr>
      </w:pPr>
    </w:p>
    <w:tbl>
      <w:tblPr>
        <w:tblW w:w="0" w:type="auto"/>
        <w:tblLook w:val="01E0" w:firstRow="1" w:lastRow="1" w:firstColumn="1" w:lastColumn="1" w:noHBand="0" w:noVBand="0"/>
      </w:tblPr>
      <w:tblGrid>
        <w:gridCol w:w="5092"/>
        <w:gridCol w:w="322"/>
        <w:gridCol w:w="517"/>
        <w:gridCol w:w="3707"/>
      </w:tblGrid>
      <w:tr w:rsidR="00EE2499" w:rsidRPr="00647F2A" w:rsidTr="00C2312A">
        <w:trPr>
          <w:trHeight w:val="277"/>
        </w:trPr>
        <w:tc>
          <w:tcPr>
            <w:tcW w:w="5092" w:type="dxa"/>
          </w:tcPr>
          <w:p w:rsidR="00EE2499" w:rsidRPr="007442AA" w:rsidRDefault="00EE2499" w:rsidP="00EE2499">
            <w:pPr>
              <w:tabs>
                <w:tab w:val="left" w:pos="2520"/>
              </w:tabs>
              <w:rPr>
                <w:rFonts w:ascii="Book Antiqua" w:hAnsi="Book Antiqua" w:cs="Arial"/>
              </w:rPr>
            </w:pPr>
          </w:p>
          <w:p w:rsidR="00EE2499" w:rsidRPr="007442AA" w:rsidRDefault="00EE2499" w:rsidP="00EE2499">
            <w:pPr>
              <w:tabs>
                <w:tab w:val="left" w:pos="2520"/>
              </w:tabs>
              <w:rPr>
                <w:rFonts w:ascii="Book Antiqua" w:hAnsi="Book Antiqua" w:cs="Arial"/>
              </w:rPr>
            </w:pPr>
            <w:r w:rsidRPr="007442AA">
              <w:rPr>
                <w:rFonts w:ascii="Book Antiqua" w:hAnsi="Book Antiqua" w:cs="Arial"/>
              </w:rPr>
              <w:t>Signed</w:t>
            </w:r>
          </w:p>
          <w:p w:rsidR="00EE2499" w:rsidRPr="007442AA" w:rsidRDefault="00EE2499" w:rsidP="00EE2499">
            <w:pPr>
              <w:tabs>
                <w:tab w:val="left" w:pos="2520"/>
              </w:tabs>
              <w:rPr>
                <w:rFonts w:ascii="Book Antiqua" w:hAnsi="Book Antiqua" w:cs="Arial"/>
              </w:rPr>
            </w:pPr>
            <w:r w:rsidRPr="007442AA">
              <w:rPr>
                <w:rFonts w:ascii="Book Antiqua" w:hAnsi="Book Antiqua" w:cs="Arial"/>
                <w:noProof/>
              </w:rPr>
              <w:drawing>
                <wp:anchor distT="0" distB="0" distL="114300" distR="114300" simplePos="0" relativeHeight="251659264" behindDoc="0" locked="0" layoutInCell="1" allowOverlap="1">
                  <wp:simplePos x="0" y="0"/>
                  <wp:positionH relativeFrom="column">
                    <wp:posOffset>384175</wp:posOffset>
                  </wp:positionH>
                  <wp:positionV relativeFrom="paragraph">
                    <wp:posOffset>166370</wp:posOffset>
                  </wp:positionV>
                  <wp:extent cx="1482090" cy="323215"/>
                  <wp:effectExtent l="19050" t="0" r="3810" b="0"/>
                  <wp:wrapNone/>
                  <wp:docPr id="2" name="In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3"/>
                          <pic:cNvPicPr>
                            <a:picLocks noChangeAspect="1" noChangeArrowheads="1"/>
                          </pic:cNvPicPr>
                        </pic:nvPicPr>
                        <pic:blipFill>
                          <a:blip r:embed="rId8" cstate="print"/>
                          <a:srcRect/>
                          <a:stretch>
                            <a:fillRect/>
                          </a:stretch>
                        </pic:blipFill>
                        <pic:spPr bwMode="auto">
                          <a:xfrm>
                            <a:off x="0" y="0"/>
                            <a:ext cx="1482090" cy="323215"/>
                          </a:xfrm>
                          <a:prstGeom prst="rect">
                            <a:avLst/>
                          </a:prstGeom>
                          <a:noFill/>
                          <a:ln w="9525">
                            <a:noFill/>
                            <a:miter lim="800000"/>
                            <a:headEnd/>
                            <a:tailEnd/>
                          </a:ln>
                        </pic:spPr>
                      </pic:pic>
                    </a:graphicData>
                  </a:graphic>
                </wp:anchor>
              </w:drawing>
            </w:r>
          </w:p>
          <w:p w:rsidR="00EE2499" w:rsidRPr="007442AA" w:rsidRDefault="00EE2499" w:rsidP="00EE2499">
            <w:pPr>
              <w:tabs>
                <w:tab w:val="left" w:pos="2520"/>
              </w:tabs>
              <w:rPr>
                <w:rFonts w:ascii="Book Antiqua" w:hAnsi="Book Antiqua" w:cs="Arial"/>
              </w:rPr>
            </w:pPr>
          </w:p>
        </w:tc>
        <w:tc>
          <w:tcPr>
            <w:tcW w:w="322" w:type="dxa"/>
          </w:tcPr>
          <w:p w:rsidR="00EE2499" w:rsidRPr="007442AA" w:rsidRDefault="00EE2499" w:rsidP="00EE2499">
            <w:pPr>
              <w:jc w:val="center"/>
              <w:rPr>
                <w:rFonts w:ascii="Book Antiqua" w:hAnsi="Book Antiqua" w:cs="Arial"/>
              </w:rPr>
            </w:pPr>
          </w:p>
          <w:p w:rsidR="00EE2499" w:rsidRPr="007442AA" w:rsidRDefault="00EE2499" w:rsidP="00EE2499">
            <w:pPr>
              <w:jc w:val="center"/>
              <w:rPr>
                <w:rFonts w:ascii="Book Antiqua" w:hAnsi="Book Antiqua" w:cs="Arial"/>
              </w:rPr>
            </w:pPr>
          </w:p>
        </w:tc>
        <w:tc>
          <w:tcPr>
            <w:tcW w:w="517" w:type="dxa"/>
          </w:tcPr>
          <w:p w:rsidR="00EE2499" w:rsidRPr="007442AA" w:rsidRDefault="00EE2499" w:rsidP="00EE2499">
            <w:pPr>
              <w:jc w:val="center"/>
              <w:rPr>
                <w:rFonts w:ascii="Book Antiqua" w:hAnsi="Book Antiqua" w:cs="Arial"/>
              </w:rPr>
            </w:pPr>
          </w:p>
        </w:tc>
        <w:tc>
          <w:tcPr>
            <w:tcW w:w="3707" w:type="dxa"/>
          </w:tcPr>
          <w:p w:rsidR="00EE2499" w:rsidRPr="007442AA" w:rsidRDefault="00EE2499" w:rsidP="00EE2499">
            <w:pPr>
              <w:jc w:val="center"/>
              <w:rPr>
                <w:rFonts w:ascii="Book Antiqua" w:hAnsi="Book Antiqua" w:cs="Arial"/>
              </w:rPr>
            </w:pPr>
          </w:p>
        </w:tc>
      </w:tr>
      <w:tr w:rsidR="00EE2499" w:rsidRPr="00CD6FF1" w:rsidTr="00C2312A">
        <w:trPr>
          <w:trHeight w:val="1000"/>
        </w:trPr>
        <w:tc>
          <w:tcPr>
            <w:tcW w:w="5092" w:type="dxa"/>
          </w:tcPr>
          <w:p w:rsidR="00EE2499" w:rsidRPr="007442AA" w:rsidRDefault="00EE2499" w:rsidP="00EE2499">
            <w:pPr>
              <w:tabs>
                <w:tab w:val="left" w:pos="2520"/>
              </w:tabs>
              <w:rPr>
                <w:rFonts w:ascii="Book Antiqua" w:hAnsi="Book Antiqua" w:cs="Arial"/>
              </w:rPr>
            </w:pPr>
          </w:p>
          <w:p w:rsidR="00EE2499" w:rsidRPr="007442AA" w:rsidRDefault="00EE2499" w:rsidP="00EE2499">
            <w:pPr>
              <w:tabs>
                <w:tab w:val="left" w:pos="2520"/>
              </w:tabs>
              <w:rPr>
                <w:rFonts w:ascii="Book Antiqua" w:hAnsi="Book Antiqua" w:cs="Arial"/>
              </w:rPr>
            </w:pPr>
          </w:p>
          <w:p w:rsidR="00EE2499" w:rsidRPr="007442AA" w:rsidRDefault="00EE2499" w:rsidP="00EE2499">
            <w:pPr>
              <w:tabs>
                <w:tab w:val="left" w:pos="2520"/>
              </w:tabs>
              <w:rPr>
                <w:rFonts w:ascii="Book Antiqua" w:hAnsi="Book Antiqua" w:cs="Arial"/>
              </w:rPr>
            </w:pPr>
            <w:r w:rsidRPr="007442AA">
              <w:rPr>
                <w:rFonts w:ascii="Book Antiqua" w:hAnsi="Book Antiqua" w:cs="Arial"/>
              </w:rPr>
              <w:t>Deputy Upper Tribunal Judge Sheridan</w:t>
            </w:r>
          </w:p>
        </w:tc>
        <w:tc>
          <w:tcPr>
            <w:tcW w:w="322" w:type="dxa"/>
          </w:tcPr>
          <w:p w:rsidR="00EE2499" w:rsidRPr="007442AA" w:rsidRDefault="00EE2499" w:rsidP="00EE2499">
            <w:pPr>
              <w:tabs>
                <w:tab w:val="left" w:pos="2520"/>
              </w:tabs>
              <w:rPr>
                <w:rFonts w:ascii="Book Antiqua" w:hAnsi="Book Antiqua" w:cs="Arial"/>
              </w:rPr>
            </w:pPr>
          </w:p>
          <w:p w:rsidR="00EE2499" w:rsidRPr="007442AA" w:rsidRDefault="00EE2499" w:rsidP="00EE2499">
            <w:pPr>
              <w:tabs>
                <w:tab w:val="left" w:pos="2520"/>
              </w:tabs>
              <w:rPr>
                <w:rFonts w:ascii="Book Antiqua" w:hAnsi="Book Antiqua" w:cs="Arial"/>
              </w:rPr>
            </w:pPr>
          </w:p>
        </w:tc>
        <w:tc>
          <w:tcPr>
            <w:tcW w:w="517" w:type="dxa"/>
          </w:tcPr>
          <w:p w:rsidR="00EE2499" w:rsidRPr="007442AA" w:rsidRDefault="00EE2499" w:rsidP="00EE2499">
            <w:pPr>
              <w:tabs>
                <w:tab w:val="left" w:pos="2520"/>
              </w:tabs>
              <w:rPr>
                <w:rFonts w:ascii="Book Antiqua" w:hAnsi="Book Antiqua" w:cs="Arial"/>
              </w:rPr>
            </w:pPr>
          </w:p>
        </w:tc>
        <w:tc>
          <w:tcPr>
            <w:tcW w:w="3707" w:type="dxa"/>
          </w:tcPr>
          <w:p w:rsidR="00EE2499" w:rsidRPr="007442AA" w:rsidRDefault="00EE2499" w:rsidP="00EE2499">
            <w:pPr>
              <w:tabs>
                <w:tab w:val="left" w:pos="2520"/>
              </w:tabs>
              <w:rPr>
                <w:rFonts w:ascii="Book Antiqua" w:hAnsi="Book Antiqua" w:cs="Arial"/>
              </w:rPr>
            </w:pPr>
          </w:p>
          <w:p w:rsidR="00EE2499" w:rsidRPr="007442AA" w:rsidRDefault="00EE2499" w:rsidP="00EE2499">
            <w:pPr>
              <w:tabs>
                <w:tab w:val="left" w:pos="2520"/>
              </w:tabs>
              <w:rPr>
                <w:rFonts w:ascii="Book Antiqua" w:hAnsi="Book Antiqua" w:cs="Arial"/>
              </w:rPr>
            </w:pPr>
          </w:p>
          <w:p w:rsidR="00EE2499" w:rsidRPr="007442AA" w:rsidRDefault="00EE2499" w:rsidP="00EE2499">
            <w:pPr>
              <w:tabs>
                <w:tab w:val="left" w:pos="2520"/>
              </w:tabs>
              <w:rPr>
                <w:rFonts w:ascii="Book Antiqua" w:hAnsi="Book Antiqua" w:cs="Arial"/>
              </w:rPr>
            </w:pPr>
            <w:r w:rsidRPr="007442AA">
              <w:rPr>
                <w:rFonts w:ascii="Book Antiqua" w:hAnsi="Book Antiqua" w:cs="Arial"/>
              </w:rPr>
              <w:t>Dated: 5 July 2018</w:t>
            </w:r>
          </w:p>
        </w:tc>
      </w:tr>
    </w:tbl>
    <w:p w:rsidR="00B95326" w:rsidRPr="009B7433" w:rsidRDefault="00B95326" w:rsidP="00C2312A">
      <w:pPr>
        <w:rPr>
          <w:rFonts w:ascii="Book Antiqua" w:hAnsi="Book Antiqua" w:cs="Arial"/>
        </w:rPr>
      </w:pPr>
    </w:p>
    <w:sectPr w:rsidR="00B95326" w:rsidRPr="009B7433" w:rsidSect="00C2312A">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0768" w:rsidRDefault="005C0768">
      <w:r>
        <w:separator/>
      </w:r>
    </w:p>
  </w:endnote>
  <w:endnote w:type="continuationSeparator" w:id="0">
    <w:p w:rsidR="005C0768" w:rsidRDefault="005C07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42AA" w:rsidRPr="00C2312A" w:rsidRDefault="007442AA" w:rsidP="00593795">
    <w:pPr>
      <w:pStyle w:val="Footer"/>
      <w:jc w:val="center"/>
      <w:rPr>
        <w:rFonts w:ascii="Book Antiqua" w:hAnsi="Book Antiqua" w:cs="Arial"/>
        <w:sz w:val="20"/>
        <w:szCs w:val="20"/>
      </w:rPr>
    </w:pPr>
    <w:r w:rsidRPr="00C2312A">
      <w:rPr>
        <w:rStyle w:val="PageNumber"/>
        <w:rFonts w:ascii="Book Antiqua" w:hAnsi="Book Antiqua" w:cs="Arial"/>
        <w:sz w:val="20"/>
        <w:szCs w:val="20"/>
      </w:rPr>
      <w:fldChar w:fldCharType="begin"/>
    </w:r>
    <w:r w:rsidRPr="00C2312A">
      <w:rPr>
        <w:rStyle w:val="PageNumber"/>
        <w:rFonts w:ascii="Book Antiqua" w:hAnsi="Book Antiqua" w:cs="Arial"/>
        <w:sz w:val="20"/>
        <w:szCs w:val="20"/>
      </w:rPr>
      <w:instrText xml:space="preserve"> PAGE </w:instrText>
    </w:r>
    <w:r w:rsidRPr="00C2312A">
      <w:rPr>
        <w:rStyle w:val="PageNumber"/>
        <w:rFonts w:ascii="Book Antiqua" w:hAnsi="Book Antiqua" w:cs="Arial"/>
        <w:sz w:val="20"/>
        <w:szCs w:val="20"/>
      </w:rPr>
      <w:fldChar w:fldCharType="separate"/>
    </w:r>
    <w:r w:rsidR="004F3AE9" w:rsidRPr="00C2312A">
      <w:rPr>
        <w:rStyle w:val="PageNumber"/>
        <w:rFonts w:ascii="Book Antiqua" w:hAnsi="Book Antiqua" w:cs="Arial"/>
        <w:noProof/>
        <w:sz w:val="20"/>
        <w:szCs w:val="20"/>
      </w:rPr>
      <w:t>6</w:t>
    </w:r>
    <w:r w:rsidRPr="00C2312A">
      <w:rPr>
        <w:rStyle w:val="PageNumber"/>
        <w:rFonts w:ascii="Book Antiqua" w:hAnsi="Book Antiqua" w:cs="Arial"/>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42AA" w:rsidRPr="009B7433" w:rsidRDefault="007442AA"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0768" w:rsidRDefault="005C0768">
      <w:r>
        <w:separator/>
      </w:r>
    </w:p>
  </w:footnote>
  <w:footnote w:type="continuationSeparator" w:id="0">
    <w:p w:rsidR="005C0768" w:rsidRDefault="005C07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42AA" w:rsidRPr="00C2312A" w:rsidRDefault="007442AA" w:rsidP="00593795">
    <w:pPr>
      <w:pStyle w:val="Header"/>
      <w:jc w:val="right"/>
      <w:rPr>
        <w:rFonts w:ascii="Book Antiqua" w:hAnsi="Book Antiqua" w:cs="Arial"/>
        <w:sz w:val="20"/>
        <w:szCs w:val="20"/>
      </w:rPr>
    </w:pPr>
    <w:r w:rsidRPr="00C2312A">
      <w:rPr>
        <w:rFonts w:ascii="Book Antiqua" w:hAnsi="Book Antiqua" w:cs="Arial"/>
        <w:sz w:val="20"/>
        <w:szCs w:val="20"/>
      </w:rPr>
      <w:t>Appeal Number: HU/27004/2016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42AA" w:rsidRPr="009B7433" w:rsidRDefault="007442AA">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65215A9F-F93C-4175-BCC4-FC331D384E48}"/>
    <w:docVar w:name="dgnword-eventsink" w:val="193648144"/>
  </w:docVars>
  <w:rsids>
    <w:rsidRoot w:val="00DF3531"/>
    <w:rsid w:val="00000621"/>
    <w:rsid w:val="000031D9"/>
    <w:rsid w:val="000036C2"/>
    <w:rsid w:val="00016C1A"/>
    <w:rsid w:val="00022D61"/>
    <w:rsid w:val="00033588"/>
    <w:rsid w:val="00033D3D"/>
    <w:rsid w:val="0004776F"/>
    <w:rsid w:val="00052895"/>
    <w:rsid w:val="00062F02"/>
    <w:rsid w:val="00071A7E"/>
    <w:rsid w:val="000746C0"/>
    <w:rsid w:val="00074D1D"/>
    <w:rsid w:val="00077967"/>
    <w:rsid w:val="000814D3"/>
    <w:rsid w:val="00092580"/>
    <w:rsid w:val="00093D4D"/>
    <w:rsid w:val="000A0743"/>
    <w:rsid w:val="000D4534"/>
    <w:rsid w:val="000D5D94"/>
    <w:rsid w:val="000F1A0E"/>
    <w:rsid w:val="001165A7"/>
    <w:rsid w:val="0016508E"/>
    <w:rsid w:val="00167D3A"/>
    <w:rsid w:val="00173F50"/>
    <w:rsid w:val="00182D93"/>
    <w:rsid w:val="00185986"/>
    <w:rsid w:val="001A08B0"/>
    <w:rsid w:val="001A1ABD"/>
    <w:rsid w:val="001A3082"/>
    <w:rsid w:val="001B186A"/>
    <w:rsid w:val="001B2F75"/>
    <w:rsid w:val="001C6F5F"/>
    <w:rsid w:val="001D6167"/>
    <w:rsid w:val="001F2716"/>
    <w:rsid w:val="001F3AC0"/>
    <w:rsid w:val="00207617"/>
    <w:rsid w:val="0023134B"/>
    <w:rsid w:val="00234803"/>
    <w:rsid w:val="00273201"/>
    <w:rsid w:val="00283659"/>
    <w:rsid w:val="00293C75"/>
    <w:rsid w:val="00295984"/>
    <w:rsid w:val="002C6BD4"/>
    <w:rsid w:val="002D68BF"/>
    <w:rsid w:val="002E4541"/>
    <w:rsid w:val="002F0CAF"/>
    <w:rsid w:val="002F6B98"/>
    <w:rsid w:val="00323007"/>
    <w:rsid w:val="00336CBF"/>
    <w:rsid w:val="00343FE3"/>
    <w:rsid w:val="003546C8"/>
    <w:rsid w:val="0037777D"/>
    <w:rsid w:val="003825D4"/>
    <w:rsid w:val="003A7CF2"/>
    <w:rsid w:val="003C5CE5"/>
    <w:rsid w:val="003D25F1"/>
    <w:rsid w:val="003D60DD"/>
    <w:rsid w:val="003D6FAD"/>
    <w:rsid w:val="003E267B"/>
    <w:rsid w:val="003E7CD1"/>
    <w:rsid w:val="00402B9E"/>
    <w:rsid w:val="004249CB"/>
    <w:rsid w:val="0044127D"/>
    <w:rsid w:val="004448DB"/>
    <w:rsid w:val="00446C9A"/>
    <w:rsid w:val="00446F1E"/>
    <w:rsid w:val="00452F2B"/>
    <w:rsid w:val="00477193"/>
    <w:rsid w:val="004A1848"/>
    <w:rsid w:val="004A2D15"/>
    <w:rsid w:val="004A534C"/>
    <w:rsid w:val="004A6F4A"/>
    <w:rsid w:val="004B70D7"/>
    <w:rsid w:val="004C6E6C"/>
    <w:rsid w:val="004D6B45"/>
    <w:rsid w:val="004E4717"/>
    <w:rsid w:val="004F2676"/>
    <w:rsid w:val="004F3AE9"/>
    <w:rsid w:val="00507FEC"/>
    <w:rsid w:val="00510F0E"/>
    <w:rsid w:val="005479E1"/>
    <w:rsid w:val="00553028"/>
    <w:rsid w:val="00553695"/>
    <w:rsid w:val="00553E0A"/>
    <w:rsid w:val="005570FD"/>
    <w:rsid w:val="005575EA"/>
    <w:rsid w:val="0057790C"/>
    <w:rsid w:val="00593795"/>
    <w:rsid w:val="00597F74"/>
    <w:rsid w:val="005A75FF"/>
    <w:rsid w:val="005C0768"/>
    <w:rsid w:val="005D10AB"/>
    <w:rsid w:val="005F1498"/>
    <w:rsid w:val="00601D8F"/>
    <w:rsid w:val="00605582"/>
    <w:rsid w:val="00611F34"/>
    <w:rsid w:val="00621FE8"/>
    <w:rsid w:val="006434B6"/>
    <w:rsid w:val="00653E97"/>
    <w:rsid w:val="006667DB"/>
    <w:rsid w:val="0066691A"/>
    <w:rsid w:val="00675BF5"/>
    <w:rsid w:val="00684A74"/>
    <w:rsid w:val="0068620A"/>
    <w:rsid w:val="00690B8A"/>
    <w:rsid w:val="006C2FB8"/>
    <w:rsid w:val="006F2CF1"/>
    <w:rsid w:val="007038ED"/>
    <w:rsid w:val="00703BC3"/>
    <w:rsid w:val="00704B61"/>
    <w:rsid w:val="00715A64"/>
    <w:rsid w:val="007217D8"/>
    <w:rsid w:val="00740C1F"/>
    <w:rsid w:val="007442AA"/>
    <w:rsid w:val="007552A9"/>
    <w:rsid w:val="0075658A"/>
    <w:rsid w:val="00761858"/>
    <w:rsid w:val="00767D59"/>
    <w:rsid w:val="0077661B"/>
    <w:rsid w:val="00776E97"/>
    <w:rsid w:val="00780F86"/>
    <w:rsid w:val="007845C5"/>
    <w:rsid w:val="007912AD"/>
    <w:rsid w:val="007B0824"/>
    <w:rsid w:val="007B5D3C"/>
    <w:rsid w:val="00815011"/>
    <w:rsid w:val="00821B72"/>
    <w:rsid w:val="0082229E"/>
    <w:rsid w:val="00823EF2"/>
    <w:rsid w:val="008303B8"/>
    <w:rsid w:val="00833DCE"/>
    <w:rsid w:val="00833E86"/>
    <w:rsid w:val="008673FE"/>
    <w:rsid w:val="00871D34"/>
    <w:rsid w:val="008A25EC"/>
    <w:rsid w:val="008A6059"/>
    <w:rsid w:val="008B17FF"/>
    <w:rsid w:val="008B270C"/>
    <w:rsid w:val="008B5078"/>
    <w:rsid w:val="008C3D3D"/>
    <w:rsid w:val="008D4131"/>
    <w:rsid w:val="008F0F75"/>
    <w:rsid w:val="008F1932"/>
    <w:rsid w:val="0090151B"/>
    <w:rsid w:val="00902F64"/>
    <w:rsid w:val="009042A9"/>
    <w:rsid w:val="00921062"/>
    <w:rsid w:val="009277F2"/>
    <w:rsid w:val="00936004"/>
    <w:rsid w:val="009722BC"/>
    <w:rsid w:val="009727A3"/>
    <w:rsid w:val="00987774"/>
    <w:rsid w:val="009A11E8"/>
    <w:rsid w:val="009B7433"/>
    <w:rsid w:val="009C57C8"/>
    <w:rsid w:val="009D348A"/>
    <w:rsid w:val="009F5220"/>
    <w:rsid w:val="00A07919"/>
    <w:rsid w:val="00A15234"/>
    <w:rsid w:val="00A172F5"/>
    <w:rsid w:val="00A201AB"/>
    <w:rsid w:val="00A31C8B"/>
    <w:rsid w:val="00A509FA"/>
    <w:rsid w:val="00A845DC"/>
    <w:rsid w:val="00B26AA2"/>
    <w:rsid w:val="00B3524D"/>
    <w:rsid w:val="00B40F69"/>
    <w:rsid w:val="00B46616"/>
    <w:rsid w:val="00B528BB"/>
    <w:rsid w:val="00B7040A"/>
    <w:rsid w:val="00B71C05"/>
    <w:rsid w:val="00B83391"/>
    <w:rsid w:val="00B83715"/>
    <w:rsid w:val="00B95326"/>
    <w:rsid w:val="00BA7522"/>
    <w:rsid w:val="00BC681B"/>
    <w:rsid w:val="00BD4196"/>
    <w:rsid w:val="00BF22CA"/>
    <w:rsid w:val="00BF23BB"/>
    <w:rsid w:val="00C2312A"/>
    <w:rsid w:val="00C26032"/>
    <w:rsid w:val="00C345E1"/>
    <w:rsid w:val="00C43BFD"/>
    <w:rsid w:val="00C6048A"/>
    <w:rsid w:val="00C666CD"/>
    <w:rsid w:val="00C72993"/>
    <w:rsid w:val="00CB6E35"/>
    <w:rsid w:val="00CE09B1"/>
    <w:rsid w:val="00CE1A46"/>
    <w:rsid w:val="00D05EA6"/>
    <w:rsid w:val="00D20757"/>
    <w:rsid w:val="00D22636"/>
    <w:rsid w:val="00D40FD9"/>
    <w:rsid w:val="00D53769"/>
    <w:rsid w:val="00D6602D"/>
    <w:rsid w:val="00D66751"/>
    <w:rsid w:val="00D85C13"/>
    <w:rsid w:val="00D9111A"/>
    <w:rsid w:val="00D91BE3"/>
    <w:rsid w:val="00D949B7"/>
    <w:rsid w:val="00D94AFC"/>
    <w:rsid w:val="00DB70AE"/>
    <w:rsid w:val="00DD5071"/>
    <w:rsid w:val="00DD5C39"/>
    <w:rsid w:val="00DE7DB7"/>
    <w:rsid w:val="00DF3531"/>
    <w:rsid w:val="00E00A0A"/>
    <w:rsid w:val="00E05AD9"/>
    <w:rsid w:val="00E066DE"/>
    <w:rsid w:val="00E07F57"/>
    <w:rsid w:val="00E30683"/>
    <w:rsid w:val="00E42107"/>
    <w:rsid w:val="00E453D8"/>
    <w:rsid w:val="00E50BCE"/>
    <w:rsid w:val="00E574BF"/>
    <w:rsid w:val="00E61292"/>
    <w:rsid w:val="00E77C4D"/>
    <w:rsid w:val="00E81D01"/>
    <w:rsid w:val="00E91ED2"/>
    <w:rsid w:val="00E92D28"/>
    <w:rsid w:val="00EB485A"/>
    <w:rsid w:val="00EE2499"/>
    <w:rsid w:val="00EE45D8"/>
    <w:rsid w:val="00F22EDA"/>
    <w:rsid w:val="00F40176"/>
    <w:rsid w:val="00F470D6"/>
    <w:rsid w:val="00F5589A"/>
    <w:rsid w:val="00FC40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hapeDefaults>
    <o:shapedefaults v:ext="edit" spidmax="4097"/>
    <o:shapelayout v:ext="edit">
      <o:idmap v:ext="edit" data="1"/>
    </o:shapelayout>
  </w:shapeDefaults>
  <w:decimalSymbol w:val="."/>
  <w:listSeparator w:val=","/>
  <w14:docId w14:val="7940B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B71C05"/>
    <w:pPr>
      <w:ind w:left="720"/>
      <w:contextualSpacing/>
    </w:pPr>
  </w:style>
  <w:style w:type="paragraph" w:styleId="NormalWeb">
    <w:name w:val="Normal (Web)"/>
    <w:basedOn w:val="Normal"/>
    <w:uiPriority w:val="99"/>
    <w:semiHidden/>
    <w:unhideWhenUsed/>
    <w:rsid w:val="00675BF5"/>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2254</Words>
  <Characters>11173</Characters>
  <Application>Microsoft Office Word</Application>
  <DocSecurity>0</DocSecurity>
  <Lines>93</Lines>
  <Paragraphs>26</Paragraphs>
  <ScaleCrop>false</ScaleCrop>
  <Company/>
  <LinksUpToDate>false</LinksUpToDate>
  <CharactersWithSpaces>13401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2018-07-24T09:04:00Z</dcterms:created>
  <dcterms:modified xsi:type="dcterms:W3CDTF">2018-07-24T09:04:00Z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