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2280" w14:textId="7450A930" w:rsidR="00C321B5" w:rsidRPr="00D00B83" w:rsidRDefault="00C56D37" w:rsidP="00C321B5">
      <w:pPr>
        <w:jc w:val="center"/>
        <w:rPr>
          <w:rFonts w:ascii="Book Antiqua" w:hAnsi="Book Antiqua" w:cs="Arial"/>
          <w:sz w:val="16"/>
          <w:szCs w:val="16"/>
        </w:rPr>
      </w:pPr>
      <w:r w:rsidRPr="00D00B83">
        <w:rPr>
          <w:noProof/>
          <w:sz w:val="16"/>
          <w:szCs w:val="16"/>
          <w:lang w:val="en-US" w:eastAsia="en-US"/>
        </w:rPr>
        <w:drawing>
          <wp:inline distT="0" distB="0" distL="0" distR="0" wp14:anchorId="03BC104C" wp14:editId="54EAF541">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5777A3E" w14:textId="77777777" w:rsidR="00D00B83" w:rsidRPr="00D00B83" w:rsidRDefault="00D00B83" w:rsidP="00C321B5">
      <w:pPr>
        <w:jc w:val="center"/>
        <w:rPr>
          <w:rFonts w:ascii="Book Antiqua" w:hAnsi="Book Antiqua" w:cs="Arial"/>
          <w:sz w:val="16"/>
          <w:szCs w:val="16"/>
        </w:rPr>
      </w:pPr>
    </w:p>
    <w:p w14:paraId="5EEF41F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BC2AD26" w14:textId="1F7FFDB6" w:rsidR="007B0824" w:rsidRPr="00F644E2"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F644E2">
        <w:rPr>
          <w:rFonts w:ascii="Book Antiqua" w:hAnsi="Book Antiqua" w:cs="Arial"/>
          <w:b/>
        </w:rPr>
        <w:t xml:space="preserve">   </w:t>
      </w:r>
      <w:proofErr w:type="gramEnd"/>
      <w:r w:rsidR="00F644E2">
        <w:rPr>
          <w:rFonts w:ascii="Book Antiqua" w:hAnsi="Book Antiqua" w:cs="Arial"/>
          <w:b/>
        </w:rPr>
        <w:t xml:space="preserve">                  </w:t>
      </w:r>
      <w:r w:rsidR="00B3524D" w:rsidRPr="00F644E2">
        <w:rPr>
          <w:rFonts w:ascii="Book Antiqua" w:hAnsi="Book Antiqua" w:cs="Arial"/>
          <w:b/>
        </w:rPr>
        <w:t>Appeal Number</w:t>
      </w:r>
      <w:r w:rsidR="00D53769" w:rsidRPr="00F644E2">
        <w:rPr>
          <w:rFonts w:ascii="Book Antiqua" w:hAnsi="Book Antiqua" w:cs="Arial"/>
          <w:b/>
        </w:rPr>
        <w:t>:</w:t>
      </w:r>
      <w:r w:rsidR="00B3524D" w:rsidRPr="00F644E2">
        <w:rPr>
          <w:rFonts w:ascii="Book Antiqua" w:hAnsi="Book Antiqua" w:cs="Arial"/>
          <w:b/>
        </w:rPr>
        <w:t xml:space="preserve"> </w:t>
      </w:r>
      <w:r w:rsidR="00BD5BDD" w:rsidRPr="00F644E2">
        <w:rPr>
          <w:rFonts w:ascii="Book Antiqua" w:hAnsi="Book Antiqua" w:cs="Arial"/>
          <w:b/>
          <w:caps/>
        </w:rPr>
        <w:t>HU/27094/2016</w:t>
      </w:r>
    </w:p>
    <w:p w14:paraId="16795BCE" w14:textId="77777777" w:rsidR="00C345E1" w:rsidRPr="00F644E2" w:rsidRDefault="00C345E1" w:rsidP="00C345E1">
      <w:pPr>
        <w:jc w:val="center"/>
        <w:rPr>
          <w:rFonts w:ascii="Book Antiqua" w:hAnsi="Book Antiqua" w:cs="Arial"/>
          <w:b/>
        </w:rPr>
      </w:pPr>
    </w:p>
    <w:p w14:paraId="16189454" w14:textId="12E3E136"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7FF22E5" w14:textId="77777777" w:rsidR="00C345E1" w:rsidRPr="00F5664C" w:rsidRDefault="00C345E1" w:rsidP="00B979E0">
      <w:pP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14:paraId="099C5A23" w14:textId="77777777" w:rsidTr="00F644E2">
        <w:tc>
          <w:tcPr>
            <w:tcW w:w="5103" w:type="dxa"/>
            <w:shd w:val="clear" w:color="auto" w:fill="auto"/>
          </w:tcPr>
          <w:p w14:paraId="21EA96DE" w14:textId="77777777"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D5BDD">
              <w:rPr>
                <w:rFonts w:ascii="Book Antiqua" w:hAnsi="Book Antiqua" w:cs="Arial"/>
                <w:b/>
              </w:rPr>
              <w:t>Manchester Civil Justice Centre</w:t>
            </w:r>
          </w:p>
        </w:tc>
        <w:tc>
          <w:tcPr>
            <w:tcW w:w="4905" w:type="dxa"/>
            <w:shd w:val="clear" w:color="auto" w:fill="auto"/>
          </w:tcPr>
          <w:p w14:paraId="3FAA76CD" w14:textId="77777777"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14:paraId="3FAD3125" w14:textId="77777777" w:rsidTr="00F644E2">
        <w:tc>
          <w:tcPr>
            <w:tcW w:w="5103" w:type="dxa"/>
            <w:shd w:val="clear" w:color="auto" w:fill="auto"/>
          </w:tcPr>
          <w:p w14:paraId="4E3AA504" w14:textId="77777777"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BD5BDD">
              <w:rPr>
                <w:rFonts w:ascii="Book Antiqua" w:hAnsi="Book Antiqua" w:cs="Arial"/>
                <w:b/>
              </w:rPr>
              <w:t>26</w:t>
            </w:r>
            <w:r w:rsidR="00BD5BDD" w:rsidRPr="00BD5BDD">
              <w:rPr>
                <w:rFonts w:ascii="Book Antiqua" w:hAnsi="Book Antiqua" w:cs="Arial"/>
                <w:b/>
                <w:vertAlign w:val="superscript"/>
              </w:rPr>
              <w:t>th</w:t>
            </w:r>
            <w:r w:rsidR="00BD5BDD">
              <w:rPr>
                <w:rFonts w:ascii="Book Antiqua" w:hAnsi="Book Antiqua" w:cs="Arial"/>
                <w:b/>
              </w:rPr>
              <w:t xml:space="preserve"> June 2018</w:t>
            </w:r>
          </w:p>
        </w:tc>
        <w:tc>
          <w:tcPr>
            <w:tcW w:w="4905" w:type="dxa"/>
            <w:shd w:val="clear" w:color="auto" w:fill="auto"/>
          </w:tcPr>
          <w:p w14:paraId="3AD95C0D" w14:textId="4A1CF7B1" w:rsidR="00D22636" w:rsidRPr="00F53574" w:rsidRDefault="007E3F09" w:rsidP="00F53574">
            <w:pPr>
              <w:jc w:val="both"/>
              <w:rPr>
                <w:rFonts w:ascii="Book Antiqua" w:hAnsi="Book Antiqua" w:cs="Arial"/>
                <w:b/>
              </w:rPr>
            </w:pPr>
            <w:r w:rsidRPr="00E213B5">
              <w:rPr>
                <w:rFonts w:ascii="Book Antiqua" w:hAnsi="Book Antiqua" w:cs="Arial"/>
                <w:b/>
              </w:rPr>
              <w:t>On 09</w:t>
            </w:r>
            <w:r w:rsidRPr="00050710">
              <w:rPr>
                <w:rFonts w:ascii="Book Antiqua" w:hAnsi="Book Antiqua" w:cs="Arial"/>
                <w:b/>
                <w:vertAlign w:val="superscript"/>
              </w:rPr>
              <w:t>th</w:t>
            </w:r>
            <w:r w:rsidRPr="00E213B5">
              <w:rPr>
                <w:rFonts w:ascii="Book Antiqua" w:hAnsi="Book Antiqua" w:cs="Arial"/>
                <w:b/>
              </w:rPr>
              <w:t xml:space="preserve"> </w:t>
            </w:r>
            <w:r w:rsidR="00D54538">
              <w:rPr>
                <w:rFonts w:ascii="Book Antiqua" w:hAnsi="Book Antiqua" w:cs="Arial"/>
                <w:b/>
              </w:rPr>
              <w:t xml:space="preserve">August </w:t>
            </w:r>
            <w:r w:rsidRPr="00E213B5">
              <w:rPr>
                <w:rFonts w:ascii="Book Antiqua" w:hAnsi="Book Antiqua" w:cs="Arial"/>
                <w:b/>
              </w:rPr>
              <w:t>2018</w:t>
            </w:r>
          </w:p>
        </w:tc>
      </w:tr>
      <w:tr w:rsidR="00D22636" w:rsidRPr="00F53574" w14:paraId="00ECD27E" w14:textId="77777777" w:rsidTr="00F644E2">
        <w:tc>
          <w:tcPr>
            <w:tcW w:w="5103" w:type="dxa"/>
            <w:shd w:val="clear" w:color="auto" w:fill="auto"/>
          </w:tcPr>
          <w:p w14:paraId="72432AC9" w14:textId="77777777" w:rsidR="00D22636" w:rsidRPr="00F53574" w:rsidRDefault="00D22636" w:rsidP="00F53574">
            <w:pPr>
              <w:jc w:val="both"/>
              <w:rPr>
                <w:rFonts w:ascii="Book Antiqua" w:hAnsi="Book Antiqua" w:cs="Arial"/>
                <w:b/>
              </w:rPr>
            </w:pPr>
          </w:p>
        </w:tc>
        <w:tc>
          <w:tcPr>
            <w:tcW w:w="4905" w:type="dxa"/>
            <w:shd w:val="clear" w:color="auto" w:fill="auto"/>
          </w:tcPr>
          <w:p w14:paraId="15CD52C3" w14:textId="77777777" w:rsidR="00D22636" w:rsidRPr="00F53574" w:rsidRDefault="00D22636" w:rsidP="00F53574">
            <w:pPr>
              <w:jc w:val="both"/>
              <w:rPr>
                <w:rFonts w:ascii="Book Antiqua" w:hAnsi="Book Antiqua" w:cs="Arial"/>
                <w:b/>
              </w:rPr>
            </w:pPr>
          </w:p>
        </w:tc>
      </w:tr>
    </w:tbl>
    <w:p w14:paraId="1853E279" w14:textId="77777777" w:rsidR="00A15234" w:rsidRPr="00F5664C" w:rsidRDefault="00A15234" w:rsidP="00A15234">
      <w:pPr>
        <w:jc w:val="center"/>
        <w:rPr>
          <w:rFonts w:ascii="Book Antiqua" w:hAnsi="Book Antiqua" w:cs="Arial"/>
        </w:rPr>
      </w:pPr>
    </w:p>
    <w:p w14:paraId="3214EAE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7854CAE" w14:textId="77777777" w:rsidR="00A15234" w:rsidRPr="00F5664C" w:rsidRDefault="00A15234" w:rsidP="00A15234">
      <w:pPr>
        <w:jc w:val="center"/>
        <w:rPr>
          <w:rFonts w:ascii="Book Antiqua" w:hAnsi="Book Antiqua" w:cs="Arial"/>
          <w:b/>
        </w:rPr>
      </w:pPr>
    </w:p>
    <w:p w14:paraId="7FDB8D18" w14:textId="77777777" w:rsidR="001A1E2C" w:rsidRDefault="00255071" w:rsidP="00BD5BDD">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14:paraId="11EF172E" w14:textId="77777777" w:rsidR="00B16F58" w:rsidRPr="00F5664C" w:rsidRDefault="00B16F58" w:rsidP="00A15234">
      <w:pPr>
        <w:jc w:val="center"/>
        <w:rPr>
          <w:rFonts w:ascii="Book Antiqua" w:hAnsi="Book Antiqua" w:cs="Arial"/>
          <w:b/>
        </w:rPr>
      </w:pPr>
    </w:p>
    <w:p w14:paraId="1C58FBC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CC0DB3D" w14:textId="77777777" w:rsidR="00A845DC" w:rsidRPr="00F5664C" w:rsidRDefault="00A845DC" w:rsidP="00A15234">
      <w:pPr>
        <w:jc w:val="center"/>
        <w:rPr>
          <w:rFonts w:ascii="Book Antiqua" w:hAnsi="Book Antiqua" w:cs="Arial"/>
          <w:b/>
        </w:rPr>
      </w:pPr>
    </w:p>
    <w:p w14:paraId="2DA77EFD" w14:textId="77777777" w:rsidR="00742A8D" w:rsidRDefault="00BD5BDD" w:rsidP="00742A8D">
      <w:pPr>
        <w:jc w:val="center"/>
        <w:rPr>
          <w:rFonts w:ascii="Book Antiqua" w:hAnsi="Book Antiqua" w:cs="Arial"/>
          <w:b/>
          <w:caps/>
        </w:rPr>
      </w:pPr>
      <w:r>
        <w:rPr>
          <w:rFonts w:ascii="Book Antiqua" w:hAnsi="Book Antiqua" w:cs="Arial"/>
          <w:b/>
          <w:caps/>
        </w:rPr>
        <w:t xml:space="preserve">Mrs </w:t>
      </w:r>
      <w:r w:rsidRPr="00BD5BDD">
        <w:rPr>
          <w:rFonts w:ascii="Book Antiqua" w:hAnsi="Book Antiqua" w:cs="Arial"/>
          <w:b/>
          <w:caps/>
        </w:rPr>
        <w:t>Farhat</w:t>
      </w:r>
      <w:r>
        <w:rPr>
          <w:rFonts w:ascii="Book Antiqua" w:hAnsi="Book Antiqua" w:cs="Arial"/>
          <w:b/>
          <w:caps/>
        </w:rPr>
        <w:t xml:space="preserve"> </w:t>
      </w:r>
      <w:r w:rsidRPr="00BD5BDD">
        <w:rPr>
          <w:rFonts w:ascii="Book Antiqua" w:hAnsi="Book Antiqua" w:cs="Arial"/>
          <w:b/>
          <w:caps/>
        </w:rPr>
        <w:t>Iqbal</w:t>
      </w:r>
    </w:p>
    <w:p w14:paraId="0DBF82DC" w14:textId="77777777" w:rsidR="009F518E" w:rsidRPr="00F644E2" w:rsidRDefault="009F518E" w:rsidP="009F518E">
      <w:pPr>
        <w:jc w:val="center"/>
        <w:rPr>
          <w:rFonts w:ascii="Book Antiqua" w:hAnsi="Book Antiqua" w:cs="Arial"/>
          <w:caps/>
        </w:rPr>
      </w:pPr>
      <w:r w:rsidRPr="00F644E2">
        <w:rPr>
          <w:rFonts w:ascii="Book Antiqua" w:hAnsi="Book Antiqua" w:cs="Arial"/>
          <w:caps/>
        </w:rPr>
        <w:t xml:space="preserve">(ANONYMITY </w:t>
      </w:r>
      <w:r w:rsidR="0071592F" w:rsidRPr="00F644E2">
        <w:rPr>
          <w:rFonts w:ascii="Book Antiqua" w:hAnsi="Book Antiqua" w:cs="Arial"/>
          <w:caps/>
        </w:rPr>
        <w:t>direction</w:t>
      </w:r>
      <w:r w:rsidRPr="00F644E2">
        <w:rPr>
          <w:rFonts w:ascii="Book Antiqua" w:hAnsi="Book Antiqua" w:cs="Arial"/>
          <w:caps/>
        </w:rPr>
        <w:t xml:space="preserve"> </w:t>
      </w:r>
      <w:r w:rsidR="00BD5BDD" w:rsidRPr="00F644E2">
        <w:rPr>
          <w:rFonts w:ascii="Book Antiqua" w:hAnsi="Book Antiqua" w:cs="Arial"/>
          <w:caps/>
        </w:rPr>
        <w:t>not made</w:t>
      </w:r>
      <w:r w:rsidRPr="00F644E2">
        <w:rPr>
          <w:rFonts w:ascii="Book Antiqua" w:hAnsi="Book Antiqua" w:cs="Arial"/>
          <w:caps/>
        </w:rPr>
        <w:t>)</w:t>
      </w:r>
    </w:p>
    <w:p w14:paraId="070BE85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F0D1B47" w14:textId="77777777" w:rsidR="00F644E2" w:rsidRDefault="00F644E2" w:rsidP="00704B61">
      <w:pPr>
        <w:jc w:val="center"/>
        <w:rPr>
          <w:rFonts w:ascii="Book Antiqua" w:hAnsi="Book Antiqua" w:cs="Arial"/>
          <w:b/>
        </w:rPr>
      </w:pPr>
    </w:p>
    <w:p w14:paraId="185C19B3" w14:textId="7C024B3B" w:rsidR="00704B61" w:rsidRPr="00F5664C" w:rsidRDefault="00DD5071" w:rsidP="00704B61">
      <w:pPr>
        <w:jc w:val="center"/>
        <w:rPr>
          <w:rFonts w:ascii="Book Antiqua" w:hAnsi="Book Antiqua" w:cs="Arial"/>
          <w:b/>
        </w:rPr>
      </w:pPr>
      <w:r w:rsidRPr="00F5664C">
        <w:rPr>
          <w:rFonts w:ascii="Book Antiqua" w:hAnsi="Book Antiqua" w:cs="Arial"/>
          <w:b/>
        </w:rPr>
        <w:t>and</w:t>
      </w:r>
    </w:p>
    <w:p w14:paraId="20529E81" w14:textId="77777777" w:rsidR="00DD5071" w:rsidRPr="00F5664C" w:rsidRDefault="00DD5071" w:rsidP="00704B61">
      <w:pPr>
        <w:jc w:val="center"/>
        <w:rPr>
          <w:rFonts w:ascii="Book Antiqua" w:hAnsi="Book Antiqua" w:cs="Arial"/>
          <w:b/>
        </w:rPr>
      </w:pPr>
    </w:p>
    <w:p w14:paraId="1C97705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3C86953B"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217D0C7" w14:textId="77777777" w:rsidR="00DD5071" w:rsidRPr="00F5664C" w:rsidRDefault="00DD5071" w:rsidP="00DD5071">
      <w:pPr>
        <w:rPr>
          <w:rFonts w:ascii="Book Antiqua" w:hAnsi="Book Antiqua" w:cs="Arial"/>
          <w:u w:val="single"/>
        </w:rPr>
      </w:pPr>
    </w:p>
    <w:p w14:paraId="43800E06" w14:textId="179FE19B"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6B9EA9E2" w14:textId="77777777" w:rsidR="00F644E2" w:rsidRPr="00F5664C" w:rsidRDefault="00F644E2" w:rsidP="00DD5071">
      <w:pPr>
        <w:rPr>
          <w:rFonts w:ascii="Book Antiqua" w:hAnsi="Book Antiqua" w:cs="Arial"/>
        </w:rPr>
      </w:pPr>
    </w:p>
    <w:p w14:paraId="7290507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D5BDD">
        <w:rPr>
          <w:rFonts w:ascii="Book Antiqua" w:hAnsi="Book Antiqua" w:cs="Arial"/>
        </w:rPr>
        <w:t>Mr C Holmes (Counsel)</w:t>
      </w:r>
    </w:p>
    <w:p w14:paraId="256BCDA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D5BDD">
        <w:rPr>
          <w:rFonts w:ascii="Book Antiqua" w:hAnsi="Book Antiqua" w:cs="Arial"/>
        </w:rPr>
        <w:t>Mr C Bates (Senior HOPO)</w:t>
      </w:r>
    </w:p>
    <w:p w14:paraId="33BE6E25" w14:textId="77777777" w:rsidR="00DE7DB7" w:rsidRPr="00F5664C" w:rsidRDefault="00DE7DB7" w:rsidP="00402B9E">
      <w:pPr>
        <w:tabs>
          <w:tab w:val="left" w:pos="2520"/>
        </w:tabs>
        <w:jc w:val="center"/>
        <w:rPr>
          <w:rFonts w:ascii="Book Antiqua" w:hAnsi="Book Antiqua" w:cs="Arial"/>
        </w:rPr>
      </w:pPr>
    </w:p>
    <w:p w14:paraId="2B94446E" w14:textId="77777777" w:rsidR="00DE7DB7" w:rsidRPr="00F5664C" w:rsidRDefault="00DE7DB7" w:rsidP="00402B9E">
      <w:pPr>
        <w:tabs>
          <w:tab w:val="left" w:pos="2520"/>
        </w:tabs>
        <w:jc w:val="center"/>
        <w:rPr>
          <w:rFonts w:ascii="Book Antiqua" w:hAnsi="Book Antiqua" w:cs="Arial"/>
        </w:rPr>
      </w:pPr>
    </w:p>
    <w:p w14:paraId="7211F245" w14:textId="77777777" w:rsidR="00B626FA" w:rsidRDefault="009F518E" w:rsidP="00375F91">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58837C1" w14:textId="77777777" w:rsidR="00B52A42" w:rsidRDefault="00BD5BDD"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Morris, promulgated on 4</w:t>
      </w:r>
      <w:r w:rsidRPr="00BD5BDD">
        <w:rPr>
          <w:rFonts w:ascii="Book Antiqua" w:hAnsi="Book Antiqua" w:cs="Arial"/>
          <w:vertAlign w:val="superscript"/>
        </w:rPr>
        <w:t>th</w:t>
      </w:r>
      <w:r>
        <w:rPr>
          <w:rFonts w:ascii="Book Antiqua" w:hAnsi="Book Antiqua" w:cs="Arial"/>
        </w:rPr>
        <w:t xml:space="preserve"> September 2017, following a hearing at Manchester Piccadilly on 22</w:t>
      </w:r>
      <w:r w:rsidRPr="00BD5BDD">
        <w:rPr>
          <w:rFonts w:ascii="Book Antiqua" w:hAnsi="Book Antiqua" w:cs="Arial"/>
          <w:vertAlign w:val="superscript"/>
        </w:rPr>
        <w:t>nd</w:t>
      </w:r>
      <w:r>
        <w:rPr>
          <w:rFonts w:ascii="Book Antiqua" w:hAnsi="Book Antiqua" w:cs="Arial"/>
        </w:rPr>
        <w:t xml:space="preserve"> August 2017.  In the determination, the judge dismissed the appeal of the Appellant, whereupon the Appellant subsequently applied for, and was granted, permission to appeal to the Upper Tribunal, and thus the matter comes before me.</w:t>
      </w:r>
    </w:p>
    <w:p w14:paraId="45CFB62A" w14:textId="48DEFE95" w:rsidR="00BD5BDD" w:rsidRPr="00BD5BDD" w:rsidRDefault="00BD5BDD" w:rsidP="00BD5BDD">
      <w:pPr>
        <w:spacing w:before="240"/>
        <w:jc w:val="both"/>
        <w:rPr>
          <w:rFonts w:ascii="Book Antiqua" w:hAnsi="Book Antiqua" w:cs="Arial"/>
          <w:b/>
          <w:u w:val="single"/>
        </w:rPr>
      </w:pPr>
      <w:r w:rsidRPr="00BD5BDD">
        <w:rPr>
          <w:rFonts w:ascii="Book Antiqua" w:hAnsi="Book Antiqua" w:cs="Arial"/>
          <w:b/>
          <w:u w:val="single"/>
        </w:rPr>
        <w:t>The Appellant</w:t>
      </w:r>
    </w:p>
    <w:p w14:paraId="4C8C34EF" w14:textId="77777777" w:rsidR="00BD5BDD" w:rsidRDefault="00BD5BDD" w:rsidP="00B52A42">
      <w:pPr>
        <w:numPr>
          <w:ilvl w:val="0"/>
          <w:numId w:val="3"/>
        </w:numPr>
        <w:spacing w:before="240"/>
        <w:jc w:val="both"/>
        <w:rPr>
          <w:rFonts w:ascii="Book Antiqua" w:hAnsi="Book Antiqua" w:cs="Arial"/>
        </w:rPr>
      </w:pPr>
      <w:r>
        <w:rPr>
          <w:rFonts w:ascii="Book Antiqua" w:hAnsi="Book Antiqua" w:cs="Arial"/>
        </w:rPr>
        <w:t>The Appellant is a female, a citizen of Pakistan, and was born on 15</w:t>
      </w:r>
      <w:r w:rsidRPr="00BD5BDD">
        <w:rPr>
          <w:rFonts w:ascii="Book Antiqua" w:hAnsi="Book Antiqua" w:cs="Arial"/>
          <w:vertAlign w:val="superscript"/>
        </w:rPr>
        <w:t>th</w:t>
      </w:r>
      <w:r>
        <w:rPr>
          <w:rFonts w:ascii="Book Antiqua" w:hAnsi="Book Antiqua" w:cs="Arial"/>
        </w:rPr>
        <w:t xml:space="preserve"> December 1977.  She appealed against the decision dated 29</w:t>
      </w:r>
      <w:r w:rsidRPr="00BD5BDD">
        <w:rPr>
          <w:rFonts w:ascii="Book Antiqua" w:hAnsi="Book Antiqua" w:cs="Arial"/>
          <w:vertAlign w:val="superscript"/>
        </w:rPr>
        <w:t>th</w:t>
      </w:r>
      <w:r>
        <w:rPr>
          <w:rFonts w:ascii="Book Antiqua" w:hAnsi="Book Antiqua" w:cs="Arial"/>
        </w:rPr>
        <w:t xml:space="preserve"> November 2016 of the Respondent </w:t>
      </w:r>
      <w:r>
        <w:rPr>
          <w:rFonts w:ascii="Book Antiqua" w:hAnsi="Book Antiqua" w:cs="Arial"/>
        </w:rPr>
        <w:lastRenderedPageBreak/>
        <w:t xml:space="preserve">Secretary of State refusing her application for leave to remain in the UK as the wife of Mr </w:t>
      </w:r>
      <w:proofErr w:type="spellStart"/>
      <w:r>
        <w:rPr>
          <w:rFonts w:ascii="Book Antiqua" w:hAnsi="Book Antiqua" w:cs="Arial"/>
        </w:rPr>
        <w:t>Munawar</w:t>
      </w:r>
      <w:proofErr w:type="spellEnd"/>
      <w:r>
        <w:rPr>
          <w:rFonts w:ascii="Book Antiqua" w:hAnsi="Book Antiqua" w:cs="Arial"/>
        </w:rPr>
        <w:t xml:space="preserve"> Hussain, her sponsoring husband who is a British citizen.  </w:t>
      </w:r>
    </w:p>
    <w:p w14:paraId="39D7A032" w14:textId="77777777" w:rsidR="00BD5BDD" w:rsidRPr="00BD5BDD" w:rsidRDefault="00BD5BDD" w:rsidP="00BD5BDD">
      <w:pPr>
        <w:spacing w:before="240"/>
        <w:jc w:val="both"/>
        <w:rPr>
          <w:rFonts w:ascii="Book Antiqua" w:hAnsi="Book Antiqua" w:cs="Arial"/>
          <w:b/>
          <w:u w:val="single"/>
        </w:rPr>
      </w:pPr>
      <w:r w:rsidRPr="00BD5BDD">
        <w:rPr>
          <w:rFonts w:ascii="Book Antiqua" w:hAnsi="Book Antiqua" w:cs="Arial"/>
          <w:b/>
          <w:u w:val="single"/>
        </w:rPr>
        <w:t>The Appellant’s Claim</w:t>
      </w:r>
    </w:p>
    <w:p w14:paraId="2029832B" w14:textId="77777777" w:rsidR="00BD5BDD" w:rsidRDefault="00BD5BDD" w:rsidP="00B52A42">
      <w:pPr>
        <w:numPr>
          <w:ilvl w:val="0"/>
          <w:numId w:val="3"/>
        </w:numPr>
        <w:spacing w:before="240"/>
        <w:jc w:val="both"/>
        <w:rPr>
          <w:rFonts w:ascii="Book Antiqua" w:hAnsi="Book Antiqua" w:cs="Arial"/>
        </w:rPr>
      </w:pPr>
      <w:r>
        <w:rPr>
          <w:rFonts w:ascii="Book Antiqua" w:hAnsi="Book Antiqua" w:cs="Arial"/>
        </w:rPr>
        <w:t>The basis of the Appellant’s claim is that, although it is accepted by the Respondent Secretary of State that she had been in a genuine and subsisting marriage relationship with her British citizen husband, as she had accidentally ticked the “</w:t>
      </w:r>
      <w:proofErr w:type="gramStart"/>
      <w:r>
        <w:rPr>
          <w:rFonts w:ascii="Book Antiqua" w:hAnsi="Book Antiqua" w:cs="Arial"/>
        </w:rPr>
        <w:t>ten year</w:t>
      </w:r>
      <w:proofErr w:type="gramEnd"/>
      <w:r>
        <w:rPr>
          <w:rFonts w:ascii="Book Antiqua" w:hAnsi="Book Antiqua" w:cs="Arial"/>
        </w:rPr>
        <w:t xml:space="preserve"> box”, which implied that she had met the requirements of the ten year private life route, but in fact did not do so for reasons set out in paragraph 276ADE(1)(iii), (iv), (v) and (vi) of the Immigration Rules.  The Respondent had indicated that there were no exceptional circumstances to the Appellant returning back to Pakistan with her husband, if needs be, but the Appellant pointed out that it was accepted that the sponsoring husband had suffered two heart attacks and needed to be taken care of.  </w:t>
      </w:r>
    </w:p>
    <w:p w14:paraId="7399DCC3" w14:textId="77777777" w:rsidR="00BD5BDD" w:rsidRPr="00BD5BDD" w:rsidRDefault="00BD5BDD" w:rsidP="00BD5BDD">
      <w:pPr>
        <w:spacing w:before="240"/>
        <w:jc w:val="both"/>
        <w:rPr>
          <w:rFonts w:ascii="Book Antiqua" w:hAnsi="Book Antiqua" w:cs="Arial"/>
          <w:b/>
          <w:u w:val="single"/>
        </w:rPr>
      </w:pPr>
      <w:r w:rsidRPr="00BD5BDD">
        <w:rPr>
          <w:rFonts w:ascii="Book Antiqua" w:hAnsi="Book Antiqua" w:cs="Arial"/>
          <w:b/>
          <w:u w:val="single"/>
        </w:rPr>
        <w:t>The Judge’s Determination</w:t>
      </w:r>
    </w:p>
    <w:p w14:paraId="70B7245D" w14:textId="77777777" w:rsidR="00BD5BDD" w:rsidRDefault="00BD5BDD" w:rsidP="00B52A42">
      <w:pPr>
        <w:numPr>
          <w:ilvl w:val="0"/>
          <w:numId w:val="3"/>
        </w:numPr>
        <w:spacing w:before="240"/>
        <w:jc w:val="both"/>
        <w:rPr>
          <w:rFonts w:ascii="Book Antiqua" w:hAnsi="Book Antiqua" w:cs="Arial"/>
        </w:rPr>
      </w:pPr>
      <w:r>
        <w:rPr>
          <w:rFonts w:ascii="Book Antiqua" w:hAnsi="Book Antiqua" w:cs="Arial"/>
        </w:rPr>
        <w:t>The judge decided, having heard the Appellant’s husband give evidence in English, and having seen bank statements submitted on behalf of the Appellant and her husband showing deposits and references from Euro Wines with respect to employment, that the Appellant did not meet the English language requirements; that the Appellant had ongoing medical needs; and that the originality of the financial documents was an issue that was unresolved.</w:t>
      </w:r>
    </w:p>
    <w:p w14:paraId="3CFB09FB" w14:textId="77777777" w:rsidR="00BD5BDD" w:rsidRDefault="00BD5BDD" w:rsidP="00B52A42">
      <w:pPr>
        <w:numPr>
          <w:ilvl w:val="0"/>
          <w:numId w:val="3"/>
        </w:numPr>
        <w:spacing w:before="240"/>
        <w:jc w:val="both"/>
        <w:rPr>
          <w:rFonts w:ascii="Book Antiqua" w:hAnsi="Book Antiqua" w:cs="Arial"/>
        </w:rPr>
      </w:pPr>
      <w:r>
        <w:rPr>
          <w:rFonts w:ascii="Book Antiqua" w:hAnsi="Book Antiqua" w:cs="Arial"/>
        </w:rPr>
        <w:t>The judge concluded by stating that a fresh application in this case would enable the Appellant to present a clear picture of the person</w:t>
      </w:r>
      <w:r w:rsidR="00BA7E01">
        <w:rPr>
          <w:rFonts w:ascii="Book Antiqua" w:hAnsi="Book Antiqua" w:cs="Arial"/>
        </w:rPr>
        <w:t>al situation of herself and the Sponsor and how the requirements of Appendix FM could be satisfied.  It was also held that, given a lack of clarity in the oral evidence of the Appellant regarding the employment of her and her husband, which was also acknowledged by her representative” a fresh application would be the right course of action (paragraph 60).</w:t>
      </w:r>
    </w:p>
    <w:p w14:paraId="05BAC851" w14:textId="77777777" w:rsidR="00BA7E01" w:rsidRDefault="00BA7E01" w:rsidP="00B52A42">
      <w:pPr>
        <w:numPr>
          <w:ilvl w:val="0"/>
          <w:numId w:val="3"/>
        </w:numPr>
        <w:spacing w:before="240"/>
        <w:jc w:val="both"/>
        <w:rPr>
          <w:rFonts w:ascii="Book Antiqua" w:hAnsi="Book Antiqua" w:cs="Arial"/>
        </w:rPr>
      </w:pPr>
      <w:r>
        <w:rPr>
          <w:rFonts w:ascii="Book Antiqua" w:hAnsi="Book Antiqua" w:cs="Arial"/>
        </w:rPr>
        <w:t xml:space="preserve">The appeal was dismissed. </w:t>
      </w:r>
    </w:p>
    <w:p w14:paraId="69A36EA4" w14:textId="77777777" w:rsidR="00BA7E01" w:rsidRPr="00BA7E01" w:rsidRDefault="00BA7E01" w:rsidP="00BA7E01">
      <w:pPr>
        <w:spacing w:before="240"/>
        <w:jc w:val="both"/>
        <w:rPr>
          <w:rFonts w:ascii="Book Antiqua" w:hAnsi="Book Antiqua" w:cs="Arial"/>
          <w:b/>
          <w:u w:val="single"/>
        </w:rPr>
      </w:pPr>
      <w:r w:rsidRPr="00BA7E01">
        <w:rPr>
          <w:rFonts w:ascii="Book Antiqua" w:hAnsi="Book Antiqua" w:cs="Arial"/>
          <w:b/>
          <w:u w:val="single"/>
        </w:rPr>
        <w:t>Grounds of Application</w:t>
      </w:r>
    </w:p>
    <w:p w14:paraId="3DD871A7" w14:textId="77777777" w:rsidR="00BA7E01" w:rsidRDefault="006A0EDA" w:rsidP="00B52A42">
      <w:pPr>
        <w:numPr>
          <w:ilvl w:val="0"/>
          <w:numId w:val="3"/>
        </w:numPr>
        <w:spacing w:before="240"/>
        <w:jc w:val="both"/>
        <w:rPr>
          <w:rFonts w:ascii="Book Antiqua" w:hAnsi="Book Antiqua" w:cs="Arial"/>
        </w:rPr>
      </w:pPr>
      <w:r>
        <w:rPr>
          <w:rFonts w:ascii="Book Antiqua" w:hAnsi="Book Antiqua" w:cs="Arial"/>
        </w:rPr>
        <w:t>The grounds of application state that although the judge had concluded that the Appellant did not meet the English language requirements this had never bee</w:t>
      </w:r>
      <w:r w:rsidR="00033678">
        <w:rPr>
          <w:rFonts w:ascii="Book Antiqua" w:hAnsi="Book Antiqua" w:cs="Arial"/>
        </w:rPr>
        <w:t>n i</w:t>
      </w:r>
      <w:r>
        <w:rPr>
          <w:rFonts w:ascii="Book Antiqua" w:hAnsi="Book Antiqua" w:cs="Arial"/>
        </w:rPr>
        <w:t xml:space="preserve">n issue.  The grounds also stated that the judge had gone on to refer to the Appellant’s medical needs which were ongoing when there was no evidence on that point.  Furthermore, the judge had also erred in questioning the originality of the financial documents which has not been in issue at the hearing.  </w:t>
      </w:r>
    </w:p>
    <w:p w14:paraId="338CF8F9" w14:textId="77777777" w:rsidR="006A0EDA" w:rsidRDefault="006A0EDA" w:rsidP="00B52A42">
      <w:pPr>
        <w:numPr>
          <w:ilvl w:val="0"/>
          <w:numId w:val="3"/>
        </w:numPr>
        <w:spacing w:before="240"/>
        <w:jc w:val="both"/>
        <w:rPr>
          <w:rFonts w:ascii="Book Antiqua" w:hAnsi="Book Antiqua" w:cs="Arial"/>
        </w:rPr>
      </w:pPr>
      <w:r>
        <w:rPr>
          <w:rFonts w:ascii="Book Antiqua" w:hAnsi="Book Antiqua" w:cs="Arial"/>
        </w:rPr>
        <w:t>On 31</w:t>
      </w:r>
      <w:r w:rsidRPr="006A0EDA">
        <w:rPr>
          <w:rFonts w:ascii="Book Antiqua" w:hAnsi="Book Antiqua" w:cs="Arial"/>
          <w:vertAlign w:val="superscript"/>
        </w:rPr>
        <w:t>st</w:t>
      </w:r>
      <w:r>
        <w:rPr>
          <w:rFonts w:ascii="Book Antiqua" w:hAnsi="Book Antiqua" w:cs="Arial"/>
        </w:rPr>
        <w:t xml:space="preserve"> January 2018, permission to appeal was granted.</w:t>
      </w:r>
    </w:p>
    <w:p w14:paraId="4238321D" w14:textId="21957711" w:rsidR="006A0EDA" w:rsidRPr="006A0EDA" w:rsidRDefault="006A0EDA" w:rsidP="006A0EDA">
      <w:pPr>
        <w:spacing w:before="240"/>
        <w:jc w:val="both"/>
        <w:rPr>
          <w:rFonts w:ascii="Book Antiqua" w:hAnsi="Book Antiqua" w:cs="Arial"/>
          <w:b/>
          <w:u w:val="single"/>
        </w:rPr>
      </w:pPr>
      <w:bookmarkStart w:id="1" w:name="_GoBack"/>
      <w:bookmarkEnd w:id="1"/>
      <w:r w:rsidRPr="006A0EDA">
        <w:rPr>
          <w:rFonts w:ascii="Book Antiqua" w:hAnsi="Book Antiqua" w:cs="Arial"/>
          <w:b/>
          <w:u w:val="single"/>
        </w:rPr>
        <w:t>Submissions</w:t>
      </w:r>
    </w:p>
    <w:p w14:paraId="00E74B38" w14:textId="77777777" w:rsidR="00FD46AC" w:rsidRPr="008839DB" w:rsidRDefault="006A0EDA" w:rsidP="008839DB">
      <w:pPr>
        <w:numPr>
          <w:ilvl w:val="0"/>
          <w:numId w:val="3"/>
        </w:numPr>
        <w:spacing w:before="240"/>
        <w:jc w:val="both"/>
        <w:rPr>
          <w:rFonts w:ascii="Book Antiqua" w:hAnsi="Book Antiqua" w:cs="Arial"/>
        </w:rPr>
      </w:pPr>
      <w:r>
        <w:rPr>
          <w:rFonts w:ascii="Book Antiqua" w:hAnsi="Book Antiqua" w:cs="Arial"/>
        </w:rPr>
        <w:t>At the hearing before me on 26</w:t>
      </w:r>
      <w:r w:rsidRPr="006A0EDA">
        <w:rPr>
          <w:rFonts w:ascii="Book Antiqua" w:hAnsi="Book Antiqua" w:cs="Arial"/>
          <w:vertAlign w:val="superscript"/>
        </w:rPr>
        <w:t>th</w:t>
      </w:r>
      <w:r>
        <w:rPr>
          <w:rFonts w:ascii="Book Antiqua" w:hAnsi="Book Antiqua" w:cs="Arial"/>
        </w:rPr>
        <w:t xml:space="preserve"> June 2018, Mr Holmes, appearing on behalf of the Appellant, submitted that he would have to accept that at the time of the application the Rules could </w:t>
      </w:r>
      <w:r w:rsidR="000B30DA">
        <w:rPr>
          <w:rFonts w:ascii="Book Antiqua" w:hAnsi="Book Antiqua" w:cs="Arial"/>
        </w:rPr>
        <w:t xml:space="preserve">not be met.  Indeed, this </w:t>
      </w:r>
      <w:r>
        <w:rPr>
          <w:rFonts w:ascii="Book Antiqua" w:hAnsi="Book Antiqua" w:cs="Arial"/>
        </w:rPr>
        <w:t xml:space="preserve">was acknowledged before the judge as well when the judge recorded “it is considered by and on behalf of the Appellant that, as at </w:t>
      </w:r>
      <w:r>
        <w:rPr>
          <w:rFonts w:ascii="Book Antiqua" w:hAnsi="Book Antiqua" w:cs="Arial"/>
        </w:rPr>
        <w:lastRenderedPageBreak/>
        <w:t xml:space="preserve">the date of her application those requirements were not met” (paragraph 36).  However, Mr Holmes submitted that the judge ought to have then considered the position outside the Immigration Rules under freestanding human rights jurisprudence.  Second, he has submitted that the judge wrongly stated that “no evidence has been presented that </w:t>
      </w:r>
      <w:r w:rsidR="000C2F05">
        <w:rPr>
          <w:rFonts w:ascii="Book Antiqua" w:hAnsi="Book Antiqua" w:cs="Arial"/>
        </w:rPr>
        <w:t>the Appellant</w:t>
      </w:r>
      <w:r>
        <w:rPr>
          <w:rFonts w:ascii="Book Antiqua" w:hAnsi="Book Antiqua" w:cs="Arial"/>
        </w:rPr>
        <w:t xml:space="preserve"> has met that requirement” (paragraph 41) and referring to the English language requirement.  Not only was this not an issue, but Mr Holmes submitted that given that the Appellant had come as a foreign spouse to join Mr </w:t>
      </w:r>
      <w:proofErr w:type="spellStart"/>
      <w:r>
        <w:rPr>
          <w:rFonts w:ascii="Book Antiqua" w:hAnsi="Book Antiqua" w:cs="Arial"/>
        </w:rPr>
        <w:t>Munawar</w:t>
      </w:r>
      <w:proofErr w:type="spellEnd"/>
      <w:r>
        <w:rPr>
          <w:rFonts w:ascii="Book Antiqua" w:hAnsi="Book Antiqua" w:cs="Arial"/>
        </w:rPr>
        <w:t xml:space="preserve"> Hussain in this country, she had already satisfied the English language requirements and this was why this was not an issue.  The Rules did not require ongoing proof to be provided.  Yet, there was proof and this appears in the bundle at page 1.  In the same way, the judge erred (at paragraph 49) when stating that as to Section 117</w:t>
      </w:r>
      <w:proofErr w:type="gramStart"/>
      <w:r>
        <w:rPr>
          <w:rFonts w:ascii="Book Antiqua" w:hAnsi="Book Antiqua" w:cs="Arial"/>
        </w:rPr>
        <w:t>B(</w:t>
      </w:r>
      <w:proofErr w:type="gramEnd"/>
      <w:r>
        <w:rPr>
          <w:rFonts w:ascii="Book Antiqua" w:hAnsi="Book Antiqua" w:cs="Arial"/>
        </w:rPr>
        <w:t xml:space="preserve">2) the Appellant had shown “no evidence of having met the English language requirement” and that she had given evidence using an interpreter (paragraph 49).  Mr Holmes submitted that if one takes away these errors the Appellant’s application was in compliance with the Rules and she stood to win </w:t>
      </w:r>
      <w:r w:rsidR="00FD46AC">
        <w:rPr>
          <w:rFonts w:ascii="Book Antiqua" w:hAnsi="Book Antiqua" w:cs="Arial"/>
        </w:rPr>
        <w:t>at the appeal.</w:t>
      </w:r>
      <w:r w:rsidR="008839DB">
        <w:rPr>
          <w:rFonts w:ascii="Book Antiqua" w:hAnsi="Book Antiqua" w:cs="Arial"/>
        </w:rPr>
        <w:t xml:space="preserve">  </w:t>
      </w:r>
      <w:r w:rsidR="00FD46AC" w:rsidRPr="008839DB">
        <w:rPr>
          <w:rFonts w:ascii="Book Antiqua" w:hAnsi="Book Antiqua" w:cs="Arial"/>
        </w:rPr>
        <w:t>F</w:t>
      </w:r>
      <w:r w:rsidR="002171E1">
        <w:rPr>
          <w:rFonts w:ascii="Book Antiqua" w:hAnsi="Book Antiqua" w:cs="Arial"/>
        </w:rPr>
        <w:t>inally, it was clear following</w:t>
      </w:r>
      <w:r w:rsidR="00FD46AC" w:rsidRPr="008839DB">
        <w:rPr>
          <w:rFonts w:ascii="Book Antiqua" w:hAnsi="Book Antiqua" w:cs="Arial"/>
        </w:rPr>
        <w:t xml:space="preserve"> </w:t>
      </w:r>
      <w:r w:rsidR="00FD46AC" w:rsidRPr="008839DB">
        <w:rPr>
          <w:rFonts w:ascii="Book Antiqua" w:hAnsi="Book Antiqua" w:cs="Arial"/>
          <w:b/>
          <w:u w:val="single"/>
        </w:rPr>
        <w:t>PJ</w:t>
      </w:r>
      <w:r w:rsidR="00FD46AC" w:rsidRPr="008839DB">
        <w:rPr>
          <w:rFonts w:ascii="Book Antiqua" w:hAnsi="Book Antiqua" w:cs="Arial"/>
          <w:b/>
        </w:rPr>
        <w:t xml:space="preserve"> (India) [2018] EWCA </w:t>
      </w:r>
      <w:proofErr w:type="spellStart"/>
      <w:r w:rsidR="00FD46AC" w:rsidRPr="008839DB">
        <w:rPr>
          <w:rFonts w:ascii="Book Antiqua" w:hAnsi="Book Antiqua" w:cs="Arial"/>
          <w:b/>
        </w:rPr>
        <w:t>Civ</w:t>
      </w:r>
      <w:proofErr w:type="spellEnd"/>
      <w:r w:rsidR="00FD46AC" w:rsidRPr="008839DB">
        <w:rPr>
          <w:rFonts w:ascii="Book Antiqua" w:hAnsi="Book Antiqua" w:cs="Arial"/>
          <w:b/>
        </w:rPr>
        <w:t xml:space="preserve"> 1</w:t>
      </w:r>
      <w:r w:rsidR="002A6069">
        <w:rPr>
          <w:rFonts w:ascii="Book Antiqua" w:hAnsi="Book Antiqua" w:cs="Arial"/>
          <w:b/>
        </w:rPr>
        <w:t>1</w:t>
      </w:r>
      <w:r w:rsidR="00FD46AC" w:rsidRPr="008839DB">
        <w:rPr>
          <w:rFonts w:ascii="Book Antiqua" w:hAnsi="Book Antiqua" w:cs="Arial"/>
          <w:b/>
        </w:rPr>
        <w:t>09</w:t>
      </w:r>
      <w:r w:rsidR="00FD46AC" w:rsidRPr="008839DB">
        <w:rPr>
          <w:rFonts w:ascii="Book Antiqua" w:hAnsi="Book Antiqua" w:cs="Arial"/>
        </w:rPr>
        <w:t xml:space="preserve"> that if, having considered the Rules an application does not succeed, it is necessary to then go outside the Immigration Rules and consider the position under ECHR law.  The judge had failed to do this.</w:t>
      </w:r>
    </w:p>
    <w:p w14:paraId="443D5E2A" w14:textId="77777777" w:rsidR="00FD46AC" w:rsidRDefault="00FD46AC" w:rsidP="00B52A42">
      <w:pPr>
        <w:numPr>
          <w:ilvl w:val="0"/>
          <w:numId w:val="3"/>
        </w:numPr>
        <w:spacing w:before="240"/>
        <w:jc w:val="both"/>
        <w:rPr>
          <w:rFonts w:ascii="Book Antiqua" w:hAnsi="Book Antiqua" w:cs="Arial"/>
        </w:rPr>
      </w:pPr>
      <w:r>
        <w:rPr>
          <w:rFonts w:ascii="Book Antiqua" w:hAnsi="Book Antiqua" w:cs="Arial"/>
        </w:rPr>
        <w:t xml:space="preserve">For his part, Mr Bates submitted that the financial requirements were not satisfied.  The English language requirement point was therefore irrelevant.  What the Rules say is that an applicant must provide “original documents” and in this case the Appellant had not done so.  Her employment was challenged by the Presenting Officer (see paragraph 60) and this was why the judge concluded as he did.  The fact was that the burden of proof was always upon the Appellant.  The judge was entitled not to be satisfied about the authenticity of the documents.  If the judge was not satisfied that the Appellant had failed to make out her case then it was not disproportionate to refuse the appeal.  In addition to this, Mr Bates also drew my attention to the case of </w:t>
      </w:r>
      <w:proofErr w:type="spellStart"/>
      <w:r w:rsidRPr="00FD46AC">
        <w:rPr>
          <w:rFonts w:ascii="Book Antiqua" w:hAnsi="Book Antiqua" w:cs="Arial"/>
          <w:b/>
          <w:u w:val="single"/>
        </w:rPr>
        <w:t>Rhuppiah</w:t>
      </w:r>
      <w:proofErr w:type="spellEnd"/>
      <w:r w:rsidRPr="00FD46AC">
        <w:rPr>
          <w:rFonts w:ascii="Book Antiqua" w:hAnsi="Book Antiqua" w:cs="Arial"/>
          <w:b/>
        </w:rPr>
        <w:t xml:space="preserve"> [2016] EWCA </w:t>
      </w:r>
      <w:proofErr w:type="spellStart"/>
      <w:r w:rsidRPr="00FD46AC">
        <w:rPr>
          <w:rFonts w:ascii="Book Antiqua" w:hAnsi="Book Antiqua" w:cs="Arial"/>
          <w:b/>
        </w:rPr>
        <w:t>Civ</w:t>
      </w:r>
      <w:proofErr w:type="spellEnd"/>
      <w:r w:rsidRPr="00FD46AC">
        <w:rPr>
          <w:rFonts w:ascii="Book Antiqua" w:hAnsi="Book Antiqua" w:cs="Arial"/>
          <w:b/>
        </w:rPr>
        <w:t xml:space="preserve"> 803</w:t>
      </w:r>
      <w:r>
        <w:rPr>
          <w:rFonts w:ascii="Book Antiqua" w:hAnsi="Book Antiqua" w:cs="Arial"/>
        </w:rPr>
        <w:t xml:space="preserve"> where the Court of Appeal had stated that to be “financially independent” did not mean financial independence of the state, but had to mean, being financially independent of others, so that one is able to support oneself of one’s own accord, and thereby minimise the risk of attending to the state for support (see paragraphs 64 to 65 of </w:t>
      </w:r>
      <w:proofErr w:type="spellStart"/>
      <w:r w:rsidRPr="00FD46AC">
        <w:rPr>
          <w:rFonts w:ascii="Book Antiqua" w:hAnsi="Book Antiqua" w:cs="Arial"/>
          <w:b/>
          <w:u w:val="single"/>
        </w:rPr>
        <w:t>Rhuppiah</w:t>
      </w:r>
      <w:proofErr w:type="spellEnd"/>
      <w:r>
        <w:rPr>
          <w:rFonts w:ascii="Book Antiqua" w:hAnsi="Book Antiqua" w:cs="Arial"/>
        </w:rPr>
        <w:t>).</w:t>
      </w:r>
      <w:r w:rsidR="0020397F">
        <w:rPr>
          <w:rFonts w:ascii="Book Antiqua" w:hAnsi="Book Antiqua" w:cs="Arial"/>
        </w:rPr>
        <w:t xml:space="preserve">  Finally, as far as medical evidence was concerned, the Presenting Officer had at the hearing conceded (see paragraph </w:t>
      </w:r>
      <w:proofErr w:type="gramStart"/>
      <w:r w:rsidR="0020397F">
        <w:rPr>
          <w:rFonts w:ascii="Book Antiqua" w:hAnsi="Book Antiqua" w:cs="Arial"/>
        </w:rPr>
        <w:t>18)(</w:t>
      </w:r>
      <w:proofErr w:type="spellStart"/>
      <w:proofErr w:type="gramEnd"/>
      <w:r w:rsidR="0020397F">
        <w:rPr>
          <w:rFonts w:ascii="Book Antiqua" w:hAnsi="Book Antiqua" w:cs="Arial"/>
        </w:rPr>
        <w:t>i</w:t>
      </w:r>
      <w:proofErr w:type="spellEnd"/>
      <w:r w:rsidR="0020397F">
        <w:rPr>
          <w:rFonts w:ascii="Book Antiqua" w:hAnsi="Book Antiqua" w:cs="Arial"/>
        </w:rPr>
        <w:t>) that there were no health issues, and what the judge was referring to, was the fact that the Appellant and the husband were having to undergo IVF treatment so that she could conceive with a child.</w:t>
      </w:r>
    </w:p>
    <w:p w14:paraId="01523B4B" w14:textId="77777777" w:rsidR="0020397F" w:rsidRDefault="0020397F" w:rsidP="00B52A42">
      <w:pPr>
        <w:numPr>
          <w:ilvl w:val="0"/>
          <w:numId w:val="3"/>
        </w:numPr>
        <w:spacing w:before="240"/>
        <w:jc w:val="both"/>
        <w:rPr>
          <w:rFonts w:ascii="Book Antiqua" w:hAnsi="Book Antiqua" w:cs="Arial"/>
        </w:rPr>
      </w:pPr>
      <w:r>
        <w:rPr>
          <w:rFonts w:ascii="Book Antiqua" w:hAnsi="Book Antiqua" w:cs="Arial"/>
        </w:rPr>
        <w:t xml:space="preserve">In reply, Mr Holmes submitted that it was not true that the Appellant had failed to provide the “original” documentation.  Counsel attending the hearing had the originals.  Obviously, however, they could not be submitted directly to the authorities for fear that they would be misplaced.  Second, the judge had treated Appendix FM-SE as determinative of the issues before the Tribunal and this was wrong as a matter of law.  Third, the reference to </w:t>
      </w:r>
      <w:proofErr w:type="spellStart"/>
      <w:r w:rsidRPr="00EF0617">
        <w:rPr>
          <w:rFonts w:ascii="Book Antiqua" w:hAnsi="Book Antiqua" w:cs="Arial"/>
          <w:b/>
          <w:u w:val="single"/>
        </w:rPr>
        <w:t>Rhuppiah</w:t>
      </w:r>
      <w:proofErr w:type="spellEnd"/>
      <w:r>
        <w:rPr>
          <w:rFonts w:ascii="Book Antiqua" w:hAnsi="Book Antiqua" w:cs="Arial"/>
        </w:rPr>
        <w:t xml:space="preserve"> was misconceived by Mr Bates because it was not being suggested here that the Appellant should be “financially independent of the state”.  What was being suggested was that if the Rules are Article 8 compliant </w:t>
      </w:r>
      <w:r>
        <w:rPr>
          <w:rFonts w:ascii="Book Antiqua" w:hAnsi="Book Antiqua" w:cs="Arial"/>
        </w:rPr>
        <w:lastRenderedPageBreak/>
        <w:t xml:space="preserve">then the income of both the wife and the husband should have been looked at together and not separately.  This had not been done.  </w:t>
      </w:r>
    </w:p>
    <w:p w14:paraId="4AB95681" w14:textId="77777777" w:rsidR="0020397F" w:rsidRPr="00D833A3" w:rsidRDefault="0020397F" w:rsidP="0020397F">
      <w:pPr>
        <w:spacing w:before="240"/>
        <w:jc w:val="both"/>
        <w:rPr>
          <w:rFonts w:ascii="Book Antiqua" w:hAnsi="Book Antiqua" w:cs="Arial"/>
          <w:b/>
          <w:u w:val="single"/>
        </w:rPr>
      </w:pPr>
      <w:r w:rsidRPr="00D833A3">
        <w:rPr>
          <w:rFonts w:ascii="Book Antiqua" w:hAnsi="Book Antiqua" w:cs="Arial"/>
          <w:b/>
          <w:u w:val="single"/>
        </w:rPr>
        <w:t>Error of Law</w:t>
      </w:r>
    </w:p>
    <w:p w14:paraId="43387DCA" w14:textId="77777777" w:rsidR="000B30DA" w:rsidRDefault="00D833A3"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p>
    <w:p w14:paraId="693E750A" w14:textId="77777777" w:rsidR="000B30DA" w:rsidRDefault="00D833A3" w:rsidP="00B52A42">
      <w:pPr>
        <w:numPr>
          <w:ilvl w:val="0"/>
          <w:numId w:val="3"/>
        </w:numPr>
        <w:spacing w:before="240"/>
        <w:jc w:val="both"/>
        <w:rPr>
          <w:rFonts w:ascii="Book Antiqua" w:hAnsi="Book Antiqua" w:cs="Arial"/>
        </w:rPr>
      </w:pPr>
      <w:r>
        <w:rPr>
          <w:rFonts w:ascii="Book Antiqua" w:hAnsi="Book Antiqua" w:cs="Arial"/>
        </w:rPr>
        <w:t xml:space="preserve">First, the judge has raised issues which were not in issue, and this was bound to taint the manner in which the evidence as a whole was taken into account before the Tribunal.  It was not an issue, and it is a mistake of fact it would so suggest, that the Appellant’s English language abilities were unproven.  They were proven when she entered this country as a spouse of Mr </w:t>
      </w:r>
      <w:proofErr w:type="spellStart"/>
      <w:r>
        <w:rPr>
          <w:rFonts w:ascii="Book Antiqua" w:hAnsi="Book Antiqua" w:cs="Arial"/>
        </w:rPr>
        <w:t>Munawar</w:t>
      </w:r>
      <w:proofErr w:type="spellEnd"/>
      <w:r>
        <w:rPr>
          <w:rFonts w:ascii="Book Antiqua" w:hAnsi="Book Antiqua" w:cs="Arial"/>
        </w:rPr>
        <w:t xml:space="preserve"> Hussain.  </w:t>
      </w:r>
    </w:p>
    <w:p w14:paraId="1C1CE57D" w14:textId="77777777" w:rsidR="000B30DA" w:rsidRDefault="00D833A3" w:rsidP="00B52A42">
      <w:pPr>
        <w:numPr>
          <w:ilvl w:val="0"/>
          <w:numId w:val="3"/>
        </w:numPr>
        <w:spacing w:before="240"/>
        <w:jc w:val="both"/>
        <w:rPr>
          <w:rFonts w:ascii="Book Antiqua" w:hAnsi="Book Antiqua" w:cs="Arial"/>
        </w:rPr>
      </w:pPr>
      <w:r>
        <w:rPr>
          <w:rFonts w:ascii="Book Antiqua" w:hAnsi="Book Antiqua" w:cs="Arial"/>
        </w:rPr>
        <w:t>Second, it was not an issue, and was indeed so conceded at paragraph 18(</w:t>
      </w:r>
      <w:proofErr w:type="spellStart"/>
      <w:r>
        <w:rPr>
          <w:rFonts w:ascii="Book Antiqua" w:hAnsi="Book Antiqua" w:cs="Arial"/>
        </w:rPr>
        <w:t>i</w:t>
      </w:r>
      <w:proofErr w:type="spellEnd"/>
      <w:r>
        <w:rPr>
          <w:rFonts w:ascii="Book Antiqua" w:hAnsi="Book Antiqua" w:cs="Arial"/>
        </w:rPr>
        <w:t xml:space="preserve">) by the Presenting Officer, that the Appellant had “continuing medical needs” in a way that has an impact on the way in which Section 117B(iii) falls to be applied.  </w:t>
      </w:r>
    </w:p>
    <w:p w14:paraId="1B9CB29F" w14:textId="77777777" w:rsidR="000B30DA" w:rsidRDefault="00D833A3" w:rsidP="00B52A42">
      <w:pPr>
        <w:numPr>
          <w:ilvl w:val="0"/>
          <w:numId w:val="3"/>
        </w:numPr>
        <w:spacing w:before="240"/>
        <w:jc w:val="both"/>
        <w:rPr>
          <w:rFonts w:ascii="Book Antiqua" w:hAnsi="Book Antiqua" w:cs="Arial"/>
        </w:rPr>
      </w:pPr>
      <w:r>
        <w:rPr>
          <w:rFonts w:ascii="Book Antiqua" w:hAnsi="Book Antiqua" w:cs="Arial"/>
        </w:rPr>
        <w:t xml:space="preserve">Third, the judge raised the issue that there being a failure by the Appellant to provide “original” documentation, although this was not a point taken by the Respondent at the hearing, and yet the original documents were available at the hearing. </w:t>
      </w:r>
      <w:r w:rsidR="00F331F4">
        <w:rPr>
          <w:rFonts w:ascii="Book Antiqua" w:hAnsi="Book Antiqua" w:cs="Arial"/>
        </w:rPr>
        <w:t xml:space="preserve"> The practic</w:t>
      </w:r>
      <w:r>
        <w:rPr>
          <w:rFonts w:ascii="Book Antiqua" w:hAnsi="Book Antiqua" w:cs="Arial"/>
        </w:rPr>
        <w:t xml:space="preserve">e before the Tribunal is for the parties to provide the judge with photocopies of documents in the case and the originals are available at the hearing if required.  No request was made by the Tribunal to see the original documentation.  </w:t>
      </w:r>
    </w:p>
    <w:p w14:paraId="657D38CE" w14:textId="77777777" w:rsidR="000B30DA" w:rsidRDefault="00D833A3" w:rsidP="00B52A42">
      <w:pPr>
        <w:numPr>
          <w:ilvl w:val="0"/>
          <w:numId w:val="3"/>
        </w:numPr>
        <w:spacing w:before="240"/>
        <w:jc w:val="both"/>
        <w:rPr>
          <w:rFonts w:ascii="Book Antiqua" w:hAnsi="Book Antiqua" w:cs="Arial"/>
        </w:rPr>
      </w:pPr>
      <w:r>
        <w:rPr>
          <w:rFonts w:ascii="Book Antiqua" w:hAnsi="Book Antiqua" w:cs="Arial"/>
        </w:rPr>
        <w:t xml:space="preserve">Finally, the judge failed to assess and weigh in the balance the reliability of the income from both the Appellant and her husband (see </w:t>
      </w:r>
      <w:r w:rsidRPr="00747A1D">
        <w:rPr>
          <w:rFonts w:ascii="Book Antiqua" w:hAnsi="Book Antiqua" w:cs="Arial"/>
          <w:b/>
          <w:u w:val="single"/>
        </w:rPr>
        <w:t>MM</w:t>
      </w:r>
      <w:r w:rsidRPr="00747A1D">
        <w:rPr>
          <w:rFonts w:ascii="Book Antiqua" w:hAnsi="Book Antiqua" w:cs="Arial"/>
          <w:b/>
        </w:rPr>
        <w:t xml:space="preserve"> (Lebanon) [2017] UKSC 10</w:t>
      </w:r>
      <w:r>
        <w:rPr>
          <w:rFonts w:ascii="Book Antiqua" w:hAnsi="Book Antiqua" w:cs="Arial"/>
        </w:rPr>
        <w:t xml:space="preserve"> at paragraph 90).  The court here made it clear that “authorisation of the same restrictive approach outside the Rules is a different matter, and in our </w:t>
      </w:r>
      <w:proofErr w:type="gramStart"/>
      <w:r>
        <w:rPr>
          <w:rFonts w:ascii="Book Antiqua" w:hAnsi="Book Antiqua" w:cs="Arial"/>
        </w:rPr>
        <w:t>view</w:t>
      </w:r>
      <w:proofErr w:type="gramEnd"/>
      <w:r>
        <w:rPr>
          <w:rFonts w:ascii="Book Antiqua" w:hAnsi="Book Antiqua" w:cs="Arial"/>
        </w:rPr>
        <w:t xml:space="preserve"> it is much more difficult to justify under the HRA”.</w:t>
      </w:r>
      <w:r w:rsidR="008513B2">
        <w:rPr>
          <w:rFonts w:ascii="Book Antiqua" w:hAnsi="Book Antiqua" w:cs="Arial"/>
        </w:rPr>
        <w:t xml:space="preserve">  This means that even if the Appellant failed on the basis of a restrictive approach under Appendix FM-SE, the same could not necessarily be said if the position had been considered outside the Rules.  </w:t>
      </w:r>
    </w:p>
    <w:p w14:paraId="0FF915C6" w14:textId="77777777" w:rsidR="00DF4873" w:rsidRDefault="008513B2" w:rsidP="00B52A42">
      <w:pPr>
        <w:numPr>
          <w:ilvl w:val="0"/>
          <w:numId w:val="3"/>
        </w:numPr>
        <w:spacing w:before="240"/>
        <w:jc w:val="both"/>
        <w:rPr>
          <w:rFonts w:ascii="Book Antiqua" w:hAnsi="Book Antiqua" w:cs="Arial"/>
        </w:rPr>
      </w:pPr>
      <w:r>
        <w:rPr>
          <w:rFonts w:ascii="Book Antiqua" w:hAnsi="Book Antiqua" w:cs="Arial"/>
        </w:rPr>
        <w:t xml:space="preserve">The Supreme Court in </w:t>
      </w:r>
      <w:r w:rsidRPr="00F45DB0">
        <w:rPr>
          <w:rFonts w:ascii="Book Antiqua" w:hAnsi="Book Antiqua" w:cs="Arial"/>
          <w:b/>
          <w:u w:val="single"/>
        </w:rPr>
        <w:t>MM</w:t>
      </w:r>
      <w:r w:rsidRPr="00F45DB0">
        <w:rPr>
          <w:rFonts w:ascii="Book Antiqua" w:hAnsi="Book Antiqua" w:cs="Arial"/>
          <w:b/>
        </w:rPr>
        <w:t xml:space="preserve"> (Lebanon)</w:t>
      </w:r>
      <w:r>
        <w:rPr>
          <w:rFonts w:ascii="Book Antiqua" w:hAnsi="Book Antiqua" w:cs="Arial"/>
        </w:rPr>
        <w:t xml:space="preserve"> had gone on to say that taking the same restrictive approach would be </w:t>
      </w:r>
    </w:p>
    <w:p w14:paraId="61C505B9" w14:textId="77777777" w:rsidR="00DF4873" w:rsidRDefault="008513B2" w:rsidP="00DF4873">
      <w:pPr>
        <w:spacing w:before="240"/>
        <w:ind w:left="1134"/>
        <w:jc w:val="both"/>
        <w:rPr>
          <w:rFonts w:ascii="Book Antiqua" w:hAnsi="Book Antiqua" w:cs="Arial"/>
        </w:rPr>
      </w:pPr>
      <w:r>
        <w:rPr>
          <w:rFonts w:ascii="Book Antiqua" w:hAnsi="Book Antiqua" w:cs="Arial"/>
        </w:rPr>
        <w:t>“</w:t>
      </w:r>
      <w:r w:rsidR="00FA48A4">
        <w:rPr>
          <w:rFonts w:ascii="Book Antiqua" w:hAnsi="Book Antiqua" w:cs="Arial"/>
        </w:rPr>
        <w:t>I</w:t>
      </w:r>
      <w:r>
        <w:rPr>
          <w:rFonts w:ascii="Book Antiqua" w:hAnsi="Book Antiqua" w:cs="Arial"/>
        </w:rPr>
        <w:t xml:space="preserve">nconsistent with the character of evaluation which Article 8 requires.  As has been seen, avoiding a financial burden on the state can be relevant to the fair balance required by the Article.  But that judgement cannot properly be constrained by a rigid restriction in the Rules.  Certainly, nothing that is said in the instructions to case officers can prevent the Tribunal </w:t>
      </w:r>
      <w:r w:rsidR="004A434F">
        <w:rPr>
          <w:rFonts w:ascii="Book Antiqua" w:hAnsi="Book Antiqua" w:cs="Arial"/>
        </w:rPr>
        <w:t xml:space="preserve">on appeal </w:t>
      </w:r>
      <w:r w:rsidR="00747A1D">
        <w:rPr>
          <w:rFonts w:ascii="Book Antiqua" w:hAnsi="Book Antiqua" w:cs="Arial"/>
        </w:rPr>
        <w:t>from looking at the matter more broadly”.</w:t>
      </w:r>
    </w:p>
    <w:p w14:paraId="5E797E45" w14:textId="77777777" w:rsidR="009F518E" w:rsidRPr="00DF4873" w:rsidRDefault="009F518E" w:rsidP="00DF4873">
      <w:pPr>
        <w:spacing w:before="240"/>
        <w:jc w:val="both"/>
        <w:rPr>
          <w:rFonts w:ascii="Book Antiqua" w:hAnsi="Book Antiqua" w:cs="Arial"/>
        </w:rPr>
      </w:pPr>
      <w:r w:rsidRPr="00DF4873">
        <w:rPr>
          <w:rFonts w:ascii="Book Antiqua" w:hAnsi="Book Antiqua" w:cs="Arial"/>
          <w:b/>
          <w:u w:val="single"/>
        </w:rPr>
        <w:t>Decision</w:t>
      </w:r>
    </w:p>
    <w:p w14:paraId="75EE04C4" w14:textId="77777777" w:rsidR="009F518E" w:rsidRPr="009F518E" w:rsidRDefault="009F518E" w:rsidP="009F518E">
      <w:pPr>
        <w:jc w:val="both"/>
        <w:rPr>
          <w:rFonts w:ascii="Book Antiqua" w:hAnsi="Book Antiqua" w:cs="Arial"/>
        </w:rPr>
      </w:pPr>
    </w:p>
    <w:p w14:paraId="4739BC07" w14:textId="77777777" w:rsidR="009F518E" w:rsidRPr="009F518E" w:rsidRDefault="009F518E" w:rsidP="009F518E">
      <w:pPr>
        <w:jc w:val="both"/>
        <w:rPr>
          <w:rFonts w:ascii="Book Antiqua" w:hAnsi="Book Antiqua" w:cs="Arial"/>
        </w:rPr>
      </w:pPr>
      <w:r w:rsidRPr="009F518E">
        <w:rPr>
          <w:rFonts w:ascii="Book Antiqua" w:hAnsi="Book Antiqua" w:cs="Arial"/>
        </w:rPr>
        <w:t>The</w:t>
      </w:r>
      <w:r w:rsidR="00DF4873">
        <w:rPr>
          <w:rFonts w:ascii="Book Antiqua" w:hAnsi="Book Antiqua" w:cs="Arial"/>
        </w:rPr>
        <w:t xml:space="preserve"> decision of the First-tier Tribunal involved the making of an error of law such that it falls to be set aside.  I set aside the decision of the original judge.  I remake the decision as follows.  This appeal is remitted back to the First-tier Tribunal, to be determined by a judge </w:t>
      </w:r>
      <w:r w:rsidR="00DF4873">
        <w:rPr>
          <w:rFonts w:ascii="Book Antiqua" w:hAnsi="Book Antiqua" w:cs="Arial"/>
        </w:rPr>
        <w:lastRenderedPageBreak/>
        <w:t>other than Judge Morris, pursuant to Practice Statement 7.2(a) for the reasons that I have given above.</w:t>
      </w:r>
    </w:p>
    <w:p w14:paraId="0CEF36E2" w14:textId="77777777" w:rsidR="009F518E" w:rsidRPr="009F518E" w:rsidRDefault="009F518E" w:rsidP="009F518E">
      <w:pPr>
        <w:jc w:val="both"/>
        <w:rPr>
          <w:rFonts w:ascii="Book Antiqua" w:hAnsi="Book Antiqua" w:cs="Arial"/>
        </w:rPr>
      </w:pPr>
    </w:p>
    <w:p w14:paraId="50192383" w14:textId="77777777"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4F7864">
        <w:rPr>
          <w:rFonts w:ascii="Book Antiqua" w:hAnsi="Book Antiqua" w:cs="Arial"/>
        </w:rPr>
        <w:t>direction</w:t>
      </w:r>
      <w:r w:rsidR="003D20D0">
        <w:rPr>
          <w:rFonts w:ascii="Book Antiqua" w:hAnsi="Book Antiqua" w:cs="Arial"/>
        </w:rPr>
        <w:t xml:space="preserve"> </w:t>
      </w:r>
      <w:r w:rsidRPr="009F518E">
        <w:rPr>
          <w:rFonts w:ascii="Book Antiqua" w:hAnsi="Book Antiqua" w:cs="Arial"/>
        </w:rPr>
        <w:t>is made.</w:t>
      </w:r>
    </w:p>
    <w:p w14:paraId="6F744742" w14:textId="77777777" w:rsidR="009F518E" w:rsidRPr="009F518E" w:rsidRDefault="009F518E" w:rsidP="009F518E">
      <w:pPr>
        <w:jc w:val="both"/>
        <w:rPr>
          <w:rFonts w:ascii="Book Antiqua" w:hAnsi="Book Antiqua" w:cs="Arial"/>
        </w:rPr>
      </w:pPr>
    </w:p>
    <w:p w14:paraId="5ADE93AE" w14:textId="77777777" w:rsidR="000369F5" w:rsidRPr="00F5664C" w:rsidRDefault="000369F5" w:rsidP="000369F5">
      <w:pPr>
        <w:tabs>
          <w:tab w:val="left" w:pos="2520"/>
        </w:tabs>
        <w:jc w:val="both"/>
        <w:rPr>
          <w:rFonts w:ascii="Book Antiqua" w:hAnsi="Book Antiqua" w:cs="Arial"/>
        </w:rPr>
      </w:pPr>
    </w:p>
    <w:p w14:paraId="27D458D9" w14:textId="77777777" w:rsidR="000369F5" w:rsidRPr="00F5664C" w:rsidRDefault="000369F5" w:rsidP="000369F5">
      <w:pPr>
        <w:tabs>
          <w:tab w:val="left" w:pos="2520"/>
        </w:tabs>
        <w:jc w:val="both"/>
        <w:rPr>
          <w:rFonts w:ascii="Book Antiqua" w:hAnsi="Book Antiqua" w:cs="Arial"/>
        </w:rPr>
      </w:pPr>
    </w:p>
    <w:p w14:paraId="1861401F" w14:textId="77777777" w:rsidR="00B979E0" w:rsidRDefault="00B979E0" w:rsidP="000369F5">
      <w:pPr>
        <w:tabs>
          <w:tab w:val="left" w:pos="2520"/>
        </w:tabs>
        <w:jc w:val="both"/>
        <w:rPr>
          <w:rFonts w:ascii="Book Antiqua" w:hAnsi="Book Antiqua" w:cs="Arial"/>
        </w:rPr>
      </w:pPr>
    </w:p>
    <w:p w14:paraId="65E59D15"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F4873">
        <w:rPr>
          <w:rFonts w:ascii="Book Antiqua" w:hAnsi="Book Antiqua" w:cs="Arial"/>
        </w:rPr>
        <w:t>d</w:t>
      </w:r>
    </w:p>
    <w:p w14:paraId="34C814D5"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0B30DA">
        <w:rPr>
          <w:rFonts w:ascii="Book Antiqua" w:hAnsi="Book Antiqua" w:cs="Arial"/>
        </w:rPr>
        <w:tab/>
      </w:r>
      <w:r w:rsidR="000B30DA">
        <w:rPr>
          <w:rFonts w:ascii="Book Antiqua" w:hAnsi="Book Antiqua" w:cs="Arial"/>
        </w:rPr>
        <w:tab/>
      </w:r>
      <w:r w:rsidR="000B30DA">
        <w:rPr>
          <w:rFonts w:ascii="Book Antiqua" w:hAnsi="Book Antiqua" w:cs="Arial"/>
        </w:rPr>
        <w:tab/>
      </w:r>
      <w:r w:rsidR="000B30DA">
        <w:rPr>
          <w:rFonts w:ascii="Book Antiqua" w:hAnsi="Book Antiqua" w:cs="Arial"/>
        </w:rPr>
        <w:tab/>
        <w:t>3</w:t>
      </w:r>
      <w:r w:rsidR="000B30DA" w:rsidRPr="000B30DA">
        <w:rPr>
          <w:rFonts w:ascii="Book Antiqua" w:hAnsi="Book Antiqua" w:cs="Arial"/>
          <w:vertAlign w:val="superscript"/>
        </w:rPr>
        <w:t>rd</w:t>
      </w:r>
      <w:r w:rsidR="000B30DA">
        <w:rPr>
          <w:rFonts w:ascii="Book Antiqua" w:hAnsi="Book Antiqua" w:cs="Arial"/>
        </w:rPr>
        <w:t xml:space="preserve"> August 2018 </w:t>
      </w:r>
    </w:p>
    <w:p w14:paraId="7AD3FFEC" w14:textId="77777777" w:rsidR="00B979E0" w:rsidRPr="00F5664C" w:rsidRDefault="00B979E0" w:rsidP="000369F5">
      <w:pPr>
        <w:tabs>
          <w:tab w:val="left" w:pos="2520"/>
        </w:tabs>
        <w:jc w:val="both"/>
        <w:rPr>
          <w:rFonts w:ascii="Book Antiqua" w:hAnsi="Book Antiqua" w:cs="Arial"/>
        </w:rPr>
        <w:sectPr w:rsidR="00B979E0" w:rsidRPr="00F5664C" w:rsidSect="00F644E2">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p>
    <w:p w14:paraId="320E0B0E" w14:textId="77777777" w:rsidR="005B7789" w:rsidRPr="00F5664C" w:rsidRDefault="005B7789" w:rsidP="005B7789">
      <w:pPr>
        <w:tabs>
          <w:tab w:val="left" w:pos="2520"/>
        </w:tabs>
        <w:ind w:left="540" w:hanging="540"/>
        <w:jc w:val="both"/>
        <w:rPr>
          <w:rFonts w:ascii="Book Antiqua" w:hAnsi="Book Antiqua" w:cs="Arial"/>
        </w:rPr>
      </w:pPr>
    </w:p>
    <w:p w14:paraId="5FCAD78C" w14:textId="77777777" w:rsidR="005B7789" w:rsidRPr="00F5664C" w:rsidRDefault="005B7789" w:rsidP="000369F5">
      <w:pPr>
        <w:tabs>
          <w:tab w:val="left" w:pos="2520"/>
        </w:tabs>
        <w:jc w:val="both"/>
        <w:rPr>
          <w:rFonts w:ascii="Book Antiqua" w:hAnsi="Book Antiqua" w:cs="Arial"/>
        </w:rPr>
      </w:pPr>
    </w:p>
    <w:sectPr w:rsidR="005B7789" w:rsidRPr="00F5664C" w:rsidSect="00B979E0">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B4191" w14:textId="77777777" w:rsidR="00264A7A" w:rsidRDefault="00264A7A">
      <w:r>
        <w:separator/>
      </w:r>
    </w:p>
  </w:endnote>
  <w:endnote w:type="continuationSeparator" w:id="0">
    <w:p w14:paraId="0EB50340" w14:textId="77777777" w:rsidR="00264A7A" w:rsidRDefault="0026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51CA2" w14:textId="35BA859F" w:rsidR="00CF253F" w:rsidRPr="007C1A35" w:rsidRDefault="00CF253F" w:rsidP="00593795">
    <w:pPr>
      <w:pStyle w:val="Footer"/>
      <w:jc w:val="center"/>
      <w:rPr>
        <w:rFonts w:ascii="Book Antiqua" w:hAnsi="Book Antiqua" w:cs="Arial"/>
      </w:rPr>
    </w:pPr>
    <w:r w:rsidRPr="007C1A35">
      <w:rPr>
        <w:rStyle w:val="PageNumber"/>
        <w:rFonts w:ascii="Book Antiqua" w:hAnsi="Book Antiqua" w:cs="Arial"/>
      </w:rPr>
      <w:fldChar w:fldCharType="begin"/>
    </w:r>
    <w:r w:rsidRPr="007C1A35">
      <w:rPr>
        <w:rStyle w:val="PageNumber"/>
        <w:rFonts w:ascii="Book Antiqua" w:hAnsi="Book Antiqua" w:cs="Arial"/>
      </w:rPr>
      <w:instrText xml:space="preserve"> PAGE </w:instrText>
    </w:r>
    <w:r w:rsidRPr="007C1A35">
      <w:rPr>
        <w:rStyle w:val="PageNumber"/>
        <w:rFonts w:ascii="Book Antiqua" w:hAnsi="Book Antiqua" w:cs="Arial"/>
      </w:rPr>
      <w:fldChar w:fldCharType="separate"/>
    </w:r>
    <w:r w:rsidR="009D337B">
      <w:rPr>
        <w:rStyle w:val="PageNumber"/>
        <w:rFonts w:ascii="Book Antiqua" w:hAnsi="Book Antiqua" w:cs="Arial"/>
        <w:noProof/>
      </w:rPr>
      <w:t>4</w:t>
    </w:r>
    <w:r w:rsidRPr="007C1A3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E9112"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DDF2" w14:textId="77777777" w:rsidR="00264A7A" w:rsidRDefault="00264A7A">
      <w:r>
        <w:separator/>
      </w:r>
    </w:p>
  </w:footnote>
  <w:footnote w:type="continuationSeparator" w:id="0">
    <w:p w14:paraId="4A5E314A" w14:textId="77777777" w:rsidR="00264A7A" w:rsidRDefault="00264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36AA" w14:textId="1F1924DC"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D5BDD">
      <w:rPr>
        <w:rFonts w:ascii="Book Antiqua" w:hAnsi="Book Antiqua" w:cs="Arial"/>
        <w:sz w:val="16"/>
        <w:szCs w:val="16"/>
      </w:rPr>
      <w:t>HU/27094/2016</w:t>
    </w:r>
  </w:p>
  <w:p w14:paraId="22A7CC4A" w14:textId="77777777" w:rsidR="007C1A35" w:rsidRPr="00F5664C" w:rsidRDefault="007C1A3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E99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DD"/>
    <w:rsid w:val="00000621"/>
    <w:rsid w:val="000036C2"/>
    <w:rsid w:val="00033678"/>
    <w:rsid w:val="00033D3D"/>
    <w:rsid w:val="000369F5"/>
    <w:rsid w:val="00071A7E"/>
    <w:rsid w:val="000746C0"/>
    <w:rsid w:val="00074D1D"/>
    <w:rsid w:val="00077227"/>
    <w:rsid w:val="00092580"/>
    <w:rsid w:val="000A5ADA"/>
    <w:rsid w:val="000B30DA"/>
    <w:rsid w:val="000C2F05"/>
    <w:rsid w:val="000D01C9"/>
    <w:rsid w:val="000D5D94"/>
    <w:rsid w:val="000E0CD7"/>
    <w:rsid w:val="00114F8B"/>
    <w:rsid w:val="001165A7"/>
    <w:rsid w:val="00151BB7"/>
    <w:rsid w:val="00167D3A"/>
    <w:rsid w:val="00172A08"/>
    <w:rsid w:val="001A1E2C"/>
    <w:rsid w:val="001E6D6D"/>
    <w:rsid w:val="001F2716"/>
    <w:rsid w:val="0020133A"/>
    <w:rsid w:val="0020397F"/>
    <w:rsid w:val="00207617"/>
    <w:rsid w:val="002171E1"/>
    <w:rsid w:val="00255071"/>
    <w:rsid w:val="00264A7A"/>
    <w:rsid w:val="00273F79"/>
    <w:rsid w:val="00283659"/>
    <w:rsid w:val="002A6069"/>
    <w:rsid w:val="002C4E73"/>
    <w:rsid w:val="002D5A7F"/>
    <w:rsid w:val="002D68BF"/>
    <w:rsid w:val="002E75DE"/>
    <w:rsid w:val="0030070F"/>
    <w:rsid w:val="0033305C"/>
    <w:rsid w:val="00336CBF"/>
    <w:rsid w:val="003546C8"/>
    <w:rsid w:val="00375F91"/>
    <w:rsid w:val="003A7CF2"/>
    <w:rsid w:val="003C5CE5"/>
    <w:rsid w:val="003D20D0"/>
    <w:rsid w:val="003E267B"/>
    <w:rsid w:val="003E7CD1"/>
    <w:rsid w:val="00402B9E"/>
    <w:rsid w:val="004061C2"/>
    <w:rsid w:val="0041360E"/>
    <w:rsid w:val="00423932"/>
    <w:rsid w:val="004249CB"/>
    <w:rsid w:val="0044127D"/>
    <w:rsid w:val="004448DB"/>
    <w:rsid w:val="00446C9A"/>
    <w:rsid w:val="00477193"/>
    <w:rsid w:val="004A1848"/>
    <w:rsid w:val="004A434F"/>
    <w:rsid w:val="004F7864"/>
    <w:rsid w:val="00507FEC"/>
    <w:rsid w:val="00510F0E"/>
    <w:rsid w:val="00530B04"/>
    <w:rsid w:val="00532E7D"/>
    <w:rsid w:val="00542DB1"/>
    <w:rsid w:val="005479E1"/>
    <w:rsid w:val="005570FD"/>
    <w:rsid w:val="005575EA"/>
    <w:rsid w:val="0057790C"/>
    <w:rsid w:val="00593795"/>
    <w:rsid w:val="005A75FF"/>
    <w:rsid w:val="005B7789"/>
    <w:rsid w:val="0065791C"/>
    <w:rsid w:val="006803E1"/>
    <w:rsid w:val="00690B8A"/>
    <w:rsid w:val="006A0EDA"/>
    <w:rsid w:val="006D1DFA"/>
    <w:rsid w:val="006D506B"/>
    <w:rsid w:val="006E3C90"/>
    <w:rsid w:val="006F7A4D"/>
    <w:rsid w:val="00704B61"/>
    <w:rsid w:val="00707DB1"/>
    <w:rsid w:val="0071592F"/>
    <w:rsid w:val="00730279"/>
    <w:rsid w:val="007353BB"/>
    <w:rsid w:val="00742A8D"/>
    <w:rsid w:val="00747A1D"/>
    <w:rsid w:val="007552A9"/>
    <w:rsid w:val="00761858"/>
    <w:rsid w:val="00767D59"/>
    <w:rsid w:val="00776E97"/>
    <w:rsid w:val="00780FD7"/>
    <w:rsid w:val="0078703A"/>
    <w:rsid w:val="007912AD"/>
    <w:rsid w:val="007A1F28"/>
    <w:rsid w:val="007B0824"/>
    <w:rsid w:val="007C1A35"/>
    <w:rsid w:val="007D43F8"/>
    <w:rsid w:val="007E3F09"/>
    <w:rsid w:val="008303B8"/>
    <w:rsid w:val="00833DCE"/>
    <w:rsid w:val="00842418"/>
    <w:rsid w:val="008513B2"/>
    <w:rsid w:val="008533CF"/>
    <w:rsid w:val="008634DB"/>
    <w:rsid w:val="00871D34"/>
    <w:rsid w:val="008839DB"/>
    <w:rsid w:val="008B270C"/>
    <w:rsid w:val="008C3D3D"/>
    <w:rsid w:val="008D4131"/>
    <w:rsid w:val="008F1932"/>
    <w:rsid w:val="008F294D"/>
    <w:rsid w:val="00921062"/>
    <w:rsid w:val="0092618D"/>
    <w:rsid w:val="0093083E"/>
    <w:rsid w:val="0093333B"/>
    <w:rsid w:val="00966ECF"/>
    <w:rsid w:val="009727A3"/>
    <w:rsid w:val="00987774"/>
    <w:rsid w:val="009A11E8"/>
    <w:rsid w:val="009B466A"/>
    <w:rsid w:val="009D337B"/>
    <w:rsid w:val="009E4E62"/>
    <w:rsid w:val="009F518E"/>
    <w:rsid w:val="009F5220"/>
    <w:rsid w:val="009F7C4D"/>
    <w:rsid w:val="00A15234"/>
    <w:rsid w:val="00A201AB"/>
    <w:rsid w:val="00A31C8B"/>
    <w:rsid w:val="00A357D4"/>
    <w:rsid w:val="00A75965"/>
    <w:rsid w:val="00A845DC"/>
    <w:rsid w:val="00A97AEE"/>
    <w:rsid w:val="00AC5CF6"/>
    <w:rsid w:val="00B144FA"/>
    <w:rsid w:val="00B16F58"/>
    <w:rsid w:val="00B30648"/>
    <w:rsid w:val="00B3524D"/>
    <w:rsid w:val="00B35AF6"/>
    <w:rsid w:val="00B40F69"/>
    <w:rsid w:val="00B41AEE"/>
    <w:rsid w:val="00B46616"/>
    <w:rsid w:val="00B52A42"/>
    <w:rsid w:val="00B610E3"/>
    <w:rsid w:val="00B61205"/>
    <w:rsid w:val="00B617C4"/>
    <w:rsid w:val="00B626FA"/>
    <w:rsid w:val="00B7040A"/>
    <w:rsid w:val="00B96FA0"/>
    <w:rsid w:val="00B979E0"/>
    <w:rsid w:val="00BA7E01"/>
    <w:rsid w:val="00BC42D3"/>
    <w:rsid w:val="00BD4196"/>
    <w:rsid w:val="00BD5BDD"/>
    <w:rsid w:val="00BF22CA"/>
    <w:rsid w:val="00C26032"/>
    <w:rsid w:val="00C265B0"/>
    <w:rsid w:val="00C321B5"/>
    <w:rsid w:val="00C345E1"/>
    <w:rsid w:val="00C36A07"/>
    <w:rsid w:val="00C56D37"/>
    <w:rsid w:val="00C835C4"/>
    <w:rsid w:val="00C977BA"/>
    <w:rsid w:val="00CB6E35"/>
    <w:rsid w:val="00CE1A46"/>
    <w:rsid w:val="00CE26B2"/>
    <w:rsid w:val="00CE6AFA"/>
    <w:rsid w:val="00CF01A8"/>
    <w:rsid w:val="00CF253F"/>
    <w:rsid w:val="00CF56B4"/>
    <w:rsid w:val="00D00B83"/>
    <w:rsid w:val="00D154A6"/>
    <w:rsid w:val="00D20F09"/>
    <w:rsid w:val="00D22636"/>
    <w:rsid w:val="00D22FA8"/>
    <w:rsid w:val="00D24A9C"/>
    <w:rsid w:val="00D40FD9"/>
    <w:rsid w:val="00D53769"/>
    <w:rsid w:val="00D54538"/>
    <w:rsid w:val="00D562ED"/>
    <w:rsid w:val="00D63446"/>
    <w:rsid w:val="00D647F9"/>
    <w:rsid w:val="00D65912"/>
    <w:rsid w:val="00D833A3"/>
    <w:rsid w:val="00D85C13"/>
    <w:rsid w:val="00D91BE3"/>
    <w:rsid w:val="00D94AFC"/>
    <w:rsid w:val="00DB70AE"/>
    <w:rsid w:val="00DB7231"/>
    <w:rsid w:val="00DD5071"/>
    <w:rsid w:val="00DD5C39"/>
    <w:rsid w:val="00DE26AF"/>
    <w:rsid w:val="00DE7DB7"/>
    <w:rsid w:val="00DF4873"/>
    <w:rsid w:val="00E00A0A"/>
    <w:rsid w:val="00E07F57"/>
    <w:rsid w:val="00E1040E"/>
    <w:rsid w:val="00E50BCE"/>
    <w:rsid w:val="00E61292"/>
    <w:rsid w:val="00E76309"/>
    <w:rsid w:val="00E77C4D"/>
    <w:rsid w:val="00E81D01"/>
    <w:rsid w:val="00EA161D"/>
    <w:rsid w:val="00EE45D8"/>
    <w:rsid w:val="00EF0617"/>
    <w:rsid w:val="00F004CD"/>
    <w:rsid w:val="00F22A22"/>
    <w:rsid w:val="00F22EDA"/>
    <w:rsid w:val="00F3224D"/>
    <w:rsid w:val="00F331F4"/>
    <w:rsid w:val="00F33E0E"/>
    <w:rsid w:val="00F40707"/>
    <w:rsid w:val="00F45DB0"/>
    <w:rsid w:val="00F53574"/>
    <w:rsid w:val="00F541B5"/>
    <w:rsid w:val="00F5664C"/>
    <w:rsid w:val="00F644E2"/>
    <w:rsid w:val="00FA48A4"/>
    <w:rsid w:val="00FB7E80"/>
    <w:rsid w:val="00FD4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4A37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1804</Words>
  <Characters>8893</Characters>
  <Application>Microsoft Office Word</Application>
  <DocSecurity>0</DocSecurity>
  <Lines>74</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2018-08-23T16:24:00Z</dcterms:created>
  <dcterms:modified xsi:type="dcterms:W3CDTF">2018-08-23T16:24:00Z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