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001C5" w:rsidP="00643BFC">
      <w:pPr>
        <w:jc w:val="center"/>
        <w:rPr>
          <w:rFonts w:ascii="Book Antiqua" w:hAnsi="Book Antiqua" w:cs="Arial"/>
          <w:caps/>
          <w:color w:val="000000"/>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D14ED3">
        <w:rPr>
          <w:rFonts w:ascii="Book Antiqua" w:hAnsi="Book Antiqua" w:cs="Arial"/>
          <w:caps/>
          <w:color w:val="000000"/>
        </w:rPr>
        <w:t>hu/27159/2016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D14ED3">
              <w:rPr>
                <w:rFonts w:ascii="Book Antiqua" w:hAnsi="Book Antiqua" w:cs="Arial"/>
                <w:b/>
              </w:rPr>
              <w:t>Field House</w:t>
            </w:r>
          </w:p>
        </w:tc>
        <w:tc>
          <w:tcPr>
            <w:tcW w:w="3960" w:type="dxa"/>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D14ED3">
              <w:rPr>
                <w:rFonts w:ascii="Book Antiqua" w:hAnsi="Book Antiqua" w:cs="Arial"/>
                <w:b/>
              </w:rPr>
              <w:t>2 August 2018</w:t>
            </w:r>
          </w:p>
        </w:tc>
        <w:tc>
          <w:tcPr>
            <w:tcW w:w="3960" w:type="dxa"/>
          </w:tcPr>
          <w:p w:rsidR="00D22636" w:rsidRPr="000704BB" w:rsidRDefault="00394363" w:rsidP="004A1848">
            <w:pPr>
              <w:jc w:val="both"/>
              <w:rPr>
                <w:rFonts w:ascii="Book Antiqua" w:hAnsi="Book Antiqua" w:cs="Arial"/>
                <w:b/>
              </w:rPr>
            </w:pPr>
            <w:r>
              <w:rPr>
                <w:rFonts w:ascii="Book Antiqua" w:hAnsi="Book Antiqua" w:cs="Arial"/>
                <w:b/>
              </w:rPr>
              <w:t>On 11 September 2018</w:t>
            </w:r>
          </w:p>
        </w:tc>
      </w:tr>
      <w:tr w:rsidR="00D22636" w:rsidRPr="000704BB" w:rsidTr="000B0A3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Default="00A845DC" w:rsidP="00A15234">
      <w:pPr>
        <w:jc w:val="center"/>
        <w:rPr>
          <w:rFonts w:ascii="Book Antiqua" w:hAnsi="Book Antiqua" w:cs="Arial"/>
          <w:b/>
        </w:rPr>
      </w:pPr>
    </w:p>
    <w:p w:rsidR="00A80DD3" w:rsidRPr="000704BB" w:rsidRDefault="00DA6971" w:rsidP="00A15234">
      <w:pPr>
        <w:jc w:val="center"/>
        <w:rPr>
          <w:rFonts w:ascii="Book Antiqua" w:hAnsi="Book Antiqua" w:cs="Arial"/>
          <w:b/>
        </w:rPr>
      </w:pPr>
      <w:r>
        <w:rPr>
          <w:rFonts w:ascii="Book Antiqua" w:hAnsi="Book Antiqua" w:cs="Arial"/>
          <w:b/>
        </w:rPr>
        <w:t>ENTRY CLEARANCE OFFICER - PRETORIA</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A80DD3" w:rsidRDefault="00E001C5" w:rsidP="00A80DD3">
      <w:pPr>
        <w:jc w:val="center"/>
        <w:rPr>
          <w:rFonts w:ascii="Book Antiqua" w:hAnsi="Book Antiqua" w:cs="Arial"/>
          <w:b/>
          <w:caps/>
        </w:rPr>
      </w:pPr>
      <w:r>
        <w:rPr>
          <w:rFonts w:ascii="Book Antiqua" w:hAnsi="Book Antiqua" w:cs="Arial"/>
          <w:b/>
          <w:caps/>
        </w:rPr>
        <w:t xml:space="preserve">mrs </w:t>
      </w:r>
      <w:r w:rsidR="00A80DD3" w:rsidRPr="00D14ED3">
        <w:rPr>
          <w:rFonts w:ascii="Book Antiqua" w:hAnsi="Book Antiqua" w:cs="Arial"/>
          <w:b/>
          <w:caps/>
        </w:rPr>
        <w:t>Nimco Deeq</w:t>
      </w:r>
      <w:r w:rsidR="00A80DD3">
        <w:rPr>
          <w:rFonts w:ascii="Book Antiqua" w:hAnsi="Book Antiqua" w:cs="Arial"/>
          <w:b/>
          <w:caps/>
        </w:rPr>
        <w:t xml:space="preserve"> </w:t>
      </w:r>
      <w:r w:rsidR="00A80DD3" w:rsidRPr="00D14ED3">
        <w:rPr>
          <w:rFonts w:ascii="Book Antiqua" w:hAnsi="Book Antiqua" w:cs="Arial"/>
          <w:b/>
          <w:caps/>
        </w:rPr>
        <w:t>Ayah</w:t>
      </w:r>
    </w:p>
    <w:p w:rsidR="00A80DD3" w:rsidRPr="002748AC" w:rsidRDefault="00A80DD3" w:rsidP="00A80DD3">
      <w:pPr>
        <w:jc w:val="center"/>
        <w:rPr>
          <w:rFonts w:ascii="Book Antiqua" w:hAnsi="Book Antiqua" w:cs="Arial"/>
          <w:b/>
          <w:caps/>
          <w:sz w:val="22"/>
        </w:rPr>
      </w:pPr>
      <w:r w:rsidRPr="002748AC">
        <w:rPr>
          <w:rFonts w:ascii="Book Antiqua" w:hAnsi="Book Antiqua" w:cs="Arial"/>
          <w:b/>
          <w:caps/>
          <w:sz w:val="22"/>
        </w:rPr>
        <w:t xml:space="preserve">(ANONYMITY DIRECTION </w:t>
      </w:r>
      <w:r w:rsidR="00A345C8" w:rsidRPr="002748AC">
        <w:rPr>
          <w:rFonts w:ascii="Book Antiqua" w:hAnsi="Book Antiqua" w:cs="Arial"/>
          <w:b/>
          <w:caps/>
          <w:sz w:val="22"/>
        </w:rPr>
        <w:t>not made</w:t>
      </w:r>
      <w:r w:rsidRPr="002748AC">
        <w:rPr>
          <w:rFonts w:ascii="Book Antiqua" w:hAnsi="Book Antiqua" w:cs="Arial"/>
          <w:b/>
          <w:caps/>
          <w:sz w:val="22"/>
        </w:rPr>
        <w: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2748AC">
      <w:pPr>
        <w:tabs>
          <w:tab w:val="left" w:pos="2552"/>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A80DD3">
        <w:rPr>
          <w:rFonts w:ascii="Book Antiqua" w:hAnsi="Book Antiqua" w:cs="Arial"/>
        </w:rPr>
        <w:t xml:space="preserve">Mr A </w:t>
      </w:r>
      <w:proofErr w:type="spellStart"/>
      <w:r w:rsidR="00A80DD3">
        <w:rPr>
          <w:rFonts w:ascii="Book Antiqua" w:hAnsi="Book Antiqua" w:cs="Arial"/>
        </w:rPr>
        <w:t>McVeety</w:t>
      </w:r>
      <w:proofErr w:type="spellEnd"/>
      <w:r w:rsidR="00E001C5">
        <w:rPr>
          <w:rFonts w:ascii="Book Antiqua" w:hAnsi="Book Antiqua" w:cs="Arial"/>
        </w:rPr>
        <w:t>, Senior</w:t>
      </w:r>
      <w:r w:rsidR="00A80DD3">
        <w:rPr>
          <w:rFonts w:ascii="Book Antiqua" w:hAnsi="Book Antiqua" w:cs="Arial"/>
        </w:rPr>
        <w:t xml:space="preserve"> Presenting Officer</w:t>
      </w:r>
    </w:p>
    <w:p w:rsidR="00DE7DB7" w:rsidRPr="000704BB" w:rsidRDefault="00DE7DB7" w:rsidP="002748AC">
      <w:pPr>
        <w:ind w:left="2552" w:hanging="2552"/>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A80DD3">
        <w:rPr>
          <w:rFonts w:ascii="Book Antiqua" w:hAnsi="Book Antiqua" w:cs="Arial"/>
        </w:rPr>
        <w:t>Mr C Yacoobali, Legal Representa</w:t>
      </w:r>
      <w:r w:rsidR="00E001C5">
        <w:rPr>
          <w:rFonts w:ascii="Book Antiqua" w:hAnsi="Book Antiqua" w:cs="Arial"/>
        </w:rPr>
        <w:t xml:space="preserve">tive from </w:t>
      </w:r>
      <w:r w:rsidR="00530548">
        <w:rPr>
          <w:rFonts w:ascii="Book Antiqua" w:hAnsi="Book Antiqua" w:cs="Arial"/>
        </w:rPr>
        <w:t>North Kensington Legal</w:t>
      </w:r>
      <w:r w:rsidR="00A80DD3">
        <w:rPr>
          <w:rFonts w:ascii="Book Antiqua" w:hAnsi="Book Antiqua" w:cs="Arial"/>
        </w:rPr>
        <w:t xml:space="preserve"> Centre</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0B0A3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E001C5">
        <w:rPr>
          <w:rFonts w:ascii="Book Antiqua" w:hAnsi="Book Antiqua" w:cs="Arial"/>
        </w:rPr>
        <w:t xml:space="preserve">In this decision the Appellant is referred to as </w:t>
      </w:r>
      <w:r w:rsidR="00DA6971">
        <w:rPr>
          <w:rFonts w:ascii="Book Antiqua" w:hAnsi="Book Antiqua" w:cs="Arial"/>
        </w:rPr>
        <w:t>“</w:t>
      </w:r>
      <w:r w:rsidR="00E001C5">
        <w:rPr>
          <w:rFonts w:ascii="Book Antiqua" w:hAnsi="Book Antiqua" w:cs="Arial"/>
        </w:rPr>
        <w:t xml:space="preserve">the </w:t>
      </w:r>
      <w:r w:rsidR="00DA6971">
        <w:rPr>
          <w:rFonts w:ascii="Book Antiqua" w:hAnsi="Book Antiqua" w:cs="Arial"/>
        </w:rPr>
        <w:t>Entry Clearance Officer”</w:t>
      </w:r>
      <w:r w:rsidR="00C31035">
        <w:rPr>
          <w:rFonts w:ascii="Book Antiqua" w:hAnsi="Book Antiqua" w:cs="Arial"/>
        </w:rPr>
        <w:t xml:space="preserve"> </w:t>
      </w:r>
      <w:r w:rsidR="00E001C5">
        <w:rPr>
          <w:rFonts w:ascii="Book Antiqua" w:hAnsi="Book Antiqua" w:cs="Arial"/>
        </w:rPr>
        <w:t>and the Respondent is referred to as</w:t>
      </w:r>
      <w:r w:rsidR="00DA6971">
        <w:rPr>
          <w:rFonts w:ascii="Book Antiqua" w:hAnsi="Book Antiqua" w:cs="Arial"/>
        </w:rPr>
        <w:t xml:space="preserve"> “</w:t>
      </w:r>
      <w:r w:rsidR="00E001C5">
        <w:rPr>
          <w:rFonts w:ascii="Book Antiqua" w:hAnsi="Book Antiqua" w:cs="Arial"/>
        </w:rPr>
        <w:t>the Claimant</w:t>
      </w:r>
      <w:r w:rsidR="00DA6971">
        <w:rPr>
          <w:rFonts w:ascii="Book Antiqua" w:hAnsi="Book Antiqua" w:cs="Arial"/>
        </w:rPr>
        <w:t>”</w:t>
      </w:r>
      <w:r w:rsidR="00E001C5">
        <w:rPr>
          <w:rFonts w:ascii="Book Antiqua" w:hAnsi="Book Antiqua" w:cs="Arial"/>
        </w:rPr>
        <w:t>.</w:t>
      </w:r>
    </w:p>
    <w:p w:rsidR="002748AC" w:rsidRDefault="002748AC" w:rsidP="00F833AE">
      <w:pPr>
        <w:tabs>
          <w:tab w:val="left" w:pos="567"/>
        </w:tabs>
        <w:spacing w:line="360" w:lineRule="auto"/>
        <w:ind w:left="567" w:hanging="567"/>
        <w:jc w:val="both"/>
        <w:rPr>
          <w:rFonts w:ascii="Book Antiqua" w:hAnsi="Book Antiqua" w:cs="Arial"/>
        </w:rPr>
      </w:pPr>
    </w:p>
    <w:p w:rsidR="00726EF1" w:rsidRPr="008B5901" w:rsidRDefault="00726EF1" w:rsidP="00F833AE">
      <w:pPr>
        <w:tabs>
          <w:tab w:val="left" w:pos="567"/>
        </w:tabs>
        <w:spacing w:line="360" w:lineRule="auto"/>
        <w:ind w:left="567" w:hanging="567"/>
        <w:jc w:val="both"/>
        <w:rPr>
          <w:rFonts w:ascii="Book Antiqua" w:hAnsi="Book Antiqua" w:cs="Arial"/>
        </w:rPr>
      </w:pPr>
      <w:r w:rsidRPr="008B5901">
        <w:rPr>
          <w:rFonts w:ascii="Book Antiqua" w:hAnsi="Book Antiqua" w:cs="Arial"/>
        </w:rPr>
        <w:lastRenderedPageBreak/>
        <w:t>2.</w:t>
      </w:r>
      <w:r w:rsidRPr="008B5901">
        <w:rPr>
          <w:rFonts w:ascii="Book Antiqua" w:hAnsi="Book Antiqua" w:cs="Arial"/>
        </w:rPr>
        <w:tab/>
      </w:r>
      <w:r w:rsidR="00DA6971">
        <w:rPr>
          <w:rFonts w:ascii="Book Antiqua" w:hAnsi="Book Antiqua" w:cs="Arial"/>
        </w:rPr>
        <w:t xml:space="preserve">The Claimant </w:t>
      </w:r>
      <w:r>
        <w:rPr>
          <w:rFonts w:ascii="Book Antiqua" w:hAnsi="Book Antiqua" w:cs="Arial"/>
        </w:rPr>
        <w:t xml:space="preserve">a national of Somalia date of birth 25 August 1980 appealed against the ECO’s decision dated 2 April 2016 to refuse entry clearance for a visit visa for the purposes of the </w:t>
      </w:r>
      <w:r w:rsidR="00DA6971">
        <w:rPr>
          <w:rFonts w:ascii="Book Antiqua" w:hAnsi="Book Antiqua" w:cs="Arial"/>
        </w:rPr>
        <w:t xml:space="preserve">Claimant </w:t>
      </w:r>
      <w:r>
        <w:rPr>
          <w:rFonts w:ascii="Book Antiqua" w:hAnsi="Book Antiqua" w:cs="Arial"/>
        </w:rPr>
        <w:t>visiting her husband and two sons in the UK.  Because of the Appellate p</w:t>
      </w:r>
      <w:r w:rsidR="00DA6971">
        <w:rPr>
          <w:rFonts w:ascii="Book Antiqua" w:hAnsi="Book Antiqua" w:cs="Arial"/>
        </w:rPr>
        <w:t xml:space="preserve">rovisions the appeal proceeded as a </w:t>
      </w:r>
      <w:r>
        <w:rPr>
          <w:rFonts w:ascii="Book Antiqua" w:hAnsi="Book Antiqua" w:cs="Arial"/>
        </w:rPr>
        <w:t xml:space="preserve">human rights based appeal and part of the argument before the First-tier Tribunal Judge was that in fact the intentions of the </w:t>
      </w:r>
      <w:r w:rsidR="00DA6971">
        <w:rPr>
          <w:rFonts w:ascii="Book Antiqua" w:hAnsi="Book Antiqua" w:cs="Arial"/>
        </w:rPr>
        <w:t xml:space="preserve">Claimant </w:t>
      </w:r>
      <w:r>
        <w:rPr>
          <w:rFonts w:ascii="Book Antiqua" w:hAnsi="Book Antiqua" w:cs="Arial"/>
        </w:rPr>
        <w:t>were genuine in terms of coming to the UK</w:t>
      </w:r>
      <w:r w:rsidR="00A2421A">
        <w:rPr>
          <w:rFonts w:ascii="Book Antiqua" w:hAnsi="Book Antiqua" w:cs="Arial"/>
        </w:rPr>
        <w:t xml:space="preserve"> and leaving at the conclusion of her visit.  The matter before First-tier Tribunal Judge Talbot was argued with representation from both sides essentially supporting or opposing the ECO’s decision. </w:t>
      </w:r>
    </w:p>
    <w:p w:rsidR="00726EF1" w:rsidRPr="008B5901" w:rsidRDefault="00726EF1" w:rsidP="00F833AE">
      <w:pPr>
        <w:tabs>
          <w:tab w:val="left" w:pos="567"/>
        </w:tabs>
        <w:spacing w:line="360" w:lineRule="auto"/>
        <w:ind w:left="567" w:hanging="567"/>
        <w:jc w:val="both"/>
        <w:rPr>
          <w:rFonts w:ascii="Book Antiqua" w:hAnsi="Book Antiqua" w:cs="Arial"/>
        </w:rPr>
      </w:pPr>
    </w:p>
    <w:p w:rsidR="00726EF1" w:rsidRPr="008B5901" w:rsidRDefault="00726EF1" w:rsidP="00F833AE">
      <w:pPr>
        <w:tabs>
          <w:tab w:val="left" w:pos="567"/>
        </w:tabs>
        <w:spacing w:line="360" w:lineRule="auto"/>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A2421A">
        <w:rPr>
          <w:rFonts w:ascii="Book Antiqua" w:hAnsi="Book Antiqua" w:cs="Arial"/>
        </w:rPr>
        <w:t xml:space="preserve">The fact of the matter was there had been an earlier settlement application made by the </w:t>
      </w:r>
      <w:r w:rsidR="00DA6971">
        <w:rPr>
          <w:rFonts w:ascii="Book Antiqua" w:hAnsi="Book Antiqua" w:cs="Arial"/>
        </w:rPr>
        <w:t xml:space="preserve">Claimant </w:t>
      </w:r>
      <w:r w:rsidR="00A2421A">
        <w:rPr>
          <w:rFonts w:ascii="Book Antiqua" w:hAnsi="Book Antiqua" w:cs="Arial"/>
        </w:rPr>
        <w:t xml:space="preserve">which had failed and her appeal had been dismissed as long ago as September 2014.  It is clear that the ECO did not have confidence that the Claimant would leave at the end of her </w:t>
      </w:r>
      <w:r w:rsidR="00E83DE2">
        <w:rPr>
          <w:rFonts w:ascii="Book Antiqua" w:hAnsi="Book Antiqua" w:cs="Arial"/>
        </w:rPr>
        <w:t>visit to the UK and rather as</w:t>
      </w:r>
      <w:r w:rsidR="00A2421A">
        <w:rPr>
          <w:rFonts w:ascii="Book Antiqua" w:hAnsi="Book Antiqua" w:cs="Arial"/>
        </w:rPr>
        <w:t xml:space="preserve"> do the grounds suspected that this was simply a backdoor way of gaining entry to the UK from whence a settlement application of some sort or another would be made.</w:t>
      </w:r>
    </w:p>
    <w:p w:rsidR="00726EF1" w:rsidRPr="008B5901" w:rsidRDefault="00726EF1" w:rsidP="00F833AE">
      <w:pPr>
        <w:tabs>
          <w:tab w:val="left" w:pos="567"/>
        </w:tabs>
        <w:spacing w:line="360" w:lineRule="auto"/>
        <w:ind w:left="567" w:hanging="567"/>
        <w:jc w:val="both"/>
        <w:rPr>
          <w:rFonts w:ascii="Book Antiqua" w:hAnsi="Book Antiqua" w:cs="Arial"/>
        </w:rPr>
      </w:pPr>
    </w:p>
    <w:p w:rsidR="00A345C8" w:rsidRDefault="00726EF1" w:rsidP="00F833AE">
      <w:pPr>
        <w:tabs>
          <w:tab w:val="left" w:pos="567"/>
        </w:tabs>
        <w:spacing w:line="360" w:lineRule="auto"/>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A225A7">
        <w:rPr>
          <w:rFonts w:ascii="Book Antiqua" w:hAnsi="Book Antiqua" w:cs="Arial"/>
        </w:rPr>
        <w:t>The J</w:t>
      </w:r>
      <w:r w:rsidR="00A2421A">
        <w:rPr>
          <w:rFonts w:ascii="Book Antiqua" w:hAnsi="Book Antiqua" w:cs="Arial"/>
        </w:rPr>
        <w:t>udge took these matters entirely into account and addressed them with sufficient and adequate reasons and concluded that</w:t>
      </w:r>
      <w:r w:rsidR="00DA6971">
        <w:rPr>
          <w:rFonts w:ascii="Book Antiqua" w:hAnsi="Book Antiqua" w:cs="Arial"/>
        </w:rPr>
        <w:t>:-</w:t>
      </w:r>
    </w:p>
    <w:p w:rsidR="00A345C8" w:rsidRDefault="00A345C8" w:rsidP="00F833AE">
      <w:pPr>
        <w:tabs>
          <w:tab w:val="left" w:pos="567"/>
        </w:tabs>
        <w:spacing w:line="360" w:lineRule="auto"/>
        <w:ind w:left="567" w:hanging="567"/>
        <w:jc w:val="both"/>
        <w:rPr>
          <w:rFonts w:ascii="Book Antiqua" w:hAnsi="Book Antiqua" w:cs="Arial"/>
        </w:rPr>
      </w:pPr>
      <w:bookmarkStart w:id="0" w:name="_GoBack"/>
    </w:p>
    <w:p w:rsidR="00A345C8" w:rsidRDefault="00A345C8" w:rsidP="00F833AE">
      <w:pPr>
        <w:spacing w:line="360" w:lineRule="auto"/>
        <w:ind w:left="1134"/>
        <w:jc w:val="both"/>
        <w:rPr>
          <w:rFonts w:ascii="Book Antiqua" w:hAnsi="Book Antiqua" w:cs="Arial"/>
        </w:rPr>
      </w:pPr>
      <w:r>
        <w:rPr>
          <w:rFonts w:ascii="Book Antiqua" w:hAnsi="Book Antiqua" w:cs="Arial"/>
        </w:rPr>
        <w:tab/>
      </w:r>
      <w:r w:rsidR="00A2421A">
        <w:rPr>
          <w:rFonts w:ascii="Book Antiqua" w:hAnsi="Book Antiqua" w:cs="Arial"/>
        </w:rPr>
        <w:t>“…the Appellant and Sponsor see this as a chance for the Appellant to see her husband and children for a temporary period of a few months and</w:t>
      </w:r>
      <w:r w:rsidR="00E37391">
        <w:rPr>
          <w:rFonts w:ascii="Book Antiqua" w:hAnsi="Book Antiqua" w:cs="Arial"/>
        </w:rPr>
        <w:t xml:space="preserve"> are reconciled to the fact</w:t>
      </w:r>
      <w:r w:rsidR="00A2421A">
        <w:rPr>
          <w:rFonts w:ascii="Book Antiqua" w:hAnsi="Book Antiqua" w:cs="Arial"/>
        </w:rPr>
        <w:t xml:space="preserve"> she will have to go back prior to making a settlement application after the necessary arrangements for this had been made.  The fact that the Appellant has left her young daughter behind in Somalia also supports this contention.  I conclude that the requirements of the Immigration Rules in relation to the visit were met and that she genuinely intends this to be only a visit for a limited period.” </w:t>
      </w:r>
    </w:p>
    <w:p w:rsidR="00A345C8" w:rsidRDefault="00A345C8" w:rsidP="00F833AE">
      <w:pPr>
        <w:tabs>
          <w:tab w:val="left" w:pos="567"/>
        </w:tabs>
        <w:spacing w:line="360" w:lineRule="auto"/>
        <w:ind w:left="567" w:hanging="567"/>
        <w:jc w:val="both"/>
        <w:rPr>
          <w:rFonts w:ascii="Book Antiqua" w:hAnsi="Book Antiqua" w:cs="Arial"/>
        </w:rPr>
      </w:pPr>
    </w:p>
    <w:bookmarkEnd w:id="0"/>
    <w:p w:rsidR="00726EF1" w:rsidRPr="008B5901" w:rsidRDefault="00A345C8" w:rsidP="00F833AE">
      <w:pPr>
        <w:tabs>
          <w:tab w:val="left" w:pos="567"/>
        </w:tabs>
        <w:spacing w:line="360" w:lineRule="auto"/>
        <w:ind w:left="567" w:hanging="567"/>
        <w:jc w:val="both"/>
        <w:rPr>
          <w:rFonts w:ascii="Book Antiqua" w:hAnsi="Book Antiqua" w:cs="Arial"/>
        </w:rPr>
      </w:pPr>
      <w:r>
        <w:rPr>
          <w:rFonts w:ascii="Book Antiqua" w:hAnsi="Book Antiqua" w:cs="Arial"/>
        </w:rPr>
        <w:tab/>
      </w:r>
      <w:r w:rsidR="00A2421A">
        <w:rPr>
          <w:rFonts w:ascii="Book Antiqua" w:hAnsi="Book Antiqua" w:cs="Arial"/>
        </w:rPr>
        <w:t xml:space="preserve">As a fact the </w:t>
      </w:r>
      <w:r w:rsidR="00DA6971">
        <w:rPr>
          <w:rFonts w:ascii="Book Antiqua" w:hAnsi="Book Antiqua" w:cs="Arial"/>
        </w:rPr>
        <w:t xml:space="preserve">Claimant </w:t>
      </w:r>
      <w:r w:rsidR="00A2421A">
        <w:rPr>
          <w:rFonts w:ascii="Book Antiqua" w:hAnsi="Book Antiqua" w:cs="Arial"/>
        </w:rPr>
        <w:t>has not left Somalia and still is with her daughter but the effect of the application was that she would leave her daughter behind in Somalia before returning to her.</w:t>
      </w:r>
    </w:p>
    <w:p w:rsidR="00726EF1" w:rsidRPr="008B5901" w:rsidRDefault="00726EF1" w:rsidP="00F833AE">
      <w:pPr>
        <w:tabs>
          <w:tab w:val="left" w:pos="567"/>
        </w:tabs>
        <w:spacing w:line="360" w:lineRule="auto"/>
        <w:ind w:left="567" w:hanging="567"/>
        <w:jc w:val="both"/>
        <w:rPr>
          <w:rFonts w:ascii="Book Antiqua" w:hAnsi="Book Antiqua" w:cs="Arial"/>
        </w:rPr>
      </w:pPr>
    </w:p>
    <w:p w:rsidR="00726EF1" w:rsidRDefault="00726EF1" w:rsidP="00F833AE">
      <w:pPr>
        <w:tabs>
          <w:tab w:val="left" w:pos="567"/>
        </w:tabs>
        <w:spacing w:line="360" w:lineRule="auto"/>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A225A7">
        <w:rPr>
          <w:rFonts w:ascii="Book Antiqua" w:hAnsi="Book Antiqua" w:cs="Arial"/>
        </w:rPr>
        <w:t>The J</w:t>
      </w:r>
      <w:r w:rsidR="00A345C8">
        <w:rPr>
          <w:rFonts w:ascii="Book Antiqua" w:hAnsi="Book Antiqua" w:cs="Arial"/>
        </w:rPr>
        <w:t xml:space="preserve">udge went on to consider the issue of proportionality albeit with some brevity but it is clear that what he had in mind was that although the Claimant and Sponsor had chosen to separate in the way that has occurred the fact is that separation of that kind does not exclude the possibility that one can make a visit as and when able subject to appropriate consent.  Nor is it in effect by separation an abandonment of the parental relationship between the adults and their children.  </w:t>
      </w:r>
    </w:p>
    <w:p w:rsidR="00726EF1" w:rsidRPr="008B5901" w:rsidRDefault="00726EF1" w:rsidP="00F833AE">
      <w:pPr>
        <w:tabs>
          <w:tab w:val="left" w:pos="567"/>
        </w:tabs>
        <w:spacing w:line="360" w:lineRule="auto"/>
        <w:ind w:left="567" w:hanging="567"/>
        <w:jc w:val="both"/>
        <w:rPr>
          <w:rFonts w:ascii="Book Antiqua" w:hAnsi="Book Antiqua" w:cs="Arial"/>
        </w:rPr>
      </w:pPr>
    </w:p>
    <w:p w:rsidR="00726EF1" w:rsidRDefault="00726EF1" w:rsidP="00F833AE">
      <w:pPr>
        <w:tabs>
          <w:tab w:val="left" w:pos="567"/>
        </w:tabs>
        <w:spacing w:line="360" w:lineRule="auto"/>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A345C8">
        <w:rPr>
          <w:rFonts w:ascii="Book Antiqua" w:hAnsi="Book Antiqua" w:cs="Arial"/>
        </w:rPr>
        <w:t>For th</w:t>
      </w:r>
      <w:r w:rsidR="001E1765">
        <w:rPr>
          <w:rFonts w:ascii="Book Antiqua" w:hAnsi="Book Antiqua" w:cs="Arial"/>
        </w:rPr>
        <w:t>ese reasons I am satisfied the J</w:t>
      </w:r>
      <w:r w:rsidR="00A345C8">
        <w:rPr>
          <w:rFonts w:ascii="Book Antiqua" w:hAnsi="Book Antiqua" w:cs="Arial"/>
        </w:rPr>
        <w:t xml:space="preserve">udge gave sufficient and adequate reasons addressing the proportionality of the decision.  </w:t>
      </w:r>
    </w:p>
    <w:p w:rsidR="00DA6971" w:rsidRPr="008B5901" w:rsidRDefault="00DA6971" w:rsidP="00F833AE">
      <w:pPr>
        <w:tabs>
          <w:tab w:val="left" w:pos="567"/>
        </w:tabs>
        <w:spacing w:line="360" w:lineRule="auto"/>
        <w:ind w:left="567" w:hanging="567"/>
        <w:jc w:val="both"/>
        <w:rPr>
          <w:rFonts w:ascii="Book Antiqua" w:hAnsi="Book Antiqua" w:cs="Arial"/>
        </w:rPr>
      </w:pPr>
    </w:p>
    <w:p w:rsidR="00726EF1" w:rsidRPr="008B5901" w:rsidRDefault="00726EF1" w:rsidP="00F833AE">
      <w:pPr>
        <w:tabs>
          <w:tab w:val="left" w:pos="567"/>
        </w:tabs>
        <w:spacing w:line="360" w:lineRule="auto"/>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A345C8">
        <w:rPr>
          <w:rFonts w:ascii="Book Antiqua" w:hAnsi="Book Antiqua" w:cs="Arial"/>
        </w:rPr>
        <w:t>No anonymity order was made nor has one been requested and therefore no anonymity order is required.</w:t>
      </w:r>
    </w:p>
    <w:p w:rsidR="00726EF1" w:rsidRPr="008B5901" w:rsidRDefault="00726EF1" w:rsidP="00726EF1">
      <w:pPr>
        <w:tabs>
          <w:tab w:val="left" w:pos="567"/>
        </w:tabs>
        <w:ind w:left="567" w:hanging="567"/>
        <w:jc w:val="both"/>
        <w:rPr>
          <w:rFonts w:ascii="Book Antiqua" w:hAnsi="Book Antiqua" w:cs="Arial"/>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DECISION</w:t>
      </w:r>
    </w:p>
    <w:p w:rsidR="000B0A3F" w:rsidRPr="000B0A3F" w:rsidRDefault="000B0A3F" w:rsidP="000B0A3F">
      <w:pPr>
        <w:spacing w:line="360" w:lineRule="auto"/>
        <w:jc w:val="both"/>
        <w:rPr>
          <w:rFonts w:ascii="Book Antiqua" w:hAnsi="Book Antiqua" w:cs="Arial"/>
        </w:rPr>
      </w:pPr>
    </w:p>
    <w:p w:rsidR="00DA6971" w:rsidRPr="00DA6971" w:rsidRDefault="00DA6971" w:rsidP="00DA6971">
      <w:pPr>
        <w:spacing w:line="360" w:lineRule="auto"/>
        <w:jc w:val="both"/>
        <w:rPr>
          <w:rFonts w:ascii="Book Antiqua" w:hAnsi="Book Antiqua" w:cs="Arial"/>
        </w:rPr>
      </w:pPr>
      <w:r w:rsidRPr="00DA6971">
        <w:rPr>
          <w:rFonts w:ascii="Book Antiqua" w:hAnsi="Book Antiqua" w:cs="Arial"/>
        </w:rPr>
        <w:t>The appeal of the</w:t>
      </w:r>
      <w:r>
        <w:rPr>
          <w:rFonts w:ascii="Book Antiqua" w:hAnsi="Book Antiqua" w:cs="Arial"/>
        </w:rPr>
        <w:t xml:space="preserve"> Entry Clearance Officer </w:t>
      </w:r>
      <w:r w:rsidRPr="00DA6971">
        <w:rPr>
          <w:rFonts w:ascii="Book Antiqua" w:hAnsi="Book Antiqua" w:cs="Arial"/>
        </w:rPr>
        <w:t>is dismissed.</w:t>
      </w:r>
    </w:p>
    <w:p w:rsidR="00DA6971" w:rsidRDefault="00DA6971"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The</w:t>
      </w:r>
      <w:r w:rsidR="00292483">
        <w:rPr>
          <w:rFonts w:ascii="Book Antiqua" w:hAnsi="Book Antiqua" w:cs="Arial"/>
        </w:rPr>
        <w:t xml:space="preserve"> O</w:t>
      </w:r>
      <w:r w:rsidR="00A345C8">
        <w:rPr>
          <w:rFonts w:ascii="Book Antiqua" w:hAnsi="Book Antiqua" w:cs="Arial"/>
        </w:rPr>
        <w:t>riginal Tribunal’s decision stands.</w:t>
      </w:r>
    </w:p>
    <w:p w:rsidR="000B0A3F" w:rsidRPr="000B0A3F" w:rsidRDefault="000B0A3F" w:rsidP="000B0A3F">
      <w:pPr>
        <w:spacing w:line="360" w:lineRule="auto"/>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3D2DA2">
        <w:rPr>
          <w:rFonts w:ascii="Book Antiqua" w:hAnsi="Book Antiqua" w:cs="Arial"/>
        </w:rPr>
        <w:t xml:space="preserve"> 20 August 2018</w:t>
      </w:r>
    </w:p>
    <w:p w:rsidR="006D6955" w:rsidRPr="000B0A3F" w:rsidRDefault="006D6955" w:rsidP="00780F86">
      <w:pPr>
        <w:ind w:left="540" w:hanging="540"/>
        <w:jc w:val="both"/>
        <w:rPr>
          <w:rFonts w:ascii="Book Antiqua" w:hAnsi="Book Antiqua" w:cs="Arial"/>
        </w:rPr>
      </w:pPr>
    </w:p>
    <w:p w:rsidR="00B95326" w:rsidRPr="000704BB" w:rsidRDefault="006D6955" w:rsidP="00DE1170">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D64" w:rsidRDefault="001C1D64">
      <w:r>
        <w:separator/>
      </w:r>
    </w:p>
  </w:endnote>
  <w:endnote w:type="continuationSeparator" w:id="0">
    <w:p w:rsidR="001C1D64" w:rsidRDefault="001C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E46DC5">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D64" w:rsidRDefault="001C1D64">
      <w:r>
        <w:separator/>
      </w:r>
    </w:p>
  </w:footnote>
  <w:footnote w:type="continuationSeparator" w:id="0">
    <w:p w:rsidR="001C1D64" w:rsidRDefault="001C1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D14ED3">
      <w:rPr>
        <w:rFonts w:ascii="Book Antiqua" w:hAnsi="Book Antiqua" w:cs="Arial"/>
        <w:sz w:val="16"/>
        <w:szCs w:val="16"/>
      </w:rPr>
      <w:t>HU/27159/2016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3"/>
    <w:rsid w:val="00000621"/>
    <w:rsid w:val="000036C2"/>
    <w:rsid w:val="00033D3D"/>
    <w:rsid w:val="00062F02"/>
    <w:rsid w:val="000704BB"/>
    <w:rsid w:val="00071A7E"/>
    <w:rsid w:val="000746C0"/>
    <w:rsid w:val="00074D1D"/>
    <w:rsid w:val="00092580"/>
    <w:rsid w:val="00093D4D"/>
    <w:rsid w:val="000B0A3F"/>
    <w:rsid w:val="000D5D94"/>
    <w:rsid w:val="000F1A0E"/>
    <w:rsid w:val="000F52D4"/>
    <w:rsid w:val="001165A7"/>
    <w:rsid w:val="00125938"/>
    <w:rsid w:val="00150C5F"/>
    <w:rsid w:val="00151389"/>
    <w:rsid w:val="00167D3A"/>
    <w:rsid w:val="00190911"/>
    <w:rsid w:val="001A3082"/>
    <w:rsid w:val="001B186A"/>
    <w:rsid w:val="001B2F75"/>
    <w:rsid w:val="001B659F"/>
    <w:rsid w:val="001C1D64"/>
    <w:rsid w:val="001C2D96"/>
    <w:rsid w:val="001C5B44"/>
    <w:rsid w:val="001E1765"/>
    <w:rsid w:val="001F2716"/>
    <w:rsid w:val="00203FB0"/>
    <w:rsid w:val="00207617"/>
    <w:rsid w:val="0023134B"/>
    <w:rsid w:val="00254695"/>
    <w:rsid w:val="002748AC"/>
    <w:rsid w:val="00283659"/>
    <w:rsid w:val="00292483"/>
    <w:rsid w:val="002A1607"/>
    <w:rsid w:val="002C6BD4"/>
    <w:rsid w:val="002D68BF"/>
    <w:rsid w:val="002F4275"/>
    <w:rsid w:val="002F6B98"/>
    <w:rsid w:val="00336CBF"/>
    <w:rsid w:val="00343FE3"/>
    <w:rsid w:val="003546C8"/>
    <w:rsid w:val="00365F5E"/>
    <w:rsid w:val="00394363"/>
    <w:rsid w:val="003A7CF2"/>
    <w:rsid w:val="003C2CDB"/>
    <w:rsid w:val="003C5CE5"/>
    <w:rsid w:val="003D2DA2"/>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30548"/>
    <w:rsid w:val="005479E1"/>
    <w:rsid w:val="00550648"/>
    <w:rsid w:val="00553E0A"/>
    <w:rsid w:val="005570FD"/>
    <w:rsid w:val="005575EA"/>
    <w:rsid w:val="0056234C"/>
    <w:rsid w:val="0057790C"/>
    <w:rsid w:val="00581884"/>
    <w:rsid w:val="00593795"/>
    <w:rsid w:val="00596FD5"/>
    <w:rsid w:val="005A75FF"/>
    <w:rsid w:val="005C7C69"/>
    <w:rsid w:val="005D10AB"/>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26EF1"/>
    <w:rsid w:val="00731F9D"/>
    <w:rsid w:val="007552A9"/>
    <w:rsid w:val="00761858"/>
    <w:rsid w:val="00767D59"/>
    <w:rsid w:val="00775DE0"/>
    <w:rsid w:val="00776E97"/>
    <w:rsid w:val="00780F86"/>
    <w:rsid w:val="007912AD"/>
    <w:rsid w:val="00797649"/>
    <w:rsid w:val="007B0824"/>
    <w:rsid w:val="007B5D3C"/>
    <w:rsid w:val="007F2A46"/>
    <w:rsid w:val="00806249"/>
    <w:rsid w:val="00821B72"/>
    <w:rsid w:val="00823EF2"/>
    <w:rsid w:val="008262CB"/>
    <w:rsid w:val="008303B8"/>
    <w:rsid w:val="00833DCE"/>
    <w:rsid w:val="00855C07"/>
    <w:rsid w:val="00871D34"/>
    <w:rsid w:val="00876E37"/>
    <w:rsid w:val="00883D05"/>
    <w:rsid w:val="008975EC"/>
    <w:rsid w:val="008B270C"/>
    <w:rsid w:val="008B5078"/>
    <w:rsid w:val="008C3D3D"/>
    <w:rsid w:val="008D4131"/>
    <w:rsid w:val="008F1932"/>
    <w:rsid w:val="00921062"/>
    <w:rsid w:val="00931A34"/>
    <w:rsid w:val="009722BC"/>
    <w:rsid w:val="009727A3"/>
    <w:rsid w:val="00976910"/>
    <w:rsid w:val="00987774"/>
    <w:rsid w:val="009A11E8"/>
    <w:rsid w:val="009F5220"/>
    <w:rsid w:val="00A15234"/>
    <w:rsid w:val="00A201AB"/>
    <w:rsid w:val="00A225A7"/>
    <w:rsid w:val="00A2421A"/>
    <w:rsid w:val="00A31C8B"/>
    <w:rsid w:val="00A345C8"/>
    <w:rsid w:val="00A509FA"/>
    <w:rsid w:val="00A705A8"/>
    <w:rsid w:val="00A71C11"/>
    <w:rsid w:val="00A80DD3"/>
    <w:rsid w:val="00A845DC"/>
    <w:rsid w:val="00B26AA2"/>
    <w:rsid w:val="00B3524D"/>
    <w:rsid w:val="00B40F69"/>
    <w:rsid w:val="00B46616"/>
    <w:rsid w:val="00B7040A"/>
    <w:rsid w:val="00B739ED"/>
    <w:rsid w:val="00B83391"/>
    <w:rsid w:val="00B95326"/>
    <w:rsid w:val="00BC049F"/>
    <w:rsid w:val="00BC4F94"/>
    <w:rsid w:val="00BD4196"/>
    <w:rsid w:val="00BF0C4C"/>
    <w:rsid w:val="00BF22CA"/>
    <w:rsid w:val="00BF23BB"/>
    <w:rsid w:val="00C26032"/>
    <w:rsid w:val="00C31035"/>
    <w:rsid w:val="00C345E1"/>
    <w:rsid w:val="00C43BFD"/>
    <w:rsid w:val="00C77BDD"/>
    <w:rsid w:val="00CB6E35"/>
    <w:rsid w:val="00CC6356"/>
    <w:rsid w:val="00CE1A46"/>
    <w:rsid w:val="00D14ED3"/>
    <w:rsid w:val="00D20757"/>
    <w:rsid w:val="00D22636"/>
    <w:rsid w:val="00D40FD9"/>
    <w:rsid w:val="00D53769"/>
    <w:rsid w:val="00D85C13"/>
    <w:rsid w:val="00D9111A"/>
    <w:rsid w:val="00D91BE3"/>
    <w:rsid w:val="00D94AFC"/>
    <w:rsid w:val="00DA6971"/>
    <w:rsid w:val="00DB70AE"/>
    <w:rsid w:val="00DC3F2C"/>
    <w:rsid w:val="00DC69F1"/>
    <w:rsid w:val="00DD5071"/>
    <w:rsid w:val="00DD5C39"/>
    <w:rsid w:val="00DE1170"/>
    <w:rsid w:val="00DE5E10"/>
    <w:rsid w:val="00DE7DB7"/>
    <w:rsid w:val="00E001C5"/>
    <w:rsid w:val="00E00A0A"/>
    <w:rsid w:val="00E066DE"/>
    <w:rsid w:val="00E07F57"/>
    <w:rsid w:val="00E16EDD"/>
    <w:rsid w:val="00E30683"/>
    <w:rsid w:val="00E37391"/>
    <w:rsid w:val="00E453D8"/>
    <w:rsid w:val="00E46DC5"/>
    <w:rsid w:val="00E50BCE"/>
    <w:rsid w:val="00E574BF"/>
    <w:rsid w:val="00E61292"/>
    <w:rsid w:val="00E74E7B"/>
    <w:rsid w:val="00E77C4D"/>
    <w:rsid w:val="00E81D01"/>
    <w:rsid w:val="00E83DE2"/>
    <w:rsid w:val="00E961E5"/>
    <w:rsid w:val="00EA2F7F"/>
    <w:rsid w:val="00EE3064"/>
    <w:rsid w:val="00EE45D8"/>
    <w:rsid w:val="00F22EDA"/>
    <w:rsid w:val="00F76D81"/>
    <w:rsid w:val="00F833AE"/>
    <w:rsid w:val="00F90FA9"/>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4A136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3048</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2018-09-28T10:15:00Z</dcterms:created>
  <dcterms:modified xsi:type="dcterms:W3CDTF">2018-09-28T10:15:00Z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