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1B7A7E" w:rsidRDefault="00E14809" w:rsidP="00933B65">
      <w:pPr>
        <w:jc w:val="center"/>
        <w:rPr>
          <w:rFonts w:ascii="Book Antiqua" w:hAnsi="Book Antiqua" w:cs="Arial"/>
          <w:color w:val="000000"/>
          <w:sz w:val="16"/>
          <w:szCs w:val="16"/>
        </w:rPr>
      </w:pPr>
      <w:r w:rsidRPr="001B7A7E">
        <w:rPr>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1B7A7E" w:rsidRPr="001B7A7E" w:rsidRDefault="001B7A7E" w:rsidP="001B7A7E">
      <w:pPr>
        <w:rPr>
          <w:rFonts w:ascii="Book Antiqua" w:hAnsi="Book Antiqua" w:cs="Arial"/>
          <w:color w:val="000000"/>
          <w:sz w:val="16"/>
          <w:szCs w:val="16"/>
        </w:rPr>
      </w:pP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2E7956">
        <w:rPr>
          <w:rFonts w:ascii="Book Antiqua" w:hAnsi="Book Antiqua" w:cs="Arial"/>
          <w:color w:val="000000"/>
        </w:rPr>
        <w:t>HU/27284/2016</w:t>
      </w:r>
      <w:bookmarkEnd w:id="0"/>
    </w:p>
    <w:p w:rsidR="00933B65" w:rsidRPr="00F97703" w:rsidRDefault="00933B65" w:rsidP="00933B65">
      <w:pPr>
        <w:jc w:val="center"/>
        <w:rPr>
          <w:rFonts w:ascii="Book Antiqua" w:hAnsi="Book Antiqua" w:cs="Arial"/>
          <w:color w:val="000000"/>
        </w:rPr>
      </w:pPr>
    </w:p>
    <w:p w:rsidR="001B7A7E" w:rsidRDefault="001B7A7E" w:rsidP="00933B65">
      <w:pPr>
        <w:jc w:val="center"/>
        <w:rPr>
          <w:rFonts w:ascii="Book Antiqua" w:hAnsi="Book Antiqua" w:cs="Arial"/>
          <w:b/>
          <w:color w:val="000000"/>
          <w:u w:val="single"/>
        </w:rPr>
      </w:pPr>
    </w:p>
    <w:p w:rsidR="00933B65"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1B7A7E" w:rsidRPr="00F97703" w:rsidRDefault="001B7A7E" w:rsidP="00933B65">
      <w:pPr>
        <w:jc w:val="center"/>
        <w:rPr>
          <w:rFonts w:ascii="Book Antiqua" w:hAnsi="Book Antiqua" w:cs="Arial"/>
          <w:b/>
          <w:color w:val="000000"/>
          <w:u w:val="single"/>
        </w:rPr>
      </w:pPr>
    </w:p>
    <w:p w:rsidR="00405694" w:rsidRPr="00F97703" w:rsidRDefault="00405694" w:rsidP="00405694">
      <w:pPr>
        <w:jc w:val="center"/>
        <w:rPr>
          <w:rFonts w:ascii="Book Antiqua" w:hAnsi="Book Antiqua" w:cs="Arial"/>
          <w:b/>
          <w:u w:val="single"/>
        </w:rPr>
      </w:pPr>
    </w:p>
    <w:tbl>
      <w:tblPr>
        <w:tblW w:w="10140" w:type="dxa"/>
        <w:tblLook w:val="01E0" w:firstRow="1" w:lastRow="1" w:firstColumn="1" w:lastColumn="1" w:noHBand="0" w:noVBand="0"/>
      </w:tblPr>
      <w:tblGrid>
        <w:gridCol w:w="6240"/>
        <w:gridCol w:w="3900"/>
      </w:tblGrid>
      <w:tr w:rsidR="00405694" w:rsidRPr="00AB1DC6" w:rsidTr="004520D4">
        <w:trPr>
          <w:trHeight w:val="659"/>
        </w:trPr>
        <w:tc>
          <w:tcPr>
            <w:tcW w:w="6240" w:type="dxa"/>
            <w:shd w:val="clear" w:color="auto" w:fill="auto"/>
          </w:tcPr>
          <w:p w:rsidR="00405694" w:rsidRDefault="00405694" w:rsidP="00AB1DC6">
            <w:pPr>
              <w:jc w:val="both"/>
              <w:rPr>
                <w:rFonts w:ascii="Book Antiqua" w:hAnsi="Book Antiqua" w:cs="Arial"/>
                <w:b/>
              </w:rPr>
            </w:pPr>
            <w:r w:rsidRPr="00AB1DC6">
              <w:rPr>
                <w:rFonts w:ascii="Book Antiqua" w:hAnsi="Book Antiqua" w:cs="Arial"/>
                <w:b/>
              </w:rPr>
              <w:t>Heard at Field House</w:t>
            </w:r>
          </w:p>
          <w:p w:rsidR="004520D4" w:rsidRPr="00AB1DC6" w:rsidRDefault="004520D4" w:rsidP="00AB1DC6">
            <w:pPr>
              <w:jc w:val="both"/>
              <w:rPr>
                <w:rFonts w:ascii="Book Antiqua" w:hAnsi="Book Antiqua" w:cs="Arial"/>
                <w:b/>
              </w:rPr>
            </w:pPr>
            <w:r>
              <w:rPr>
                <w:rFonts w:ascii="Book Antiqua" w:hAnsi="Book Antiqua" w:cs="Arial"/>
                <w:b/>
              </w:rPr>
              <w:t>On 8 August 2018</w:t>
            </w:r>
          </w:p>
        </w:tc>
        <w:tc>
          <w:tcPr>
            <w:tcW w:w="3900" w:type="dxa"/>
            <w:shd w:val="clear" w:color="auto" w:fill="auto"/>
          </w:tcPr>
          <w:p w:rsidR="00405694" w:rsidRDefault="00405694" w:rsidP="00AB1DC6">
            <w:pPr>
              <w:jc w:val="both"/>
              <w:rPr>
                <w:rFonts w:ascii="Book Antiqua" w:hAnsi="Book Antiqua" w:cs="Arial"/>
                <w:b/>
                <w:color w:val="000000"/>
              </w:rPr>
            </w:pPr>
            <w:r w:rsidRPr="00AB1DC6">
              <w:rPr>
                <w:rFonts w:ascii="Book Antiqua" w:hAnsi="Book Antiqua" w:cs="Arial"/>
                <w:b/>
                <w:color w:val="000000"/>
              </w:rPr>
              <w:t xml:space="preserve">Decision </w:t>
            </w:r>
            <w:r w:rsidR="004520D4">
              <w:rPr>
                <w:rFonts w:ascii="Book Antiqua" w:hAnsi="Book Antiqua" w:cs="Arial"/>
                <w:b/>
                <w:color w:val="000000"/>
              </w:rPr>
              <w:t xml:space="preserve">&amp; Reasons </w:t>
            </w:r>
            <w:r w:rsidRPr="00AB1DC6">
              <w:rPr>
                <w:rFonts w:ascii="Book Antiqua" w:hAnsi="Book Antiqua" w:cs="Arial"/>
                <w:b/>
                <w:color w:val="000000"/>
              </w:rPr>
              <w:t>Promulgated</w:t>
            </w:r>
          </w:p>
          <w:p w:rsidR="004520D4" w:rsidRPr="00AB1DC6" w:rsidRDefault="004520D4" w:rsidP="00AB1DC6">
            <w:pPr>
              <w:jc w:val="both"/>
              <w:rPr>
                <w:rFonts w:ascii="Book Antiqua" w:hAnsi="Book Antiqua" w:cs="Arial"/>
                <w:b/>
                <w:color w:val="000000"/>
              </w:rPr>
            </w:pPr>
            <w:r>
              <w:rPr>
                <w:rFonts w:ascii="Book Antiqua" w:hAnsi="Book Antiqua" w:cs="Arial"/>
                <w:b/>
                <w:color w:val="000000"/>
              </w:rPr>
              <w:t>On 21 August 2018</w:t>
            </w:r>
          </w:p>
        </w:tc>
      </w:tr>
      <w:tr w:rsidR="00405694" w:rsidRPr="00AB1DC6" w:rsidTr="004520D4">
        <w:trPr>
          <w:trHeight w:val="329"/>
        </w:trPr>
        <w:tc>
          <w:tcPr>
            <w:tcW w:w="6240" w:type="dxa"/>
            <w:shd w:val="clear" w:color="auto" w:fill="auto"/>
          </w:tcPr>
          <w:p w:rsidR="00405694" w:rsidRPr="00AB1DC6" w:rsidRDefault="00405694" w:rsidP="00AB1DC6">
            <w:pPr>
              <w:jc w:val="both"/>
              <w:rPr>
                <w:rFonts w:ascii="Book Antiqua" w:hAnsi="Book Antiqua" w:cs="Arial"/>
                <w:b/>
              </w:rPr>
            </w:pPr>
          </w:p>
        </w:tc>
        <w:tc>
          <w:tcPr>
            <w:tcW w:w="3900" w:type="dxa"/>
            <w:shd w:val="clear" w:color="auto" w:fill="auto"/>
          </w:tcPr>
          <w:p w:rsidR="00405694" w:rsidRPr="00AB1DC6" w:rsidRDefault="00405694" w:rsidP="00AB1DC6">
            <w:pPr>
              <w:jc w:val="both"/>
              <w:rPr>
                <w:rFonts w:ascii="Book Antiqua" w:hAnsi="Book Antiqua" w:cs="Arial"/>
                <w:b/>
              </w:rPr>
            </w:pPr>
          </w:p>
        </w:tc>
      </w:tr>
      <w:tr w:rsidR="00405694" w:rsidRPr="00AB1DC6" w:rsidTr="004520D4">
        <w:trPr>
          <w:trHeight w:val="343"/>
        </w:trPr>
        <w:tc>
          <w:tcPr>
            <w:tcW w:w="6240" w:type="dxa"/>
            <w:shd w:val="clear" w:color="auto" w:fill="auto"/>
          </w:tcPr>
          <w:p w:rsidR="00405694" w:rsidRPr="00AB1DC6" w:rsidRDefault="00405694" w:rsidP="00AB1DC6">
            <w:pPr>
              <w:jc w:val="both"/>
              <w:rPr>
                <w:rFonts w:ascii="Book Antiqua" w:hAnsi="Book Antiqua" w:cs="Arial"/>
                <w:b/>
              </w:rPr>
            </w:pPr>
          </w:p>
        </w:tc>
        <w:tc>
          <w:tcPr>
            <w:tcW w:w="3900" w:type="dxa"/>
            <w:shd w:val="clear" w:color="auto" w:fill="auto"/>
          </w:tcPr>
          <w:p w:rsidR="00405694" w:rsidRPr="00AB1DC6" w:rsidRDefault="00405694" w:rsidP="00AB1DC6">
            <w:pPr>
              <w:jc w:val="both"/>
              <w:rPr>
                <w:rFonts w:ascii="Book Antiqua" w:hAnsi="Book Antiqua" w:cs="Arial"/>
                <w:b/>
              </w:rPr>
            </w:pPr>
          </w:p>
        </w:tc>
      </w:tr>
    </w:tbl>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Default="00933B65" w:rsidP="00933B65">
      <w:pPr>
        <w:jc w:val="center"/>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A57676">
        <w:rPr>
          <w:rFonts w:ascii="Book Antiqua" w:hAnsi="Book Antiqua" w:cs="Arial"/>
          <w:b/>
          <w:color w:val="000000"/>
        </w:rPr>
        <w:t>CANAVAN</w:t>
      </w:r>
    </w:p>
    <w:p w:rsidR="00E468D9" w:rsidRDefault="00E468D9" w:rsidP="00933B65">
      <w:pPr>
        <w:jc w:val="center"/>
        <w:rPr>
          <w:rFonts w:ascii="Book Antiqua" w:hAnsi="Book Antiqua" w:cs="Arial"/>
          <w:b/>
        </w:rPr>
      </w:pPr>
    </w:p>
    <w:p w:rsidR="00294F41" w:rsidRPr="00F97703" w:rsidRDefault="00294F41"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294F41" w:rsidRDefault="00294F41" w:rsidP="00933B65">
      <w:pPr>
        <w:jc w:val="center"/>
        <w:rPr>
          <w:rFonts w:ascii="Book Antiqua" w:hAnsi="Book Antiqua" w:cs="Arial"/>
          <w:b/>
        </w:rPr>
      </w:pPr>
    </w:p>
    <w:p w:rsidR="00933B65" w:rsidRDefault="00A82B6C" w:rsidP="00933B65">
      <w:pPr>
        <w:jc w:val="center"/>
        <w:rPr>
          <w:rFonts w:ascii="Book Antiqua" w:hAnsi="Book Antiqua" w:cs="Arial"/>
          <w:b/>
        </w:rPr>
      </w:pPr>
      <w:r>
        <w:rPr>
          <w:rFonts w:ascii="Book Antiqua" w:hAnsi="Book Antiqua" w:cs="Arial"/>
          <w:b/>
        </w:rPr>
        <w:t>Z K</w:t>
      </w:r>
    </w:p>
    <w:p w:rsidR="001B7A7E" w:rsidRPr="001B7A7E" w:rsidRDefault="001B7A7E" w:rsidP="001B7A7E">
      <w:pPr>
        <w:jc w:val="center"/>
        <w:rPr>
          <w:rFonts w:ascii="Book Antiqua" w:hAnsi="Book Antiqua" w:cs="Arial"/>
          <w:b/>
          <w:sz w:val="22"/>
        </w:rPr>
      </w:pPr>
      <w:r w:rsidRPr="001B7A7E">
        <w:rPr>
          <w:rFonts w:ascii="Book Antiqua" w:hAnsi="Book Antiqua" w:cs="Arial"/>
          <w:b/>
          <w:sz w:val="22"/>
        </w:rPr>
        <w:t>(ANONYMITY DIRECTION MADE)</w:t>
      </w:r>
    </w:p>
    <w:p w:rsidR="00933B65" w:rsidRDefault="00933B65" w:rsidP="00933B65">
      <w:pPr>
        <w:jc w:val="right"/>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Default="00933B65"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rsidR="00933B65" w:rsidRDefault="00933B65" w:rsidP="00933B65">
      <w:pPr>
        <w:jc w:val="right"/>
        <w:rPr>
          <w:rFonts w:ascii="Book Antiqua" w:hAnsi="Book Antiqua" w:cs="Arial"/>
          <w:u w:val="single"/>
        </w:rPr>
      </w:pPr>
      <w:r w:rsidRPr="00F97703">
        <w:rPr>
          <w:rFonts w:ascii="Book Antiqua" w:hAnsi="Book Antiqua" w:cs="Arial"/>
          <w:u w:val="single"/>
        </w:rPr>
        <w:t>Respondent</w:t>
      </w:r>
    </w:p>
    <w:p w:rsidR="007F7932" w:rsidRDefault="007F7932" w:rsidP="00933B65">
      <w:pPr>
        <w:jc w:val="right"/>
        <w:rPr>
          <w:rFonts w:ascii="Book Antiqua" w:hAnsi="Book Antiqua" w:cs="Arial"/>
          <w:u w:val="single"/>
        </w:rPr>
      </w:pPr>
    </w:p>
    <w:p w:rsidR="001B7A7E" w:rsidRPr="00F97703" w:rsidRDefault="001B7A7E" w:rsidP="00933B65">
      <w:pPr>
        <w:jc w:val="right"/>
        <w:rPr>
          <w:rFonts w:ascii="Book Antiqua" w:hAnsi="Book Antiqua" w:cs="Arial"/>
          <w:u w:val="single"/>
        </w:rPr>
      </w:pPr>
    </w:p>
    <w:p w:rsidR="003B36AE" w:rsidRPr="00010B88" w:rsidRDefault="003B36AE" w:rsidP="003B36AE">
      <w:pPr>
        <w:tabs>
          <w:tab w:val="left" w:pos="2520"/>
        </w:tabs>
        <w:rPr>
          <w:rFonts w:ascii="Book Antiqua" w:hAnsi="Book Antiqua" w:cs="Arial"/>
          <w:b/>
          <w:u w:val="single"/>
        </w:rPr>
      </w:pPr>
      <w:r w:rsidRPr="00010B88">
        <w:rPr>
          <w:rFonts w:ascii="Book Antiqua" w:hAnsi="Book Antiqua" w:cs="Arial"/>
          <w:b/>
          <w:u w:val="single"/>
        </w:rPr>
        <w:t>Anonymity</w:t>
      </w:r>
    </w:p>
    <w:p w:rsidR="003B36AE" w:rsidRPr="00010B88" w:rsidRDefault="003B36AE" w:rsidP="003B36AE">
      <w:pPr>
        <w:tabs>
          <w:tab w:val="left" w:pos="2520"/>
        </w:tabs>
        <w:rPr>
          <w:rFonts w:ascii="Book Antiqua" w:hAnsi="Book Antiqua" w:cs="Arial"/>
          <w:i/>
        </w:rPr>
      </w:pPr>
      <w:r w:rsidRPr="00010B88">
        <w:rPr>
          <w:rFonts w:ascii="Book Antiqua" w:hAnsi="Book Antiqua" w:cs="Arial"/>
          <w:i/>
        </w:rPr>
        <w:t xml:space="preserve">Rule 14: The Tribunal Procedure (Upper Tribunal) Rules 2008 </w:t>
      </w:r>
    </w:p>
    <w:p w:rsidR="003B36AE" w:rsidRPr="00010B88" w:rsidRDefault="003B36AE" w:rsidP="003B36AE">
      <w:pPr>
        <w:widowControl w:val="0"/>
        <w:tabs>
          <w:tab w:val="left" w:pos="0"/>
        </w:tabs>
        <w:jc w:val="both"/>
        <w:rPr>
          <w:rFonts w:ascii="Book Antiqua" w:hAnsi="Book Antiqua" w:cs="Arial"/>
        </w:rPr>
      </w:pPr>
      <w:r w:rsidRPr="00010B88">
        <w:rPr>
          <w:rFonts w:ascii="Book Antiqua" w:hAnsi="Book Antiqua" w:cs="Arial"/>
        </w:rPr>
        <w:t xml:space="preserve">Anonymity </w:t>
      </w:r>
      <w:r w:rsidR="002E7956">
        <w:rPr>
          <w:rFonts w:ascii="Book Antiqua" w:hAnsi="Book Antiqua" w:cs="Arial"/>
        </w:rPr>
        <w:t>should be granted</w:t>
      </w:r>
      <w:r w:rsidRPr="00010B88">
        <w:rPr>
          <w:rFonts w:ascii="Book Antiqua" w:hAnsi="Book Antiqua" w:cs="Arial"/>
        </w:rPr>
        <w:t xml:space="preserve"> because the case involves </w:t>
      </w:r>
      <w:r w:rsidR="00D353FC">
        <w:rPr>
          <w:rFonts w:ascii="Book Antiqua" w:hAnsi="Book Antiqua" w:cs="Arial"/>
        </w:rPr>
        <w:t>an assessment of</w:t>
      </w:r>
      <w:r w:rsidR="00405694" w:rsidRPr="00010B88">
        <w:rPr>
          <w:rFonts w:ascii="Book Antiqua" w:hAnsi="Book Antiqua" w:cs="Arial"/>
        </w:rPr>
        <w:t xml:space="preserve"> </w:t>
      </w:r>
      <w:r w:rsidRPr="00010B88">
        <w:rPr>
          <w:rFonts w:ascii="Book Antiqua" w:hAnsi="Book Antiqua" w:cs="Arial"/>
        </w:rPr>
        <w:t>child</w:t>
      </w:r>
      <w:r w:rsidR="002E7956">
        <w:rPr>
          <w:rFonts w:ascii="Book Antiqua" w:hAnsi="Book Antiqua" w:cs="Arial"/>
        </w:rPr>
        <w:t xml:space="preserve"> welfare issues. </w:t>
      </w:r>
      <w:r w:rsidRPr="00010B88">
        <w:rPr>
          <w:rFonts w:ascii="Book Antiqua" w:hAnsi="Book Antiqua" w:cs="Arial"/>
        </w:rPr>
        <w:t xml:space="preserve">Unless and until a tribunal or court directs otherwise, the appellant is granted anonymity. No report of these proceedings shall directly or indirectly identify him or any member of his family. This direction applies both to the appellant and to the respondent. </w:t>
      </w:r>
    </w:p>
    <w:p w:rsidR="003B36AE" w:rsidRDefault="003B36AE" w:rsidP="00933B65">
      <w:pPr>
        <w:rPr>
          <w:rFonts w:ascii="Book Antiqua" w:hAnsi="Book Antiqua" w:cs="Arial"/>
          <w:u w:val="single"/>
        </w:rPr>
      </w:pPr>
    </w:p>
    <w:p w:rsidR="001B7A7E" w:rsidRDefault="001B7A7E" w:rsidP="00933B65">
      <w:pPr>
        <w:rPr>
          <w:rFonts w:ascii="Book Antiqua" w:hAnsi="Book Antiqua" w:cs="Arial"/>
          <w:u w:val="single"/>
        </w:rPr>
      </w:pPr>
    </w:p>
    <w:p w:rsidR="00405694" w:rsidRDefault="00405694" w:rsidP="00933B65">
      <w:pPr>
        <w:rPr>
          <w:rFonts w:ascii="Book Antiqua" w:hAnsi="Book Antiqua" w:cs="Arial"/>
          <w:b/>
          <w:u w:val="single"/>
        </w:rPr>
      </w:pPr>
      <w:r w:rsidRPr="00405694">
        <w:rPr>
          <w:rFonts w:ascii="Book Antiqua" w:hAnsi="Book Antiqua" w:cs="Arial"/>
          <w:b/>
          <w:u w:val="single"/>
        </w:rPr>
        <w:t>Representation:</w:t>
      </w:r>
    </w:p>
    <w:p w:rsidR="00405694" w:rsidRDefault="00405694" w:rsidP="00933B65">
      <w:pPr>
        <w:rPr>
          <w:rFonts w:ascii="Book Antiqua" w:hAnsi="Book Antiqua" w:cs="Arial"/>
        </w:rPr>
      </w:pPr>
      <w:r>
        <w:rPr>
          <w:rFonts w:ascii="Book Antiqua" w:hAnsi="Book Antiqua" w:cs="Arial"/>
        </w:rPr>
        <w:t>For the appellant:</w:t>
      </w:r>
      <w:r>
        <w:rPr>
          <w:rFonts w:ascii="Book Antiqua" w:hAnsi="Book Antiqua" w:cs="Arial"/>
        </w:rPr>
        <w:tab/>
      </w:r>
      <w:r>
        <w:rPr>
          <w:rFonts w:ascii="Book Antiqua" w:hAnsi="Book Antiqua" w:cs="Arial"/>
        </w:rPr>
        <w:tab/>
      </w:r>
      <w:r w:rsidR="002E7956">
        <w:rPr>
          <w:rFonts w:ascii="Book Antiqua" w:hAnsi="Book Antiqua" w:cs="Arial"/>
        </w:rPr>
        <w:t>Mr H. Sarwar, instructed by DEO Volente Solicitors LLP</w:t>
      </w:r>
    </w:p>
    <w:p w:rsidR="00405694" w:rsidRDefault="00405694" w:rsidP="00933B65">
      <w:pPr>
        <w:rPr>
          <w:rFonts w:ascii="Book Antiqua" w:hAnsi="Book Antiqua" w:cs="Arial"/>
        </w:rPr>
      </w:pPr>
      <w:r>
        <w:rPr>
          <w:rFonts w:ascii="Book Antiqua" w:hAnsi="Book Antiqua" w:cs="Arial"/>
        </w:rPr>
        <w:t>For the respondent:</w:t>
      </w:r>
      <w:r>
        <w:rPr>
          <w:rFonts w:ascii="Book Antiqua" w:hAnsi="Book Antiqua" w:cs="Arial"/>
        </w:rPr>
        <w:tab/>
      </w:r>
      <w:r>
        <w:rPr>
          <w:rFonts w:ascii="Book Antiqua" w:hAnsi="Book Antiqua" w:cs="Arial"/>
        </w:rPr>
        <w:tab/>
      </w:r>
      <w:r w:rsidR="002E7956">
        <w:rPr>
          <w:rFonts w:ascii="Book Antiqua" w:hAnsi="Book Antiqua" w:cs="Arial"/>
        </w:rPr>
        <w:t xml:space="preserve">Mr I. Jarvis, Senior Home Office Presenting Officer </w:t>
      </w:r>
    </w:p>
    <w:p w:rsidR="00405694" w:rsidRDefault="00405694" w:rsidP="00933B65">
      <w:pPr>
        <w:rPr>
          <w:rFonts w:ascii="Book Antiqua" w:hAnsi="Book Antiqua" w:cs="Arial"/>
        </w:rPr>
      </w:pPr>
    </w:p>
    <w:p w:rsidR="001B7A7E" w:rsidRPr="00405694" w:rsidRDefault="001B7A7E" w:rsidP="00933B65">
      <w:pPr>
        <w:rPr>
          <w:rFonts w:ascii="Book Antiqua" w:hAnsi="Book Antiqua" w:cs="Arial"/>
        </w:rPr>
      </w:pPr>
    </w:p>
    <w:p w:rsidR="00056E7C" w:rsidRDefault="00405694" w:rsidP="00405694">
      <w:pPr>
        <w:tabs>
          <w:tab w:val="left" w:pos="2520"/>
        </w:tabs>
        <w:jc w:val="center"/>
        <w:rPr>
          <w:rFonts w:ascii="Book Antiqua" w:hAnsi="Book Antiqua" w:cs="Arial"/>
        </w:rPr>
      </w:pPr>
      <w:r>
        <w:rPr>
          <w:rFonts w:ascii="Book Antiqua" w:hAnsi="Book Antiqua" w:cs="Arial"/>
          <w:b/>
          <w:u w:val="single"/>
        </w:rPr>
        <w:lastRenderedPageBreak/>
        <w:t>DECISION</w:t>
      </w:r>
      <w:r w:rsidRPr="00F97703">
        <w:rPr>
          <w:rFonts w:ascii="Book Antiqua" w:hAnsi="Book Antiqua" w:cs="Arial"/>
          <w:b/>
          <w:u w:val="single"/>
        </w:rPr>
        <w:t xml:space="preserve"> AND REASONS</w:t>
      </w:r>
    </w:p>
    <w:p w:rsidR="00405694" w:rsidRDefault="00C41B26" w:rsidP="001B7A7E">
      <w:pPr>
        <w:tabs>
          <w:tab w:val="left" w:pos="567"/>
        </w:tabs>
        <w:spacing w:before="120"/>
        <w:ind w:left="564" w:hanging="564"/>
        <w:jc w:val="both"/>
        <w:rPr>
          <w:rFonts w:ascii="Book Antiqua" w:hAnsi="Book Antiqua" w:cs="Arial"/>
        </w:rPr>
      </w:pPr>
      <w:r>
        <w:rPr>
          <w:rFonts w:ascii="Book Antiqua" w:hAnsi="Book Antiqua" w:cs="Arial"/>
        </w:rPr>
        <w:t>1.</w:t>
      </w:r>
      <w:r>
        <w:rPr>
          <w:rFonts w:ascii="Book Antiqua" w:hAnsi="Book Antiqua" w:cs="Arial"/>
        </w:rPr>
        <w:tab/>
        <w:t xml:space="preserve">The appellant appealed the respondent’s decision dated </w:t>
      </w:r>
      <w:r w:rsidR="00E82B41">
        <w:rPr>
          <w:rFonts w:ascii="Book Antiqua" w:hAnsi="Book Antiqua" w:cs="Arial"/>
        </w:rPr>
        <w:t xml:space="preserve">08 December 2016 to refuse a human rights claim. </w:t>
      </w:r>
    </w:p>
    <w:p w:rsidR="00405694" w:rsidRDefault="00E82B41" w:rsidP="001B7A7E">
      <w:pPr>
        <w:tabs>
          <w:tab w:val="left" w:pos="567"/>
        </w:tabs>
        <w:spacing w:before="120"/>
        <w:ind w:left="564" w:hanging="564"/>
        <w:jc w:val="both"/>
        <w:rPr>
          <w:rFonts w:ascii="Book Antiqua" w:hAnsi="Book Antiqua" w:cs="Arial"/>
        </w:rPr>
      </w:pPr>
      <w:r>
        <w:rPr>
          <w:rFonts w:ascii="Book Antiqua" w:hAnsi="Book Antiqua" w:cs="Arial"/>
        </w:rPr>
        <w:t>2.</w:t>
      </w:r>
      <w:r>
        <w:rPr>
          <w:rFonts w:ascii="Book Antiqua" w:hAnsi="Book Antiqua" w:cs="Arial"/>
        </w:rPr>
        <w:tab/>
        <w:t xml:space="preserve">First-tier Tribunal Judge </w:t>
      </w:r>
      <w:proofErr w:type="spellStart"/>
      <w:r>
        <w:rPr>
          <w:rFonts w:ascii="Book Antiqua" w:hAnsi="Book Antiqua" w:cs="Arial"/>
        </w:rPr>
        <w:t>Hawden</w:t>
      </w:r>
      <w:proofErr w:type="spellEnd"/>
      <w:r>
        <w:rPr>
          <w:rFonts w:ascii="Book Antiqua" w:hAnsi="Book Antiqua" w:cs="Arial"/>
        </w:rPr>
        <w:t xml:space="preserve">-Beal (“the judge”) dismissed the appeal in a decision promulgated on 13 December 2017. </w:t>
      </w:r>
    </w:p>
    <w:p w:rsidR="00E82B41" w:rsidRDefault="00E82B41" w:rsidP="001B7A7E">
      <w:pPr>
        <w:tabs>
          <w:tab w:val="left" w:pos="567"/>
        </w:tabs>
        <w:spacing w:before="120"/>
        <w:jc w:val="both"/>
        <w:rPr>
          <w:rFonts w:ascii="Book Antiqua" w:hAnsi="Book Antiqua" w:cs="Arial"/>
        </w:rPr>
      </w:pPr>
      <w:r>
        <w:rPr>
          <w:rFonts w:ascii="Book Antiqua" w:hAnsi="Book Antiqua" w:cs="Arial"/>
        </w:rPr>
        <w:t>3.</w:t>
      </w:r>
      <w:r>
        <w:rPr>
          <w:rFonts w:ascii="Book Antiqua" w:hAnsi="Book Antiqua" w:cs="Arial"/>
        </w:rPr>
        <w:tab/>
        <w:t>The appellant appealed the First-tier Tribunal decision on the following grounds:</w:t>
      </w:r>
    </w:p>
    <w:p w:rsidR="00E82B41" w:rsidRDefault="00E82B41" w:rsidP="001B7A7E">
      <w:pPr>
        <w:numPr>
          <w:ilvl w:val="0"/>
          <w:numId w:val="6"/>
        </w:numPr>
        <w:tabs>
          <w:tab w:val="left" w:pos="567"/>
        </w:tabs>
        <w:spacing w:before="120"/>
        <w:jc w:val="both"/>
        <w:rPr>
          <w:rFonts w:ascii="Book Antiqua" w:hAnsi="Book Antiqua" w:cs="Arial"/>
        </w:rPr>
      </w:pPr>
      <w:r>
        <w:rPr>
          <w:rFonts w:ascii="Book Antiqua" w:hAnsi="Book Antiqua" w:cs="Arial"/>
        </w:rPr>
        <w:t>The judge erred in her approach to section 117</w:t>
      </w:r>
      <w:proofErr w:type="gramStart"/>
      <w:r>
        <w:rPr>
          <w:rFonts w:ascii="Book Antiqua" w:hAnsi="Book Antiqua" w:cs="Arial"/>
        </w:rPr>
        <w:t>B(</w:t>
      </w:r>
      <w:proofErr w:type="gramEnd"/>
      <w:r>
        <w:rPr>
          <w:rFonts w:ascii="Book Antiqua" w:hAnsi="Book Antiqua" w:cs="Arial"/>
        </w:rPr>
        <w:t xml:space="preserve">6) of the Nationality, Immigration and Asylum Act 2002 (“the NIAA 2002”), which was contrary to the guidance given in </w:t>
      </w:r>
      <w:r w:rsidRPr="00A4398D">
        <w:rPr>
          <w:rFonts w:ascii="Book Antiqua" w:hAnsi="Book Antiqua" w:cs="Arial"/>
          <w:i/>
        </w:rPr>
        <w:t>MA (Pakistan) v SSHD</w:t>
      </w:r>
      <w:r>
        <w:rPr>
          <w:rFonts w:ascii="Book Antiqua" w:hAnsi="Book Antiqua" w:cs="Arial"/>
        </w:rPr>
        <w:t xml:space="preserve"> [2016] EWCA Civ 705. </w:t>
      </w:r>
    </w:p>
    <w:p w:rsidR="00E82B41" w:rsidRDefault="00E82B41" w:rsidP="001B7A7E">
      <w:pPr>
        <w:numPr>
          <w:ilvl w:val="0"/>
          <w:numId w:val="6"/>
        </w:numPr>
        <w:tabs>
          <w:tab w:val="left" w:pos="567"/>
        </w:tabs>
        <w:spacing w:before="120"/>
        <w:jc w:val="both"/>
        <w:rPr>
          <w:rFonts w:ascii="Book Antiqua" w:hAnsi="Book Antiqua" w:cs="Arial"/>
        </w:rPr>
      </w:pPr>
      <w:r>
        <w:rPr>
          <w:rFonts w:ascii="Book Antiqua" w:hAnsi="Book Antiqua" w:cs="Arial"/>
        </w:rPr>
        <w:t>The judge failed to make any findings relating to the best interests of the children.</w:t>
      </w:r>
    </w:p>
    <w:p w:rsidR="00E82B41" w:rsidRPr="00E82B41" w:rsidRDefault="00E82B41" w:rsidP="001B7A7E">
      <w:pPr>
        <w:numPr>
          <w:ilvl w:val="0"/>
          <w:numId w:val="6"/>
        </w:numPr>
        <w:tabs>
          <w:tab w:val="left" w:pos="567"/>
        </w:tabs>
        <w:spacing w:before="120"/>
        <w:jc w:val="both"/>
        <w:rPr>
          <w:rFonts w:ascii="Book Antiqua" w:hAnsi="Book Antiqua" w:cs="Arial"/>
        </w:rPr>
      </w:pPr>
      <w:r>
        <w:rPr>
          <w:rFonts w:ascii="Book Antiqua" w:hAnsi="Book Antiqua" w:cs="Arial"/>
        </w:rPr>
        <w:t xml:space="preserve">The judge failed to </w:t>
      </w:r>
      <w:r w:rsidR="00A4398D">
        <w:rPr>
          <w:rFonts w:ascii="Book Antiqua" w:hAnsi="Book Antiqua" w:cs="Arial"/>
        </w:rPr>
        <w:t xml:space="preserve">consider </w:t>
      </w:r>
      <w:r w:rsidR="00095311">
        <w:rPr>
          <w:rFonts w:ascii="Book Antiqua" w:hAnsi="Book Antiqua" w:cs="Arial"/>
        </w:rPr>
        <w:t xml:space="preserve">adequately </w:t>
      </w:r>
      <w:r>
        <w:rPr>
          <w:rFonts w:ascii="Book Antiqua" w:hAnsi="Book Antiqua" w:cs="Arial"/>
        </w:rPr>
        <w:t>the respondent’s guidan</w:t>
      </w:r>
      <w:r w:rsidR="00D353FC">
        <w:rPr>
          <w:rFonts w:ascii="Book Antiqua" w:hAnsi="Book Antiqua" w:cs="Arial"/>
        </w:rPr>
        <w:t xml:space="preserve">ce </w:t>
      </w:r>
      <w:r>
        <w:rPr>
          <w:rFonts w:ascii="Book Antiqua" w:hAnsi="Book Antiqua" w:cs="Arial"/>
        </w:rPr>
        <w:t xml:space="preserve">outlined in </w:t>
      </w:r>
      <w:r w:rsidRPr="00A4398D">
        <w:rPr>
          <w:rFonts w:ascii="Book Antiqua" w:hAnsi="Book Antiqua" w:cs="Arial"/>
          <w:i/>
        </w:rPr>
        <w:t>SF and Others (Guidance, post-2014 Act) Albania</w:t>
      </w:r>
      <w:r>
        <w:rPr>
          <w:rFonts w:ascii="Book Antiqua" w:hAnsi="Book Antiqua" w:cs="Arial"/>
        </w:rPr>
        <w:t xml:space="preserve"> [2017] UKUT 00120</w:t>
      </w:r>
      <w:r w:rsidR="00AB3D8A">
        <w:rPr>
          <w:rFonts w:ascii="Book Antiqua" w:hAnsi="Book Antiqua" w:cs="Arial"/>
        </w:rPr>
        <w:t>.</w:t>
      </w:r>
    </w:p>
    <w:p w:rsidR="00405694" w:rsidRPr="00405694" w:rsidRDefault="00405694" w:rsidP="001B7A7E">
      <w:pPr>
        <w:tabs>
          <w:tab w:val="left" w:pos="567"/>
        </w:tabs>
        <w:spacing w:before="120"/>
        <w:jc w:val="both"/>
        <w:rPr>
          <w:rFonts w:ascii="Book Antiqua" w:hAnsi="Book Antiqua" w:cs="Arial"/>
          <w:b/>
          <w:u w:val="single"/>
        </w:rPr>
      </w:pPr>
      <w:r w:rsidRPr="00405694">
        <w:rPr>
          <w:rFonts w:ascii="Book Antiqua" w:hAnsi="Book Antiqua" w:cs="Arial"/>
          <w:b/>
          <w:u w:val="single"/>
        </w:rPr>
        <w:t>Decision and reasons</w:t>
      </w:r>
    </w:p>
    <w:p w:rsidR="00095311" w:rsidRDefault="00A4398D" w:rsidP="001B7A7E">
      <w:pPr>
        <w:tabs>
          <w:tab w:val="left" w:pos="567"/>
        </w:tabs>
        <w:spacing w:before="120"/>
        <w:ind w:left="564" w:hanging="564"/>
        <w:jc w:val="both"/>
        <w:rPr>
          <w:rFonts w:ascii="Book Antiqua" w:hAnsi="Book Antiqua" w:cs="Arial"/>
        </w:rPr>
      </w:pPr>
      <w:r>
        <w:rPr>
          <w:rFonts w:ascii="Book Antiqua" w:hAnsi="Book Antiqua" w:cs="Arial"/>
        </w:rPr>
        <w:t>4.</w:t>
      </w:r>
      <w:r>
        <w:rPr>
          <w:rFonts w:ascii="Book Antiqua" w:hAnsi="Book Antiqua" w:cs="Arial"/>
        </w:rPr>
        <w:tab/>
        <w:t xml:space="preserve">It is not necessary to make any detailed findings in relation to the grounds of appeal, although there was some divergence between the parties on the first ground, it was agreed that the judge erred in failing to make any </w:t>
      </w:r>
      <w:r w:rsidR="00095311">
        <w:rPr>
          <w:rFonts w:ascii="Book Antiqua" w:hAnsi="Book Antiqua" w:cs="Arial"/>
        </w:rPr>
        <w:t xml:space="preserve">clear </w:t>
      </w:r>
      <w:r>
        <w:rPr>
          <w:rFonts w:ascii="Book Antiqua" w:hAnsi="Book Antiqua" w:cs="Arial"/>
        </w:rPr>
        <w:t xml:space="preserve">findings relating to the best interests of the children. </w:t>
      </w:r>
    </w:p>
    <w:p w:rsidR="00405694" w:rsidRDefault="00095311" w:rsidP="001B7A7E">
      <w:pPr>
        <w:tabs>
          <w:tab w:val="left" w:pos="567"/>
        </w:tabs>
        <w:spacing w:before="120"/>
        <w:ind w:left="564" w:hanging="564"/>
        <w:jc w:val="both"/>
        <w:rPr>
          <w:rFonts w:ascii="Book Antiqua" w:hAnsi="Book Antiqua" w:cs="Arial"/>
        </w:rPr>
      </w:pPr>
      <w:r>
        <w:rPr>
          <w:rFonts w:ascii="Book Antiqua" w:hAnsi="Book Antiqua" w:cs="Arial"/>
        </w:rPr>
        <w:t>5.</w:t>
      </w:r>
      <w:r>
        <w:rPr>
          <w:rFonts w:ascii="Book Antiqua" w:hAnsi="Book Antiqua" w:cs="Arial"/>
        </w:rPr>
        <w:tab/>
      </w:r>
      <w:r w:rsidR="00AB3D8A">
        <w:rPr>
          <w:rFonts w:ascii="Book Antiqua" w:hAnsi="Book Antiqua" w:cs="Arial"/>
        </w:rPr>
        <w:t>There is a</w:t>
      </w:r>
      <w:r w:rsidR="00A4398D">
        <w:rPr>
          <w:rFonts w:ascii="Book Antiqua" w:hAnsi="Book Antiqua" w:cs="Arial"/>
        </w:rPr>
        <w:t xml:space="preserve"> long </w:t>
      </w:r>
      <w:r>
        <w:rPr>
          <w:rFonts w:ascii="Book Antiqua" w:hAnsi="Book Antiqua" w:cs="Arial"/>
        </w:rPr>
        <w:t xml:space="preserve">history </w:t>
      </w:r>
      <w:r w:rsidR="00A4398D">
        <w:rPr>
          <w:rFonts w:ascii="Book Antiqua" w:hAnsi="Book Antiqua" w:cs="Arial"/>
        </w:rPr>
        <w:t xml:space="preserve">of </w:t>
      </w:r>
      <w:r>
        <w:rPr>
          <w:rFonts w:ascii="Book Antiqua" w:hAnsi="Book Antiqua" w:cs="Arial"/>
        </w:rPr>
        <w:t xml:space="preserve">binding case law </w:t>
      </w:r>
      <w:r w:rsidR="00A4398D">
        <w:rPr>
          <w:rFonts w:ascii="Book Antiqua" w:hAnsi="Book Antiqua" w:cs="Arial"/>
        </w:rPr>
        <w:t>repeating the importance of the need to make clear findings as to where the best interes</w:t>
      </w:r>
      <w:r w:rsidR="00AB3D8A">
        <w:rPr>
          <w:rFonts w:ascii="Book Antiqua" w:hAnsi="Book Antiqua" w:cs="Arial"/>
        </w:rPr>
        <w:t xml:space="preserve">ts of children lie and to give appropriate weight to the children’s interests as a ‘primary consideration. Despite the fact that </w:t>
      </w:r>
      <w:r w:rsidR="00D353FC">
        <w:rPr>
          <w:rFonts w:ascii="Book Antiqua" w:hAnsi="Book Antiqua" w:cs="Arial"/>
        </w:rPr>
        <w:t>it</w:t>
      </w:r>
      <w:r w:rsidR="00AB3D8A">
        <w:rPr>
          <w:rFonts w:ascii="Book Antiqua" w:hAnsi="Book Antiqua" w:cs="Arial"/>
        </w:rPr>
        <w:t xml:space="preserve"> is trite and binding law, </w:t>
      </w:r>
      <w:r w:rsidR="00A4398D">
        <w:rPr>
          <w:rFonts w:ascii="Book Antiqua" w:hAnsi="Book Antiqua" w:cs="Arial"/>
        </w:rPr>
        <w:t xml:space="preserve">and even though the interests of the children were of central importance to the case, </w:t>
      </w:r>
      <w:r>
        <w:rPr>
          <w:rFonts w:ascii="Book Antiqua" w:hAnsi="Book Antiqua" w:cs="Arial"/>
        </w:rPr>
        <w:t xml:space="preserve">it is </w:t>
      </w:r>
      <w:r w:rsidR="00757367">
        <w:rPr>
          <w:rFonts w:ascii="Book Antiqua" w:hAnsi="Book Antiqua" w:cs="Arial"/>
        </w:rPr>
        <w:t>apparent</w:t>
      </w:r>
      <w:r>
        <w:rPr>
          <w:rFonts w:ascii="Book Antiqua" w:hAnsi="Book Antiqua" w:cs="Arial"/>
        </w:rPr>
        <w:t xml:space="preserve"> from the face of the decision that the judge made no clear findings as to whether it was in the interests of the children to remain in the UK in a family unit with their father, and if it was, whether the appellant’s immigration history was sufficiently serious to outweigh the significant weight that should be given to the interests of children who are long settled in the UK. </w:t>
      </w:r>
      <w:r w:rsidR="00AB3D8A">
        <w:rPr>
          <w:rFonts w:ascii="Book Antiqua" w:hAnsi="Book Antiqua" w:cs="Arial"/>
        </w:rPr>
        <w:t xml:space="preserve">No consideration was given to the potential impact on the children of a prolonged separation from their father. </w:t>
      </w:r>
    </w:p>
    <w:p w:rsidR="00095311" w:rsidRDefault="00095311" w:rsidP="001B7A7E">
      <w:pPr>
        <w:tabs>
          <w:tab w:val="left" w:pos="567"/>
        </w:tabs>
        <w:spacing w:before="120"/>
        <w:ind w:left="564" w:hanging="564"/>
        <w:jc w:val="both"/>
        <w:rPr>
          <w:rFonts w:ascii="Book Antiqua" w:hAnsi="Book Antiqua" w:cs="Arial"/>
        </w:rPr>
      </w:pPr>
      <w:r>
        <w:rPr>
          <w:rFonts w:ascii="Book Antiqua" w:hAnsi="Book Antiqua" w:cs="Arial"/>
        </w:rPr>
        <w:t>6.</w:t>
      </w:r>
      <w:r>
        <w:rPr>
          <w:rFonts w:ascii="Book Antiqua" w:hAnsi="Book Antiqua" w:cs="Arial"/>
        </w:rPr>
        <w:tab/>
      </w:r>
      <w:r w:rsidR="00AB3D8A">
        <w:rPr>
          <w:rFonts w:ascii="Book Antiqua" w:hAnsi="Book Antiqua" w:cs="Arial"/>
        </w:rPr>
        <w:t>O</w:t>
      </w:r>
      <w:r>
        <w:rPr>
          <w:rFonts w:ascii="Book Antiqua" w:hAnsi="Book Antiqua" w:cs="Arial"/>
        </w:rPr>
        <w:t xml:space="preserve">utstanding factual disputes, such as the appellant’s length of residence in the UK, </w:t>
      </w:r>
      <w:r w:rsidR="00AB3D8A">
        <w:rPr>
          <w:rFonts w:ascii="Book Antiqua" w:hAnsi="Book Antiqua" w:cs="Arial"/>
        </w:rPr>
        <w:t>will need to be determined. An</w:t>
      </w:r>
      <w:r>
        <w:rPr>
          <w:rFonts w:ascii="Book Antiqua" w:hAnsi="Book Antiqua" w:cs="Arial"/>
        </w:rPr>
        <w:t xml:space="preserve"> evaluative assessment </w:t>
      </w:r>
      <w:r w:rsidR="00AB3D8A">
        <w:rPr>
          <w:rFonts w:ascii="Book Antiqua" w:hAnsi="Book Antiqua" w:cs="Arial"/>
        </w:rPr>
        <w:t xml:space="preserve">will need to be made </w:t>
      </w:r>
      <w:r>
        <w:rPr>
          <w:rFonts w:ascii="Book Antiqua" w:hAnsi="Book Antiqua" w:cs="Arial"/>
        </w:rPr>
        <w:t xml:space="preserve">of the impact of the decision on the appellant and his family members. The parties agreed that the nature and extent of judicial fact finding that is necessary to remake the decision is such that it is appropriate to remit the case to the First-tier Tribunal for a fresh hearing (see paragraph 7.2 Practice Statement – 25/09/12). </w:t>
      </w:r>
    </w:p>
    <w:p w:rsidR="00405694" w:rsidRPr="00A4398D" w:rsidRDefault="002E7956" w:rsidP="001B7A7E">
      <w:pPr>
        <w:tabs>
          <w:tab w:val="left" w:pos="567"/>
        </w:tabs>
        <w:spacing w:before="120"/>
        <w:jc w:val="both"/>
        <w:rPr>
          <w:rFonts w:ascii="Book Antiqua" w:hAnsi="Book Antiqua" w:cs="Arial"/>
          <w:u w:val="single"/>
        </w:rPr>
      </w:pPr>
      <w:r w:rsidRPr="00A4398D">
        <w:rPr>
          <w:rFonts w:ascii="Book Antiqua" w:hAnsi="Book Antiqua" w:cs="Arial"/>
          <w:u w:val="single"/>
        </w:rPr>
        <w:t>DECISION</w:t>
      </w:r>
    </w:p>
    <w:p w:rsidR="002E7956" w:rsidRDefault="00A4398D" w:rsidP="001B7A7E">
      <w:pPr>
        <w:tabs>
          <w:tab w:val="left" w:pos="567"/>
        </w:tabs>
        <w:spacing w:before="120"/>
        <w:jc w:val="both"/>
        <w:rPr>
          <w:rFonts w:ascii="Book Antiqua" w:hAnsi="Book Antiqua" w:cs="Arial"/>
        </w:rPr>
      </w:pPr>
      <w:r>
        <w:rPr>
          <w:rFonts w:ascii="Book Antiqua" w:hAnsi="Book Antiqua" w:cs="Arial"/>
        </w:rPr>
        <w:t>The First-tier Tribunal decision involved the making of an error on a point of law</w:t>
      </w:r>
    </w:p>
    <w:p w:rsidR="00A4398D" w:rsidRDefault="00A4398D" w:rsidP="001B7A7E">
      <w:pPr>
        <w:tabs>
          <w:tab w:val="left" w:pos="567"/>
        </w:tabs>
        <w:spacing w:before="120"/>
        <w:jc w:val="both"/>
        <w:rPr>
          <w:rFonts w:ascii="Book Antiqua" w:hAnsi="Book Antiqua" w:cs="Arial"/>
        </w:rPr>
      </w:pPr>
      <w:r>
        <w:rPr>
          <w:rFonts w:ascii="Book Antiqua" w:hAnsi="Book Antiqua" w:cs="Arial"/>
        </w:rPr>
        <w:t>The decision is set aside and is remitted to the First-tier Tribunal for a fresh hearing</w:t>
      </w:r>
    </w:p>
    <w:p w:rsidR="001B7A7E" w:rsidRDefault="001B7A7E" w:rsidP="00933B65">
      <w:pPr>
        <w:tabs>
          <w:tab w:val="left" w:pos="567"/>
        </w:tabs>
        <w:jc w:val="both"/>
        <w:rPr>
          <w:rFonts w:ascii="Book Antiqua" w:hAnsi="Book Antiqua" w:cs="Arial"/>
        </w:rPr>
      </w:pPr>
    </w:p>
    <w:p w:rsidR="00A57676" w:rsidRDefault="00115648" w:rsidP="00933B65">
      <w:pPr>
        <w:tabs>
          <w:tab w:val="left" w:pos="567"/>
        </w:tabs>
        <w:jc w:val="both"/>
        <w:rPr>
          <w:rFonts w:ascii="Book Antiqua" w:hAnsi="Book Antiqua" w:cs="Arial"/>
        </w:rPr>
      </w:pPr>
      <w:r>
        <w:rPr>
          <w:rFonts w:ascii="Book Antiqua" w:hAnsi="Book Antiqua" w:cs="Arial"/>
        </w:rPr>
        <w:t>Signed</w:t>
      </w:r>
      <w:r w:rsidR="00BB40C3">
        <w:rPr>
          <w:rFonts w:ascii="Book Antiqua" w:hAnsi="Book Antiqua" w:cs="Arial"/>
        </w:rPr>
        <w:t xml:space="preserve">   </w:t>
      </w:r>
      <w:r w:rsidR="00E14809" w:rsidRPr="000A38E1">
        <w:rPr>
          <w:rFonts w:ascii="Book Antiqua" w:hAnsi="Book Antiqua" w:cs="Arial"/>
          <w:noProof/>
        </w:rPr>
        <w:drawing>
          <wp:inline distT="0" distB="0" distL="0" distR="0">
            <wp:extent cx="1386840" cy="3733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6840" cy="373380"/>
                    </a:xfrm>
                    <a:prstGeom prst="rect">
                      <a:avLst/>
                    </a:prstGeom>
                    <a:noFill/>
                    <a:ln>
                      <a:noFill/>
                    </a:ln>
                  </pic:spPr>
                </pic:pic>
              </a:graphicData>
            </a:graphic>
          </wp:inline>
        </w:drawing>
      </w:r>
      <w:r w:rsidR="00A57676">
        <w:rPr>
          <w:rFonts w:ascii="Book Antiqua" w:hAnsi="Book Antiqua" w:cs="Arial"/>
        </w:rPr>
        <w:tab/>
      </w:r>
      <w:r>
        <w:rPr>
          <w:rFonts w:ascii="Book Antiqua" w:hAnsi="Book Antiqua" w:cs="Arial"/>
        </w:rPr>
        <w:t>Date</w:t>
      </w:r>
      <w:r w:rsidR="00056E7C">
        <w:rPr>
          <w:rFonts w:ascii="Book Antiqua" w:hAnsi="Book Antiqua" w:cs="Arial"/>
        </w:rPr>
        <w:t xml:space="preserve"> </w:t>
      </w:r>
      <w:r w:rsidR="00A4398D">
        <w:rPr>
          <w:rFonts w:ascii="Book Antiqua" w:hAnsi="Book Antiqua" w:cs="Arial"/>
        </w:rPr>
        <w:t>08 August 2018</w:t>
      </w:r>
    </w:p>
    <w:p w:rsidR="008832E8" w:rsidRDefault="00546523" w:rsidP="00AB3D8A">
      <w:pPr>
        <w:tabs>
          <w:tab w:val="left" w:pos="567"/>
        </w:tabs>
        <w:jc w:val="both"/>
        <w:rPr>
          <w:rFonts w:ascii="Book Antiqua" w:hAnsi="Book Antiqua" w:cs="Arial"/>
        </w:rPr>
      </w:pPr>
      <w:r>
        <w:rPr>
          <w:rFonts w:ascii="Book Antiqua" w:hAnsi="Book Antiqua" w:cs="Arial"/>
        </w:rPr>
        <w:t xml:space="preserve">Upper Tribunal Judge </w:t>
      </w:r>
      <w:r w:rsidR="00A57676">
        <w:rPr>
          <w:rFonts w:ascii="Book Antiqua" w:hAnsi="Book Antiqua" w:cs="Arial"/>
        </w:rPr>
        <w:t>Canavan</w:t>
      </w:r>
    </w:p>
    <w:sectPr w:rsidR="008832E8"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32D" w:rsidRDefault="0074132D">
      <w:r>
        <w:separator/>
      </w:r>
    </w:p>
  </w:endnote>
  <w:endnote w:type="continuationSeparator" w:id="0">
    <w:p w:rsidR="0074132D" w:rsidRDefault="00741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593795" w:rsidRDefault="00F75541"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761B6E">
      <w:rPr>
        <w:rStyle w:val="PageNumber"/>
        <w:rFonts w:ascii="Arial" w:hAnsi="Arial" w:cs="Arial"/>
        <w:noProof/>
        <w:sz w:val="16"/>
        <w:szCs w:val="16"/>
      </w:rPr>
      <w:t>2</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090CF9" w:rsidRDefault="00F75541" w:rsidP="00614E94">
    <w:pPr>
      <w:jc w:val="center"/>
      <w:rPr>
        <w:rFonts w:ascii="Arial" w:hAnsi="Arial" w:cs="Arial"/>
        <w:b/>
      </w:rPr>
    </w:pPr>
    <w:r w:rsidRPr="00090CF9">
      <w:rPr>
        <w:rFonts w:ascii="Arial" w:hAnsi="Arial" w:cs="Arial"/>
        <w:b/>
        <w:spacing w:val="-6"/>
      </w:rPr>
      <w:t>©</w:t>
    </w:r>
    <w:r w:rsidR="00816668">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32D" w:rsidRDefault="0074132D">
      <w:r>
        <w:separator/>
      </w:r>
    </w:p>
  </w:footnote>
  <w:footnote w:type="continuationSeparator" w:id="0">
    <w:p w:rsidR="0074132D" w:rsidRDefault="007413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956" w:rsidRPr="002E7956" w:rsidRDefault="00F75541" w:rsidP="002E7956">
    <w:pPr>
      <w:tabs>
        <w:tab w:val="right" w:pos="9720"/>
      </w:tabs>
      <w:ind w:right="-82"/>
      <w:jc w:val="right"/>
      <w:rPr>
        <w:rFonts w:ascii="Book Antiqua" w:hAnsi="Book Antiqua" w:cs="Arial"/>
        <w:color w:val="000000"/>
        <w:sz w:val="16"/>
        <w:szCs w:val="16"/>
      </w:rPr>
    </w:pPr>
    <w:r w:rsidRPr="001C2435">
      <w:rPr>
        <w:rFonts w:ascii="Book Antiqua" w:hAnsi="Book Antiqua" w:cs="Arial"/>
        <w:sz w:val="16"/>
        <w:szCs w:val="16"/>
      </w:rPr>
      <w:t>Appeal Number</w:t>
    </w:r>
    <w:r w:rsidR="008F0F73">
      <w:rPr>
        <w:rFonts w:ascii="Book Antiqua" w:hAnsi="Book Antiqua" w:cs="Arial"/>
        <w:sz w:val="16"/>
        <w:szCs w:val="16"/>
      </w:rPr>
      <w:t xml:space="preserve">: </w:t>
    </w:r>
    <w:r w:rsidR="002E7956" w:rsidRPr="002E7956">
      <w:rPr>
        <w:rFonts w:ascii="Book Antiqua" w:hAnsi="Book Antiqua" w:cs="Arial"/>
        <w:color w:val="000000"/>
        <w:sz w:val="16"/>
        <w:szCs w:val="16"/>
      </w:rPr>
      <w:t>HU/27284/2016</w:t>
    </w:r>
  </w:p>
  <w:p w:rsidR="00CF2453" w:rsidRPr="00CF2453" w:rsidRDefault="00CF2453" w:rsidP="00CF2453">
    <w:pPr>
      <w:tabs>
        <w:tab w:val="right" w:pos="9720"/>
      </w:tabs>
      <w:ind w:right="-82"/>
      <w:jc w:val="right"/>
      <w:rPr>
        <w:rFonts w:ascii="Book Antiqua" w:hAnsi="Book Antiqua" w:cs="Arial"/>
        <w:color w:val="000000"/>
        <w:sz w:val="16"/>
        <w:szCs w:val="16"/>
      </w:rPr>
    </w:pPr>
  </w:p>
  <w:p w:rsidR="00F75541" w:rsidRPr="001C2435" w:rsidRDefault="00F75541"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54821"/>
    <w:multiLevelType w:val="hybridMultilevel"/>
    <w:tmpl w:val="385C84E6"/>
    <w:lvl w:ilvl="0" w:tplc="77FEAEE0">
      <w:start w:val="1"/>
      <w:numFmt w:val="lowerRoman"/>
      <w:lvlText w:val="(%1)"/>
      <w:lvlJc w:val="left"/>
      <w:pPr>
        <w:ind w:left="1284" w:hanging="720"/>
      </w:pPr>
      <w:rPr>
        <w:rFonts w:hint="default"/>
      </w:rPr>
    </w:lvl>
    <w:lvl w:ilvl="1" w:tplc="08090019" w:tentative="1">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abstractNum w:abstractNumId="1"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79B4335"/>
    <w:multiLevelType w:val="hybridMultilevel"/>
    <w:tmpl w:val="FA9E25E0"/>
    <w:lvl w:ilvl="0" w:tplc="649C1A72">
      <w:start w:val="1"/>
      <w:numFmt w:val="lowerRoman"/>
      <w:lvlText w:val="(%1)"/>
      <w:lvlJc w:val="left"/>
      <w:pPr>
        <w:ind w:left="1290" w:hanging="72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3"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5"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10B88"/>
    <w:rsid w:val="00047060"/>
    <w:rsid w:val="00056E7C"/>
    <w:rsid w:val="000644CE"/>
    <w:rsid w:val="00095311"/>
    <w:rsid w:val="000D0603"/>
    <w:rsid w:val="00115648"/>
    <w:rsid w:val="00194FB4"/>
    <w:rsid w:val="001A14A2"/>
    <w:rsid w:val="001A373D"/>
    <w:rsid w:val="001B7A7E"/>
    <w:rsid w:val="001C2435"/>
    <w:rsid w:val="00200671"/>
    <w:rsid w:val="00266FFE"/>
    <w:rsid w:val="00270D89"/>
    <w:rsid w:val="00272712"/>
    <w:rsid w:val="00294F41"/>
    <w:rsid w:val="002E7956"/>
    <w:rsid w:val="002F6D78"/>
    <w:rsid w:val="003049FE"/>
    <w:rsid w:val="00345182"/>
    <w:rsid w:val="00396F7B"/>
    <w:rsid w:val="003B36AE"/>
    <w:rsid w:val="004044E6"/>
    <w:rsid w:val="00405694"/>
    <w:rsid w:val="00407E66"/>
    <w:rsid w:val="004171D0"/>
    <w:rsid w:val="00426F9F"/>
    <w:rsid w:val="004520D4"/>
    <w:rsid w:val="00497CC7"/>
    <w:rsid w:val="004A012D"/>
    <w:rsid w:val="004F4BE7"/>
    <w:rsid w:val="00546523"/>
    <w:rsid w:val="0057020B"/>
    <w:rsid w:val="005819E4"/>
    <w:rsid w:val="005907D8"/>
    <w:rsid w:val="00614E94"/>
    <w:rsid w:val="00631E34"/>
    <w:rsid w:val="00662048"/>
    <w:rsid w:val="0068059E"/>
    <w:rsid w:val="006A364A"/>
    <w:rsid w:val="00731039"/>
    <w:rsid w:val="0073630A"/>
    <w:rsid w:val="0074132D"/>
    <w:rsid w:val="00757367"/>
    <w:rsid w:val="00761B6E"/>
    <w:rsid w:val="007B09CD"/>
    <w:rsid w:val="007F7932"/>
    <w:rsid w:val="00816668"/>
    <w:rsid w:val="00821972"/>
    <w:rsid w:val="00832C3D"/>
    <w:rsid w:val="008832E8"/>
    <w:rsid w:val="008A3B24"/>
    <w:rsid w:val="008E01FB"/>
    <w:rsid w:val="008F0F73"/>
    <w:rsid w:val="00933B65"/>
    <w:rsid w:val="0094479E"/>
    <w:rsid w:val="009701EB"/>
    <w:rsid w:val="009942DD"/>
    <w:rsid w:val="009D5EB6"/>
    <w:rsid w:val="00A03E4C"/>
    <w:rsid w:val="00A4398D"/>
    <w:rsid w:val="00A472B6"/>
    <w:rsid w:val="00A57676"/>
    <w:rsid w:val="00A621AC"/>
    <w:rsid w:val="00A7051D"/>
    <w:rsid w:val="00A70F8E"/>
    <w:rsid w:val="00A82B6C"/>
    <w:rsid w:val="00A86A8D"/>
    <w:rsid w:val="00AB1DC6"/>
    <w:rsid w:val="00AB3D8A"/>
    <w:rsid w:val="00AB703E"/>
    <w:rsid w:val="00BB40C3"/>
    <w:rsid w:val="00C41B26"/>
    <w:rsid w:val="00C56E05"/>
    <w:rsid w:val="00C61D30"/>
    <w:rsid w:val="00C91E16"/>
    <w:rsid w:val="00CE5C94"/>
    <w:rsid w:val="00CF2453"/>
    <w:rsid w:val="00D25C76"/>
    <w:rsid w:val="00D3274C"/>
    <w:rsid w:val="00D353FC"/>
    <w:rsid w:val="00D36F32"/>
    <w:rsid w:val="00D40718"/>
    <w:rsid w:val="00DA52F3"/>
    <w:rsid w:val="00DE3D56"/>
    <w:rsid w:val="00E14809"/>
    <w:rsid w:val="00E15512"/>
    <w:rsid w:val="00E2527C"/>
    <w:rsid w:val="00E468D9"/>
    <w:rsid w:val="00E63B55"/>
    <w:rsid w:val="00E82B41"/>
    <w:rsid w:val="00E96B33"/>
    <w:rsid w:val="00ED1E61"/>
    <w:rsid w:val="00F648C0"/>
    <w:rsid w:val="00F66C52"/>
    <w:rsid w:val="00F75541"/>
    <w:rsid w:val="00F8752A"/>
    <w:rsid w:val="00FA0A2E"/>
    <w:rsid w:val="00FB0516"/>
    <w:rsid w:val="00FE3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0CE7508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styleId="ListParagraph">
    <w:name w:val="List Paragraph"/>
    <w:basedOn w:val="Normal"/>
    <w:uiPriority w:val="34"/>
    <w:qFormat/>
    <w:rsid w:val="00CF245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3073</Characters>
  <Application>Microsoft Office Word</Application>
  <DocSecurity>0</DocSecurity>
  <Lines>25</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2018-09-04T15:02:00Z</dcterms:created>
  <dcterms:modified xsi:type="dcterms:W3CDTF">2018-09-04T15:02:00Z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