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422992" w:rsidRDefault="00422992" w:rsidP="00F97703">
      <w:pPr>
        <w:jc w:val="center"/>
      </w:pPr>
    </w:p>
    <w:p w:rsidR="00F97703" w:rsidRDefault="00C47A7D" w:rsidP="00F97703">
      <w:pPr>
        <w:jc w:val="center"/>
        <w:rPr>
          <w:rFonts w:ascii="Book Antiqua" w:hAnsi="Book Antiqua" w:cs="Arial"/>
          <w:color w:val="000000"/>
        </w:rPr>
      </w:pPr>
      <w:r>
        <w:rPr>
          <w:noProof/>
        </w:rPr>
        <w:drawing>
          <wp:inline distT="0" distB="0" distL="0" distR="0">
            <wp:extent cx="1280160" cy="89154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891540"/>
                    </a:xfrm>
                    <a:prstGeom prst="rect">
                      <a:avLst/>
                    </a:prstGeom>
                    <a:noFill/>
                    <a:ln>
                      <a:noFill/>
                    </a:ln>
                  </pic:spPr>
                </pic:pic>
              </a:graphicData>
            </a:graphic>
          </wp:inline>
        </w:drawing>
      </w:r>
    </w:p>
    <w:p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C345E1" w:rsidRPr="00F97703" w:rsidRDefault="00F97703" w:rsidP="004B0D3A">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6772C2">
        <w:rPr>
          <w:rFonts w:ascii="Book Antiqua" w:hAnsi="Book Antiqua" w:cs="Arial"/>
          <w:caps/>
          <w:color w:val="000000"/>
        </w:rPr>
        <w:t>HU/</w:t>
      </w:r>
      <w:r w:rsidR="00145176">
        <w:rPr>
          <w:rFonts w:ascii="Book Antiqua" w:hAnsi="Book Antiqua" w:cs="Arial"/>
          <w:caps/>
          <w:color w:val="000000"/>
        </w:rPr>
        <w:t>27710/2016</w:t>
      </w:r>
      <w:bookmarkEnd w:id="0"/>
    </w:p>
    <w:p w:rsidR="00C345E1" w:rsidRDefault="00C345E1" w:rsidP="00C345E1">
      <w:pPr>
        <w:jc w:val="center"/>
        <w:rPr>
          <w:rFonts w:ascii="Book Antiqua" w:hAnsi="Book Antiqua" w:cs="Arial"/>
          <w:color w:val="000000"/>
        </w:rPr>
      </w:pPr>
    </w:p>
    <w:p w:rsidR="002A632E" w:rsidRPr="00F97703" w:rsidRDefault="002A632E" w:rsidP="00C345E1">
      <w:pPr>
        <w:jc w:val="center"/>
        <w:rPr>
          <w:rFonts w:ascii="Book Antiqua" w:hAnsi="Book Antiqua" w:cs="Arial"/>
          <w:color w:val="000000"/>
        </w:rPr>
      </w:pPr>
    </w:p>
    <w:p w:rsidR="00C345E1" w:rsidRPr="00F97703" w:rsidRDefault="00C345E1" w:rsidP="000652CE">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Default="00C345E1" w:rsidP="00071E54">
      <w:pPr>
        <w:rPr>
          <w:rFonts w:ascii="Book Antiqua" w:hAnsi="Book Antiqua" w:cs="Arial"/>
          <w:b/>
          <w:u w:val="single"/>
        </w:rPr>
      </w:pPr>
    </w:p>
    <w:p w:rsidR="002A632E" w:rsidRPr="00F97703" w:rsidRDefault="002A632E" w:rsidP="00C345E1">
      <w:pPr>
        <w:jc w:val="center"/>
        <w:rPr>
          <w:rFonts w:ascii="Book Antiqua" w:hAnsi="Book Antiqua" w:cs="Arial"/>
          <w:b/>
          <w:u w:val="single"/>
        </w:rPr>
      </w:pPr>
    </w:p>
    <w:tbl>
      <w:tblPr>
        <w:tblW w:w="0" w:type="auto"/>
        <w:tblLook w:val="01E0" w:firstRow="1" w:lastRow="1" w:firstColumn="1" w:lastColumn="1" w:noHBand="0" w:noVBand="0"/>
      </w:tblPr>
      <w:tblGrid>
        <w:gridCol w:w="4416"/>
        <w:gridCol w:w="5222"/>
      </w:tblGrid>
      <w:tr w:rsidR="00D22636" w:rsidRPr="002D19E6" w:rsidTr="00C47A7D">
        <w:tc>
          <w:tcPr>
            <w:tcW w:w="4503" w:type="dxa"/>
            <w:shd w:val="clear" w:color="auto" w:fill="auto"/>
          </w:tcPr>
          <w:p w:rsidR="00D22636" w:rsidRPr="002D19E6" w:rsidRDefault="00C47A7D" w:rsidP="002D19E6">
            <w:pPr>
              <w:jc w:val="both"/>
              <w:rPr>
                <w:rFonts w:ascii="Book Antiqua" w:hAnsi="Book Antiqua" w:cs="Arial"/>
                <w:b/>
              </w:rPr>
            </w:pPr>
            <w:r>
              <w:rPr>
                <w:rFonts w:ascii="Book Antiqua" w:hAnsi="Book Antiqua" w:cs="Arial"/>
                <w:b/>
              </w:rPr>
              <w:t>Heard at</w:t>
            </w:r>
            <w:r w:rsidR="00952B45" w:rsidRPr="002D19E6">
              <w:rPr>
                <w:rFonts w:ascii="Book Antiqua" w:hAnsi="Book Antiqua" w:cs="Arial"/>
                <w:b/>
              </w:rPr>
              <w:t xml:space="preserve"> </w:t>
            </w:r>
            <w:r w:rsidR="00145176">
              <w:rPr>
                <w:rFonts w:ascii="Book Antiqua" w:hAnsi="Book Antiqua" w:cs="Arial"/>
                <w:b/>
              </w:rPr>
              <w:t>UT(IAC)</w:t>
            </w:r>
          </w:p>
        </w:tc>
        <w:tc>
          <w:tcPr>
            <w:tcW w:w="5325" w:type="dxa"/>
            <w:shd w:val="clear" w:color="auto" w:fill="auto"/>
          </w:tcPr>
          <w:p w:rsidR="00D22636" w:rsidRPr="002D19E6" w:rsidRDefault="00283659" w:rsidP="002D19E6">
            <w:pPr>
              <w:jc w:val="both"/>
              <w:rPr>
                <w:rFonts w:ascii="Book Antiqua" w:hAnsi="Book Antiqua" w:cs="Arial"/>
                <w:b/>
                <w:color w:val="000000"/>
              </w:rPr>
            </w:pPr>
            <w:r w:rsidRPr="002D19E6">
              <w:rPr>
                <w:rFonts w:ascii="Book Antiqua" w:hAnsi="Book Antiqua" w:cs="Arial"/>
                <w:b/>
                <w:color w:val="000000"/>
              </w:rPr>
              <w:t>De</w:t>
            </w:r>
            <w:r w:rsidR="006772C2">
              <w:rPr>
                <w:rFonts w:ascii="Book Antiqua" w:hAnsi="Book Antiqua" w:cs="Arial"/>
                <w:b/>
                <w:color w:val="000000"/>
              </w:rPr>
              <w:t>cisi</w:t>
            </w:r>
            <w:r w:rsidRPr="002D19E6">
              <w:rPr>
                <w:rFonts w:ascii="Book Antiqua" w:hAnsi="Book Antiqua" w:cs="Arial"/>
                <w:b/>
                <w:color w:val="000000"/>
              </w:rPr>
              <w:t>on</w:t>
            </w:r>
            <w:r w:rsidR="00C47A7D">
              <w:rPr>
                <w:rFonts w:ascii="Book Antiqua" w:hAnsi="Book Antiqua" w:cs="Arial"/>
                <w:b/>
                <w:color w:val="000000"/>
              </w:rPr>
              <w:t xml:space="preserve"> &amp; Reasons</w:t>
            </w:r>
            <w:r w:rsidRPr="002D19E6">
              <w:rPr>
                <w:rFonts w:ascii="Book Antiqua" w:hAnsi="Book Antiqua" w:cs="Arial"/>
                <w:b/>
                <w:color w:val="000000"/>
              </w:rPr>
              <w:t xml:space="preserve"> Promulgated</w:t>
            </w:r>
          </w:p>
        </w:tc>
      </w:tr>
      <w:tr w:rsidR="00D22636" w:rsidRPr="002D19E6" w:rsidTr="00C47A7D">
        <w:tc>
          <w:tcPr>
            <w:tcW w:w="4503" w:type="dxa"/>
            <w:shd w:val="clear" w:color="auto" w:fill="auto"/>
          </w:tcPr>
          <w:p w:rsidR="00D22636" w:rsidRPr="002D19E6" w:rsidRDefault="00D22636" w:rsidP="002D19E6">
            <w:pPr>
              <w:jc w:val="both"/>
              <w:rPr>
                <w:rFonts w:ascii="Book Antiqua" w:hAnsi="Book Antiqua" w:cs="Arial"/>
                <w:b/>
              </w:rPr>
            </w:pPr>
            <w:r w:rsidRPr="002D19E6">
              <w:rPr>
                <w:rFonts w:ascii="Book Antiqua" w:hAnsi="Book Antiqua" w:cs="Arial"/>
                <w:b/>
              </w:rPr>
              <w:t xml:space="preserve">On </w:t>
            </w:r>
            <w:r w:rsidR="00145176">
              <w:rPr>
                <w:rFonts w:ascii="Book Antiqua" w:hAnsi="Book Antiqua" w:cs="Arial"/>
                <w:b/>
              </w:rPr>
              <w:t>13 September</w:t>
            </w:r>
            <w:r w:rsidR="00A92D60">
              <w:rPr>
                <w:rFonts w:ascii="Book Antiqua" w:hAnsi="Book Antiqua" w:cs="Arial"/>
                <w:b/>
              </w:rPr>
              <w:t xml:space="preserve"> 2018</w:t>
            </w:r>
          </w:p>
        </w:tc>
        <w:tc>
          <w:tcPr>
            <w:tcW w:w="5325" w:type="dxa"/>
            <w:shd w:val="clear" w:color="auto" w:fill="auto"/>
          </w:tcPr>
          <w:p w:rsidR="00D22636" w:rsidRPr="002D19E6" w:rsidRDefault="00C47A7D" w:rsidP="002D19E6">
            <w:pPr>
              <w:jc w:val="both"/>
              <w:rPr>
                <w:rFonts w:ascii="Book Antiqua" w:hAnsi="Book Antiqua" w:cs="Arial"/>
                <w:b/>
              </w:rPr>
            </w:pPr>
            <w:r>
              <w:rPr>
                <w:rFonts w:ascii="Book Antiqua" w:hAnsi="Book Antiqua" w:cs="Arial"/>
                <w:b/>
              </w:rPr>
              <w:t>On 18 September 2018</w:t>
            </w:r>
          </w:p>
        </w:tc>
      </w:tr>
      <w:tr w:rsidR="00D22636" w:rsidRPr="002D19E6" w:rsidTr="00C47A7D">
        <w:tc>
          <w:tcPr>
            <w:tcW w:w="4503" w:type="dxa"/>
            <w:shd w:val="clear" w:color="auto" w:fill="auto"/>
          </w:tcPr>
          <w:p w:rsidR="00D22636" w:rsidRPr="002D19E6" w:rsidRDefault="00D22636" w:rsidP="002D19E6">
            <w:pPr>
              <w:jc w:val="both"/>
              <w:rPr>
                <w:rFonts w:ascii="Book Antiqua" w:hAnsi="Book Antiqua" w:cs="Arial"/>
                <w:b/>
              </w:rPr>
            </w:pPr>
          </w:p>
        </w:tc>
        <w:tc>
          <w:tcPr>
            <w:tcW w:w="5325" w:type="dxa"/>
            <w:shd w:val="clear" w:color="auto" w:fill="auto"/>
          </w:tcPr>
          <w:p w:rsidR="00D22636" w:rsidRPr="002D19E6" w:rsidRDefault="00D22636" w:rsidP="002D19E6">
            <w:pPr>
              <w:jc w:val="both"/>
              <w:rPr>
                <w:rFonts w:ascii="Book Antiqua" w:hAnsi="Book Antiqua" w:cs="Arial"/>
                <w:b/>
              </w:rPr>
            </w:pPr>
          </w:p>
        </w:tc>
      </w:tr>
    </w:tbl>
    <w:p w:rsidR="00A15234" w:rsidRPr="00F97703" w:rsidRDefault="00A15234" w:rsidP="00071E54">
      <w:pPr>
        <w:rPr>
          <w:rFonts w:ascii="Book Antiqua" w:hAnsi="Book Antiqua" w:cs="Arial"/>
        </w:rPr>
      </w:pPr>
    </w:p>
    <w:p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53164F" w:rsidRPr="00F97703" w:rsidRDefault="0053164F" w:rsidP="00A15234">
      <w:pPr>
        <w:jc w:val="center"/>
        <w:rPr>
          <w:rFonts w:ascii="Book Antiqua" w:hAnsi="Book Antiqua" w:cs="Arial"/>
          <w:b/>
        </w:rPr>
      </w:pPr>
    </w:p>
    <w:p w:rsidR="00D20757" w:rsidRPr="00F97703" w:rsidRDefault="0053164F" w:rsidP="000652CE">
      <w:pPr>
        <w:jc w:val="center"/>
        <w:outlineLvl w:val="0"/>
        <w:rPr>
          <w:rFonts w:ascii="Book Antiqua" w:hAnsi="Book Antiqua" w:cs="Arial"/>
          <w:b/>
          <w:color w:val="000000"/>
        </w:rPr>
      </w:pPr>
      <w:r>
        <w:rPr>
          <w:rFonts w:ascii="Book Antiqua" w:hAnsi="Book Antiqua" w:cs="Arial"/>
          <w:b/>
          <w:color w:val="000000"/>
        </w:rPr>
        <w:t>UPPER TRIBUNAL</w:t>
      </w:r>
      <w:r w:rsidR="001B2F75" w:rsidRPr="00F97703">
        <w:rPr>
          <w:rFonts w:ascii="Book Antiqua" w:hAnsi="Book Antiqua" w:cs="Arial"/>
          <w:b/>
          <w:color w:val="000000"/>
        </w:rPr>
        <w:t xml:space="preserve"> JUDG</w:t>
      </w:r>
      <w:r w:rsidR="00952B45">
        <w:rPr>
          <w:rFonts w:ascii="Book Antiqua" w:hAnsi="Book Antiqua" w:cs="Arial"/>
          <w:b/>
          <w:color w:val="000000"/>
        </w:rPr>
        <w:t>E KEBEDE</w:t>
      </w:r>
      <w:r w:rsidR="001B2F75" w:rsidRPr="00F97703">
        <w:rPr>
          <w:rFonts w:ascii="Book Antiqua" w:hAnsi="Book Antiqua" w:cs="Arial"/>
          <w:b/>
          <w:color w:val="000000"/>
        </w:rPr>
        <w:t xml:space="preserve"> </w:t>
      </w:r>
    </w:p>
    <w:p w:rsidR="001B186A" w:rsidRPr="00F97703" w:rsidRDefault="001B186A" w:rsidP="00104CC5">
      <w:pPr>
        <w:rPr>
          <w:rFonts w:ascii="Book Antiqua" w:hAnsi="Book Antiqua" w:cs="Arial"/>
          <w:b/>
          <w:color w:val="000000"/>
        </w:rPr>
      </w:pPr>
    </w:p>
    <w:p w:rsidR="0053164F" w:rsidRPr="00F97703" w:rsidRDefault="0053164F" w:rsidP="00E177AA">
      <w:pPr>
        <w:rPr>
          <w:rFonts w:ascii="Book Antiqua" w:hAnsi="Book Antiqua" w:cs="Arial"/>
          <w:b/>
        </w:rPr>
      </w:pPr>
    </w:p>
    <w:p w:rsidR="00A845DC" w:rsidRPr="00F97703" w:rsidRDefault="00A845DC" w:rsidP="000652CE">
      <w:pPr>
        <w:jc w:val="center"/>
        <w:outlineLvl w:val="0"/>
        <w:rPr>
          <w:rFonts w:ascii="Book Antiqua" w:hAnsi="Book Antiqua" w:cs="Arial"/>
          <w:b/>
        </w:rPr>
      </w:pPr>
      <w:r w:rsidRPr="00F97703">
        <w:rPr>
          <w:rFonts w:ascii="Book Antiqua" w:hAnsi="Book Antiqua" w:cs="Arial"/>
          <w:b/>
        </w:rPr>
        <w:t>Between</w:t>
      </w:r>
    </w:p>
    <w:p w:rsidR="00F32D00" w:rsidRDefault="00F32D00" w:rsidP="004B0D3A">
      <w:pPr>
        <w:rPr>
          <w:rFonts w:ascii="Book Antiqua" w:hAnsi="Book Antiqua" w:cs="Arial"/>
          <w:b/>
        </w:rPr>
      </w:pPr>
    </w:p>
    <w:p w:rsidR="00AE0A04" w:rsidRPr="00F97703" w:rsidRDefault="00AE0A04" w:rsidP="00AE0A04">
      <w:pPr>
        <w:jc w:val="center"/>
        <w:rPr>
          <w:rFonts w:ascii="Book Antiqua" w:hAnsi="Book Antiqua" w:cs="Arial"/>
          <w:b/>
        </w:rPr>
      </w:pPr>
      <w:r>
        <w:rPr>
          <w:rFonts w:ascii="Book Antiqua" w:hAnsi="Book Antiqua" w:cs="Arial"/>
          <w:b/>
        </w:rPr>
        <w:t>SECRETARY OF STATE FOR THE HOME DEPARTMENT</w:t>
      </w:r>
    </w:p>
    <w:p w:rsidR="00AE0A04" w:rsidRPr="00F97703" w:rsidRDefault="00AE0A04" w:rsidP="00AE0A04">
      <w:pPr>
        <w:jc w:val="right"/>
        <w:outlineLvl w:val="0"/>
        <w:rPr>
          <w:rFonts w:ascii="Book Antiqua" w:hAnsi="Book Antiqua" w:cs="Arial"/>
          <w:u w:val="single"/>
        </w:rPr>
      </w:pPr>
      <w:r w:rsidRPr="00F97703">
        <w:rPr>
          <w:rFonts w:ascii="Book Antiqua" w:hAnsi="Book Antiqua" w:cs="Arial"/>
          <w:u w:val="single"/>
        </w:rPr>
        <w:t>Appellant</w:t>
      </w:r>
    </w:p>
    <w:p w:rsidR="00AE0A04" w:rsidRPr="00F97703" w:rsidRDefault="00AE0A04" w:rsidP="00AE0A04">
      <w:pPr>
        <w:jc w:val="center"/>
        <w:rPr>
          <w:rFonts w:ascii="Book Antiqua" w:hAnsi="Book Antiqua" w:cs="Arial"/>
          <w:b/>
        </w:rPr>
      </w:pPr>
      <w:r w:rsidRPr="00F97703">
        <w:rPr>
          <w:rFonts w:ascii="Book Antiqua" w:hAnsi="Book Antiqua" w:cs="Arial"/>
          <w:b/>
        </w:rPr>
        <w:t>and</w:t>
      </w:r>
    </w:p>
    <w:p w:rsidR="00AE0A04" w:rsidRPr="00F97703" w:rsidRDefault="00AE0A04" w:rsidP="00AE0A04">
      <w:pPr>
        <w:jc w:val="center"/>
        <w:rPr>
          <w:rFonts w:ascii="Book Antiqua" w:hAnsi="Book Antiqua" w:cs="Arial"/>
          <w:b/>
        </w:rPr>
      </w:pPr>
    </w:p>
    <w:p w:rsidR="00AE0A04" w:rsidRPr="004B1F6E" w:rsidRDefault="00145176" w:rsidP="00AE0A04">
      <w:pPr>
        <w:jc w:val="center"/>
        <w:outlineLvl w:val="0"/>
        <w:rPr>
          <w:rFonts w:ascii="Book Antiqua" w:hAnsi="Book Antiqua" w:cs="Arial"/>
          <w:b/>
        </w:rPr>
      </w:pPr>
      <w:r>
        <w:rPr>
          <w:rFonts w:ascii="Book Antiqua" w:hAnsi="Book Antiqua" w:cs="Arial"/>
          <w:b/>
          <w:caps/>
        </w:rPr>
        <w:t>jubayer alam jehad chowdhury</w:t>
      </w:r>
    </w:p>
    <w:p w:rsidR="00AE0A04" w:rsidRPr="00303DBC" w:rsidRDefault="00AE0A04" w:rsidP="00AE0A04">
      <w:pPr>
        <w:jc w:val="right"/>
        <w:outlineLvl w:val="0"/>
        <w:rPr>
          <w:rFonts w:ascii="Book Antiqua" w:hAnsi="Book Antiqua" w:cs="Arial"/>
          <w:u w:val="single"/>
        </w:rPr>
      </w:pPr>
      <w:r w:rsidRPr="00F97703">
        <w:rPr>
          <w:rFonts w:ascii="Book Antiqua" w:hAnsi="Book Antiqua" w:cs="Arial"/>
          <w:u w:val="single"/>
        </w:rPr>
        <w:t>Respondent</w:t>
      </w:r>
    </w:p>
    <w:p w:rsidR="00AE0A04" w:rsidRDefault="00AE0A04" w:rsidP="00AE0A04">
      <w:pPr>
        <w:outlineLvl w:val="0"/>
        <w:rPr>
          <w:rFonts w:ascii="Book Antiqua" w:hAnsi="Book Antiqua" w:cs="Arial"/>
          <w:b/>
          <w:u w:val="single"/>
        </w:rPr>
      </w:pPr>
    </w:p>
    <w:p w:rsidR="00AE0A04" w:rsidRPr="00F97703" w:rsidRDefault="00AE0A04" w:rsidP="00AE0A04">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AE0A04" w:rsidRPr="00F97703" w:rsidRDefault="00AE0A04" w:rsidP="00AE0A04">
      <w:pPr>
        <w:rPr>
          <w:rFonts w:ascii="Book Antiqua" w:hAnsi="Book Antiqua" w:cs="Arial"/>
        </w:rPr>
      </w:pPr>
    </w:p>
    <w:p w:rsidR="00AE0A04" w:rsidRPr="00F97703" w:rsidRDefault="00AE0A04" w:rsidP="00AE0A04">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30B54">
        <w:rPr>
          <w:rFonts w:ascii="Book Antiqua" w:hAnsi="Book Antiqua" w:cs="Arial"/>
        </w:rPr>
        <w:t xml:space="preserve">Mrs H </w:t>
      </w:r>
      <w:proofErr w:type="spellStart"/>
      <w:r w:rsidR="00C30B54">
        <w:rPr>
          <w:rFonts w:ascii="Book Antiqua" w:hAnsi="Book Antiqua" w:cs="Arial"/>
        </w:rPr>
        <w:t>Aboni</w:t>
      </w:r>
      <w:proofErr w:type="spellEnd"/>
      <w:r>
        <w:rPr>
          <w:rFonts w:ascii="Book Antiqua" w:hAnsi="Book Antiqua" w:cs="Arial"/>
        </w:rPr>
        <w:t>, Senior Home Office Presenting Officer</w:t>
      </w:r>
    </w:p>
    <w:p w:rsidR="00DE7DB7" w:rsidRDefault="00AE0A04" w:rsidP="00275CB6">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C30B54">
        <w:rPr>
          <w:rFonts w:ascii="Book Antiqua" w:hAnsi="Book Antiqua" w:cs="Arial"/>
        </w:rPr>
        <w:t>In Person</w:t>
      </w:r>
    </w:p>
    <w:p w:rsidR="00275CB6" w:rsidRDefault="00275CB6" w:rsidP="00275CB6">
      <w:pPr>
        <w:tabs>
          <w:tab w:val="left" w:pos="2520"/>
        </w:tabs>
        <w:rPr>
          <w:rFonts w:ascii="Book Antiqua" w:hAnsi="Book Antiqua" w:cs="Arial"/>
        </w:rPr>
      </w:pPr>
    </w:p>
    <w:p w:rsidR="00275CB6" w:rsidRPr="00F97703" w:rsidRDefault="00275CB6" w:rsidP="00275CB6">
      <w:pPr>
        <w:tabs>
          <w:tab w:val="left" w:pos="2520"/>
        </w:tabs>
        <w:rPr>
          <w:rFonts w:ascii="Book Antiqua" w:hAnsi="Book Antiqua" w:cs="Arial"/>
        </w:rPr>
      </w:pPr>
    </w:p>
    <w:p w:rsidR="00973E82" w:rsidRPr="00973E82" w:rsidRDefault="00402B9E" w:rsidP="00973E82">
      <w:pPr>
        <w:tabs>
          <w:tab w:val="left" w:pos="2520"/>
        </w:tabs>
        <w:jc w:val="center"/>
        <w:outlineLvl w:val="0"/>
        <w:rPr>
          <w:rFonts w:ascii="Book Antiqua" w:hAnsi="Book Antiqua" w:cs="Arial"/>
        </w:rPr>
      </w:pPr>
      <w:r w:rsidRPr="00F97703">
        <w:rPr>
          <w:rFonts w:ascii="Book Antiqua" w:hAnsi="Book Antiqua" w:cs="Arial"/>
          <w:b/>
          <w:u w:val="single"/>
        </w:rPr>
        <w:t>DE</w:t>
      </w:r>
      <w:r w:rsidR="006772C2">
        <w:rPr>
          <w:rFonts w:ascii="Book Antiqua" w:hAnsi="Book Antiqua" w:cs="Arial"/>
          <w:b/>
          <w:u w:val="single"/>
        </w:rPr>
        <w:t>CIS</w:t>
      </w:r>
      <w:r w:rsidRPr="00F97703">
        <w:rPr>
          <w:rFonts w:ascii="Book Antiqua" w:hAnsi="Book Antiqua" w:cs="Arial"/>
          <w:b/>
          <w:u w:val="single"/>
        </w:rPr>
        <w:t>ION AND REASONS</w:t>
      </w:r>
    </w:p>
    <w:p w:rsid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AE0A04" w:rsidRDefault="00AE0A04"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This is an appeal by the Secretary of State for the Home Department against the decision of </w:t>
      </w:r>
      <w:r w:rsidR="00064FF9">
        <w:rPr>
          <w:rFonts w:ascii="Book Antiqua" w:hAnsi="Book Antiqua"/>
        </w:rPr>
        <w:t xml:space="preserve">the </w:t>
      </w:r>
      <w:r>
        <w:rPr>
          <w:rFonts w:ascii="Book Antiqua" w:hAnsi="Book Antiqua" w:cs="Arial"/>
        </w:rPr>
        <w:t xml:space="preserve">First-tier Tribunal allowing </w:t>
      </w:r>
      <w:r w:rsidR="00275CB6">
        <w:rPr>
          <w:rFonts w:ascii="Book Antiqua" w:hAnsi="Book Antiqua" w:cs="Arial"/>
        </w:rPr>
        <w:t xml:space="preserve">Mr </w:t>
      </w:r>
      <w:r w:rsidR="00145176">
        <w:rPr>
          <w:rFonts w:ascii="Book Antiqua" w:hAnsi="Book Antiqua" w:cs="Arial"/>
        </w:rPr>
        <w:t>Chowdhury</w:t>
      </w:r>
      <w:r w:rsidR="00275CB6">
        <w:rPr>
          <w:rFonts w:ascii="Book Antiqua" w:hAnsi="Book Antiqua" w:cs="Arial"/>
        </w:rPr>
        <w:t>’s</w:t>
      </w:r>
      <w:r>
        <w:rPr>
          <w:rFonts w:ascii="Book Antiqua" w:hAnsi="Book Antiqua" w:cs="Arial"/>
        </w:rPr>
        <w:t xml:space="preserve"> appeal against the </w:t>
      </w:r>
      <w:r w:rsidR="00773A5E">
        <w:rPr>
          <w:rFonts w:ascii="Book Antiqua" w:hAnsi="Book Antiqua" w:cs="Arial"/>
        </w:rPr>
        <w:t xml:space="preserve">respondent’s decision to </w:t>
      </w:r>
      <w:r w:rsidR="00994841">
        <w:rPr>
          <w:rFonts w:ascii="Book Antiqua" w:hAnsi="Book Antiqua"/>
        </w:rPr>
        <w:t>refuse his</w:t>
      </w:r>
      <w:r w:rsidR="0076577A">
        <w:rPr>
          <w:rFonts w:ascii="Book Antiqua" w:hAnsi="Book Antiqua"/>
        </w:rPr>
        <w:t xml:space="preserve"> </w:t>
      </w:r>
      <w:r w:rsidR="00145176">
        <w:rPr>
          <w:rFonts w:ascii="Book Antiqua" w:hAnsi="Book Antiqua"/>
        </w:rPr>
        <w:t>human rights claim</w:t>
      </w:r>
      <w:r>
        <w:rPr>
          <w:rFonts w:ascii="Book Antiqua" w:hAnsi="Book Antiqua"/>
        </w:rPr>
        <w:t xml:space="preserve">. </w:t>
      </w:r>
    </w:p>
    <w:p w:rsidR="00AE0A04" w:rsidRP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AE0A04" w:rsidRPr="00AE0A04" w:rsidRDefault="00AE0A04" w:rsidP="00AE0A04">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AE0A04">
        <w:rPr>
          <w:rFonts w:ascii="Book Antiqua" w:hAnsi="Book Antiqua"/>
        </w:rPr>
        <w:t xml:space="preserve">For the purposes of this decision, I shall </w:t>
      </w:r>
      <w:r w:rsidR="00DE1C92">
        <w:rPr>
          <w:rFonts w:ascii="Book Antiqua" w:hAnsi="Book Antiqua"/>
        </w:rPr>
        <w:t>here</w:t>
      </w:r>
      <w:r w:rsidR="009429ED">
        <w:rPr>
          <w:rFonts w:ascii="Book Antiqua" w:hAnsi="Book Antiqua"/>
        </w:rPr>
        <w:t>in</w:t>
      </w:r>
      <w:r w:rsidR="00DE1C92">
        <w:rPr>
          <w:rFonts w:ascii="Book Antiqua" w:hAnsi="Book Antiqua"/>
        </w:rPr>
        <w:t xml:space="preserve">after </w:t>
      </w:r>
      <w:r w:rsidRPr="00AE0A04">
        <w:rPr>
          <w:rFonts w:ascii="Book Antiqua" w:hAnsi="Book Antiqua"/>
        </w:rPr>
        <w:t xml:space="preserve">refer to the Secretary of State as the respondent and </w:t>
      </w:r>
      <w:r w:rsidR="00994841">
        <w:rPr>
          <w:rFonts w:ascii="Book Antiqua" w:hAnsi="Book Antiqua"/>
        </w:rPr>
        <w:t xml:space="preserve">Mr </w:t>
      </w:r>
      <w:r w:rsidR="00145176">
        <w:rPr>
          <w:rFonts w:ascii="Book Antiqua" w:hAnsi="Book Antiqua"/>
        </w:rPr>
        <w:t>Chowdhury</w:t>
      </w:r>
      <w:r w:rsidRPr="00AE0A04">
        <w:rPr>
          <w:rFonts w:ascii="Book Antiqua" w:hAnsi="Book Antiqua"/>
        </w:rPr>
        <w:t xml:space="preserve"> as the appellant, reflecting their positions as they were in the appeal before the First-tier Tribunal. </w:t>
      </w:r>
    </w:p>
    <w:p w:rsidR="00AE0A04" w:rsidRPr="00AE0A04" w:rsidRDefault="00AE0A04" w:rsidP="00AE0A04">
      <w:pPr>
        <w:tabs>
          <w:tab w:val="left" w:pos="360"/>
        </w:tabs>
        <w:overflowPunct w:val="0"/>
        <w:autoSpaceDE w:val="0"/>
        <w:autoSpaceDN w:val="0"/>
        <w:adjustRightInd w:val="0"/>
        <w:jc w:val="both"/>
        <w:textAlignment w:val="baseline"/>
        <w:rPr>
          <w:rFonts w:ascii="Book Antiqua" w:hAnsi="Book Antiqua"/>
        </w:rPr>
      </w:pPr>
    </w:p>
    <w:p w:rsidR="00E97200" w:rsidRPr="00060580" w:rsidRDefault="00AE0A04" w:rsidP="00484C8C">
      <w:pPr>
        <w:numPr>
          <w:ilvl w:val="2"/>
          <w:numId w:val="1"/>
        </w:numPr>
        <w:tabs>
          <w:tab w:val="left" w:pos="360"/>
        </w:tabs>
        <w:overflowPunct w:val="0"/>
        <w:autoSpaceDE w:val="0"/>
        <w:autoSpaceDN w:val="0"/>
        <w:adjustRightInd w:val="0"/>
        <w:ind w:left="0" w:firstLine="0"/>
        <w:jc w:val="both"/>
        <w:textAlignment w:val="baseline"/>
        <w:rPr>
          <w:rFonts w:ascii="Book Antiqua" w:hAnsi="Book Antiqua" w:cs="Arial"/>
        </w:rPr>
      </w:pPr>
      <w:r w:rsidRPr="00E97200">
        <w:rPr>
          <w:rFonts w:ascii="Book Antiqua" w:hAnsi="Book Antiqua"/>
        </w:rPr>
        <w:lastRenderedPageBreak/>
        <w:t xml:space="preserve">The appellant is a citizen of </w:t>
      </w:r>
      <w:r w:rsidR="00145176">
        <w:rPr>
          <w:rFonts w:ascii="Book Antiqua" w:hAnsi="Book Antiqua"/>
        </w:rPr>
        <w:t>Bangladesh</w:t>
      </w:r>
      <w:r w:rsidRPr="00E97200">
        <w:rPr>
          <w:rFonts w:ascii="Book Antiqua" w:hAnsi="Book Antiqua"/>
        </w:rPr>
        <w:t xml:space="preserve"> born on </w:t>
      </w:r>
      <w:r w:rsidR="00145176">
        <w:rPr>
          <w:rFonts w:ascii="Book Antiqua" w:hAnsi="Book Antiqua"/>
        </w:rPr>
        <w:t>26 April 1993</w:t>
      </w:r>
      <w:r w:rsidR="00A92D60">
        <w:rPr>
          <w:rFonts w:ascii="Book Antiqua" w:hAnsi="Book Antiqua"/>
        </w:rPr>
        <w:t>.</w:t>
      </w:r>
      <w:r w:rsidRPr="00E97200">
        <w:rPr>
          <w:rFonts w:ascii="Book Antiqua" w:hAnsi="Book Antiqua"/>
        </w:rPr>
        <w:t xml:space="preserve"> </w:t>
      </w:r>
      <w:r w:rsidR="00994841" w:rsidRPr="00E97200">
        <w:rPr>
          <w:rFonts w:ascii="Book Antiqua" w:hAnsi="Book Antiqua"/>
        </w:rPr>
        <w:t>H</w:t>
      </w:r>
      <w:r w:rsidRPr="00E97200">
        <w:rPr>
          <w:rFonts w:ascii="Book Antiqua" w:hAnsi="Book Antiqua"/>
        </w:rPr>
        <w:t xml:space="preserve">e </w:t>
      </w:r>
      <w:r w:rsidR="00145176">
        <w:rPr>
          <w:rFonts w:ascii="Book Antiqua" w:hAnsi="Book Antiqua"/>
        </w:rPr>
        <w:t>arrived in the UK on 9 January 2010 with leave to enter as a Tier 4 (General) Student Migrant valid until 20 April 2014</w:t>
      </w:r>
      <w:r w:rsidR="00A92D60">
        <w:rPr>
          <w:rFonts w:ascii="Book Antiqua" w:hAnsi="Book Antiqua"/>
        </w:rPr>
        <w:t>.</w:t>
      </w:r>
      <w:r w:rsidR="00145176">
        <w:rPr>
          <w:rFonts w:ascii="Book Antiqua" w:hAnsi="Book Antiqua"/>
        </w:rPr>
        <w:t xml:space="preserve"> On 8 July 2013 he applied for leave to remain as a spouse and was granted leave to 2 March 2016.</w:t>
      </w:r>
      <w:r w:rsidR="00060580">
        <w:rPr>
          <w:rFonts w:ascii="Book Antiqua" w:hAnsi="Book Antiqua"/>
        </w:rPr>
        <w:t xml:space="preserve"> </w:t>
      </w:r>
      <w:r w:rsidR="00145176">
        <w:rPr>
          <w:rFonts w:ascii="Book Antiqua" w:hAnsi="Book Antiqua"/>
        </w:rPr>
        <w:t>On 24 February 2016 he applied on form FLR(M) for leave to remain as a spouse.</w:t>
      </w:r>
    </w:p>
    <w:p w:rsidR="00060580" w:rsidRDefault="00060580" w:rsidP="00060580">
      <w:pPr>
        <w:pStyle w:val="ListParagraph"/>
        <w:rPr>
          <w:rFonts w:ascii="Book Antiqua" w:hAnsi="Book Antiqua" w:cs="Arial"/>
        </w:rPr>
      </w:pPr>
    </w:p>
    <w:p w:rsidR="00145176" w:rsidRDefault="00060580" w:rsidP="00145176">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cs="Arial"/>
        </w:rPr>
        <w:t>The respondent</w:t>
      </w:r>
      <w:r w:rsidR="00145176">
        <w:rPr>
          <w:rFonts w:ascii="Book Antiqua" w:hAnsi="Book Antiqua" w:cs="Arial"/>
        </w:rPr>
        <w:t xml:space="preserve"> refused</w:t>
      </w:r>
      <w:r>
        <w:rPr>
          <w:rFonts w:ascii="Book Antiqua" w:hAnsi="Book Antiqua" w:cs="Arial"/>
        </w:rPr>
        <w:t xml:space="preserve"> the appellant’s application</w:t>
      </w:r>
      <w:r w:rsidR="00145176">
        <w:rPr>
          <w:rFonts w:ascii="Book Antiqua" w:hAnsi="Book Antiqua" w:cs="Arial"/>
        </w:rPr>
        <w:t xml:space="preserve"> under the suitability provisions in S-LTR.1.6 of Appendix FM on the basis that </w:t>
      </w:r>
      <w:r w:rsidR="00145176">
        <w:rPr>
          <w:rFonts w:ascii="Book Antiqua" w:hAnsi="Book Antiqua"/>
        </w:rPr>
        <w:t>his presence in the UK was not conducive to the public good because he had fraudulently obtain</w:t>
      </w:r>
      <w:r w:rsidR="009B0638">
        <w:rPr>
          <w:rFonts w:ascii="Book Antiqua" w:hAnsi="Book Antiqua"/>
        </w:rPr>
        <w:t>ed</w:t>
      </w:r>
      <w:r w:rsidR="00145176">
        <w:rPr>
          <w:rFonts w:ascii="Book Antiqua" w:hAnsi="Book Antiqua"/>
        </w:rPr>
        <w:t xml:space="preserve"> a TOEIC certificate. The appellant was therefore unable to meet the requirements in Appendix FM and paragraph 276</w:t>
      </w:r>
      <w:proofErr w:type="gramStart"/>
      <w:r w:rsidR="00145176">
        <w:rPr>
          <w:rFonts w:ascii="Book Antiqua" w:hAnsi="Book Antiqua"/>
        </w:rPr>
        <w:t>ADE(</w:t>
      </w:r>
      <w:proofErr w:type="gramEnd"/>
      <w:r w:rsidR="00145176">
        <w:rPr>
          <w:rFonts w:ascii="Book Antiqua" w:hAnsi="Book Antiqua"/>
        </w:rPr>
        <w:t xml:space="preserve">1). The respondent considered further, and in any event, that the appellant could not meet the eligibility requirements as </w:t>
      </w:r>
      <w:r w:rsidR="009B0638">
        <w:rPr>
          <w:rFonts w:ascii="Book Antiqua" w:hAnsi="Book Antiqua"/>
        </w:rPr>
        <w:t xml:space="preserve">the partner of a British national as there were no insurmountable obstacles to family life </w:t>
      </w:r>
      <w:r w:rsidR="002A708D">
        <w:rPr>
          <w:rFonts w:ascii="Book Antiqua" w:hAnsi="Book Antiqua"/>
        </w:rPr>
        <w:t xml:space="preserve">continuing </w:t>
      </w:r>
      <w:r w:rsidR="009B0638">
        <w:rPr>
          <w:rFonts w:ascii="Book Antiqua" w:hAnsi="Book Antiqua"/>
        </w:rPr>
        <w:t>in Bangladesh for the purposes of EX.1(b) and EX.2 of Appendix FM</w:t>
      </w:r>
      <w:r w:rsidR="00145176">
        <w:rPr>
          <w:rFonts w:ascii="Book Antiqua" w:hAnsi="Book Antiqua"/>
        </w:rPr>
        <w:t xml:space="preserve">, there were no significant obstacles to integration in Bangladesh </w:t>
      </w:r>
      <w:r w:rsidR="009B0638">
        <w:rPr>
          <w:rFonts w:ascii="Book Antiqua" w:hAnsi="Book Antiqua"/>
        </w:rPr>
        <w:t xml:space="preserve">for the purposes of paragraph 276ADE(1)(vi) </w:t>
      </w:r>
      <w:r w:rsidR="00145176">
        <w:rPr>
          <w:rFonts w:ascii="Book Antiqua" w:hAnsi="Book Antiqua"/>
        </w:rPr>
        <w:t>and there were no exceptional circumstances justifying a grant of leave outside the immigration rules.</w:t>
      </w:r>
    </w:p>
    <w:p w:rsidR="00145176" w:rsidRDefault="00145176" w:rsidP="00145176">
      <w:pPr>
        <w:pStyle w:val="ListParagraph"/>
        <w:rPr>
          <w:rFonts w:ascii="Book Antiqua" w:hAnsi="Book Antiqua"/>
        </w:rPr>
      </w:pPr>
    </w:p>
    <w:p w:rsidR="00145176" w:rsidRDefault="00145176" w:rsidP="00145176">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F96EE7">
        <w:rPr>
          <w:rFonts w:ascii="Book Antiqua" w:hAnsi="Book Antiqua"/>
        </w:rPr>
        <w:t xml:space="preserve">The appellant appealed against that decision. </w:t>
      </w:r>
      <w:r>
        <w:rPr>
          <w:rFonts w:ascii="Book Antiqua" w:hAnsi="Book Antiqua"/>
        </w:rPr>
        <w:t xml:space="preserve">His appeal </w:t>
      </w:r>
      <w:r w:rsidRPr="00F96EE7">
        <w:rPr>
          <w:rFonts w:ascii="Book Antiqua" w:hAnsi="Book Antiqua"/>
        </w:rPr>
        <w:t xml:space="preserve">was heard </w:t>
      </w:r>
      <w:r>
        <w:rPr>
          <w:rFonts w:ascii="Book Antiqua" w:hAnsi="Book Antiqua"/>
        </w:rPr>
        <w:t xml:space="preserve">on </w:t>
      </w:r>
      <w:r w:rsidR="009B0638">
        <w:rPr>
          <w:rFonts w:ascii="Book Antiqua" w:hAnsi="Book Antiqua"/>
        </w:rPr>
        <w:t>18 September 2017</w:t>
      </w:r>
      <w:r>
        <w:rPr>
          <w:rFonts w:ascii="Book Antiqua" w:hAnsi="Book Antiqua"/>
        </w:rPr>
        <w:t xml:space="preserve"> by First-tier Tribunal Judge </w:t>
      </w:r>
      <w:r w:rsidR="009B0638">
        <w:rPr>
          <w:rFonts w:ascii="Book Antiqua" w:hAnsi="Book Antiqua"/>
        </w:rPr>
        <w:t>Ferguson</w:t>
      </w:r>
      <w:r>
        <w:rPr>
          <w:rFonts w:ascii="Book Antiqua" w:hAnsi="Book Antiqua"/>
        </w:rPr>
        <w:t>. The judge heard oral evidence from the appellant</w:t>
      </w:r>
      <w:r w:rsidR="009B0638">
        <w:rPr>
          <w:rFonts w:ascii="Book Antiqua" w:hAnsi="Book Antiqua"/>
        </w:rPr>
        <w:t xml:space="preserve">. He noted from the record of the appellant’s interview, which followed a finding </w:t>
      </w:r>
      <w:r w:rsidR="000B2706">
        <w:rPr>
          <w:rFonts w:ascii="Book Antiqua" w:hAnsi="Book Antiqua"/>
        </w:rPr>
        <w:t xml:space="preserve">by ETS </w:t>
      </w:r>
      <w:r w:rsidR="009B0638">
        <w:rPr>
          <w:rFonts w:ascii="Book Antiqua" w:hAnsi="Book Antiqua"/>
        </w:rPr>
        <w:t>that the appellant’s test results were “questionable”, that the appellant had been found to be credible</w:t>
      </w:r>
      <w:r>
        <w:rPr>
          <w:rFonts w:ascii="Book Antiqua" w:hAnsi="Book Antiqua"/>
        </w:rPr>
        <w:t>.</w:t>
      </w:r>
      <w:r w:rsidR="009B0638">
        <w:rPr>
          <w:rFonts w:ascii="Book Antiqua" w:hAnsi="Book Antiqua"/>
        </w:rPr>
        <w:t xml:space="preserve"> The judge considered in the circumstances that the respondent had not met the burden of proving that there was reason to believe that the appellant had used deception. Noting that the refusal letter accepted that the appellant met the eligibility requirements </w:t>
      </w:r>
      <w:r w:rsidR="000045B7">
        <w:rPr>
          <w:rFonts w:ascii="Book Antiqua" w:hAnsi="Book Antiqua"/>
        </w:rPr>
        <w:t>in Appendix FM, the judge allowed the appeal.</w:t>
      </w:r>
    </w:p>
    <w:p w:rsidR="00145176" w:rsidRDefault="00145176" w:rsidP="00145176">
      <w:pPr>
        <w:pStyle w:val="ListParagraph"/>
        <w:rPr>
          <w:rFonts w:ascii="Book Antiqua" w:hAnsi="Book Antiqua"/>
        </w:rPr>
      </w:pPr>
    </w:p>
    <w:p w:rsidR="00145176" w:rsidRPr="006976DD" w:rsidRDefault="00145176" w:rsidP="00145176">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w:t>
      </w:r>
      <w:r w:rsidR="000045B7">
        <w:rPr>
          <w:rFonts w:ascii="Book Antiqua" w:hAnsi="Book Antiqua"/>
        </w:rPr>
        <w:t>respondent</w:t>
      </w:r>
      <w:r>
        <w:rPr>
          <w:rFonts w:ascii="Book Antiqua" w:hAnsi="Book Antiqua"/>
        </w:rPr>
        <w:t xml:space="preserve"> sought permission to appeal to the Upper Tribunal, asserting that the judge had </w:t>
      </w:r>
      <w:r w:rsidR="000045B7">
        <w:rPr>
          <w:rFonts w:ascii="Book Antiqua" w:hAnsi="Book Antiqua"/>
        </w:rPr>
        <w:t xml:space="preserve">erred by failing to appreciate that the respondent had met the evidential burden of proof and </w:t>
      </w:r>
      <w:r w:rsidR="00C30B54">
        <w:rPr>
          <w:rFonts w:ascii="Book Antiqua" w:hAnsi="Book Antiqua"/>
        </w:rPr>
        <w:t xml:space="preserve">that the burden therefore fell upon the appellant to provide an innocent explanation and that the judge </w:t>
      </w:r>
      <w:r w:rsidR="000045B7">
        <w:rPr>
          <w:rFonts w:ascii="Book Antiqua" w:hAnsi="Book Antiqua"/>
        </w:rPr>
        <w:t>had failed to make findings on human rights grounds which was the only ground of appeal open to the appellant</w:t>
      </w:r>
      <w:r>
        <w:rPr>
          <w:rFonts w:ascii="Book Antiqua" w:hAnsi="Book Antiqua"/>
        </w:rPr>
        <w:t>.</w:t>
      </w:r>
    </w:p>
    <w:p w:rsidR="00145176" w:rsidRDefault="00145176" w:rsidP="00145176">
      <w:pPr>
        <w:pStyle w:val="ListParagraph"/>
        <w:rPr>
          <w:rFonts w:ascii="Book Antiqua" w:hAnsi="Book Antiqua"/>
        </w:rPr>
      </w:pPr>
    </w:p>
    <w:p w:rsidR="00145176" w:rsidRDefault="00145176" w:rsidP="00145176">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Permission was granted on </w:t>
      </w:r>
      <w:r w:rsidR="000045B7">
        <w:rPr>
          <w:rFonts w:ascii="Book Antiqua" w:hAnsi="Book Antiqua"/>
        </w:rPr>
        <w:t>both</w:t>
      </w:r>
      <w:r>
        <w:rPr>
          <w:rFonts w:ascii="Book Antiqua" w:hAnsi="Book Antiqua"/>
        </w:rPr>
        <w:t xml:space="preserve"> grounds, but </w:t>
      </w:r>
      <w:r w:rsidR="000045B7">
        <w:rPr>
          <w:rFonts w:ascii="Book Antiqua" w:hAnsi="Book Antiqua"/>
        </w:rPr>
        <w:t>particularly on the basis that the judge had arguably erred in his assessment of whether the initial burden of proof had been met.</w:t>
      </w:r>
    </w:p>
    <w:p w:rsidR="001B4699" w:rsidRDefault="001B4699" w:rsidP="000045B7">
      <w:pPr>
        <w:tabs>
          <w:tab w:val="left" w:pos="360"/>
        </w:tabs>
        <w:overflowPunct w:val="0"/>
        <w:autoSpaceDE w:val="0"/>
        <w:autoSpaceDN w:val="0"/>
        <w:adjustRightInd w:val="0"/>
        <w:jc w:val="both"/>
        <w:textAlignment w:val="baseline"/>
        <w:rPr>
          <w:rFonts w:ascii="Book Antiqua" w:hAnsi="Book Antiqua" w:cs="Arial"/>
        </w:rPr>
      </w:pPr>
    </w:p>
    <w:p w:rsidR="00751EC0" w:rsidRPr="00C30B54" w:rsidRDefault="004D687C" w:rsidP="00751EC0">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4D687C">
        <w:rPr>
          <w:rFonts w:ascii="Book Antiqua" w:hAnsi="Book Antiqua" w:cs="Arial"/>
        </w:rPr>
        <w:t xml:space="preserve">At the hearing </w:t>
      </w:r>
      <w:r w:rsidR="00C30B54">
        <w:rPr>
          <w:rFonts w:ascii="Book Antiqua" w:hAnsi="Book Antiqua" w:cs="Arial"/>
        </w:rPr>
        <w:t xml:space="preserve">Mrs </w:t>
      </w:r>
      <w:proofErr w:type="spellStart"/>
      <w:r w:rsidR="00C30B54">
        <w:rPr>
          <w:rFonts w:ascii="Book Antiqua" w:hAnsi="Book Antiqua" w:cs="Arial"/>
        </w:rPr>
        <w:t>Aboni</w:t>
      </w:r>
      <w:proofErr w:type="spellEnd"/>
      <w:r w:rsidR="00C30B54">
        <w:rPr>
          <w:rFonts w:ascii="Book Antiqua" w:hAnsi="Book Antiqua" w:cs="Arial"/>
        </w:rPr>
        <w:t xml:space="preserve"> submitted that the judge had made a material error of law in finding that the respondent had not discharged the evidential burden of proof, given that it had been found in</w:t>
      </w:r>
      <w:r w:rsidR="00C30B54" w:rsidRPr="00C30B54">
        <w:rPr>
          <w:rFonts w:ascii="Book Antiqua" w:hAnsi="Book Antiqua"/>
          <w:u w:val="single"/>
        </w:rPr>
        <w:t xml:space="preserve"> </w:t>
      </w:r>
      <w:r w:rsidR="00C30B54" w:rsidRPr="00C538E9">
        <w:rPr>
          <w:rFonts w:ascii="Book Antiqua" w:hAnsi="Book Antiqua"/>
          <w:u w:val="single"/>
        </w:rPr>
        <w:t>SM and Qadir v Secretary of State for the Home Department (ETS – Evidence – Burden of Proof) [2016] UKUT 00229</w:t>
      </w:r>
      <w:r w:rsidR="00C30B54">
        <w:rPr>
          <w:rFonts w:ascii="Book Antiqua" w:hAnsi="Book Antiqua"/>
        </w:rPr>
        <w:t xml:space="preserve"> that the generic evidence together with a look-up tool referring to the specific person was sufficient to meet that burden</w:t>
      </w:r>
      <w:r>
        <w:rPr>
          <w:rFonts w:ascii="Book Antiqua" w:hAnsi="Book Antiqua" w:cs="Arial"/>
        </w:rPr>
        <w:t>.</w:t>
      </w:r>
      <w:r w:rsidRPr="004D687C">
        <w:rPr>
          <w:rFonts w:ascii="Book Antiqua" w:hAnsi="Book Antiqua" w:cs="Arial"/>
        </w:rPr>
        <w:t xml:space="preserve"> </w:t>
      </w:r>
      <w:r w:rsidR="00C30B54">
        <w:rPr>
          <w:rFonts w:ascii="Book Antiqua" w:hAnsi="Book Antiqua" w:cs="Arial"/>
        </w:rPr>
        <w:t>There was no innocent explanation and the judge had therefore erred. The appellant, who appeared in person without a legal representative, responded by saying that he had genuinely taken the test and had passed. He had a wife and child here and could not live separately to them. His wife could not apply for entry clearance to the UK.</w:t>
      </w:r>
    </w:p>
    <w:p w:rsidR="000045B7" w:rsidRPr="004D687C" w:rsidRDefault="000045B7" w:rsidP="000045B7">
      <w:pPr>
        <w:tabs>
          <w:tab w:val="left" w:pos="0"/>
          <w:tab w:val="left" w:pos="360"/>
        </w:tabs>
        <w:overflowPunct w:val="0"/>
        <w:autoSpaceDE w:val="0"/>
        <w:autoSpaceDN w:val="0"/>
        <w:adjustRightInd w:val="0"/>
        <w:jc w:val="both"/>
        <w:textAlignment w:val="baseline"/>
        <w:rPr>
          <w:rFonts w:ascii="Book Antiqua" w:hAnsi="Book Antiqua" w:cs="Arial"/>
        </w:rPr>
      </w:pPr>
    </w:p>
    <w:p w:rsidR="000B2706" w:rsidRDefault="000B2706" w:rsidP="00781A43">
      <w:pPr>
        <w:tabs>
          <w:tab w:val="left" w:pos="0"/>
          <w:tab w:val="left" w:pos="360"/>
        </w:tabs>
        <w:overflowPunct w:val="0"/>
        <w:autoSpaceDE w:val="0"/>
        <w:autoSpaceDN w:val="0"/>
        <w:adjustRightInd w:val="0"/>
        <w:jc w:val="both"/>
        <w:textAlignment w:val="baseline"/>
        <w:rPr>
          <w:rFonts w:ascii="Book Antiqua" w:hAnsi="Book Antiqua" w:cs="Arial"/>
          <w:b/>
        </w:rPr>
      </w:pPr>
    </w:p>
    <w:p w:rsidR="00FC2273" w:rsidRPr="00FC2273" w:rsidRDefault="000045B7" w:rsidP="00781A43">
      <w:pPr>
        <w:tabs>
          <w:tab w:val="left" w:pos="0"/>
          <w:tab w:val="left" w:pos="360"/>
        </w:tabs>
        <w:overflowPunct w:val="0"/>
        <w:autoSpaceDE w:val="0"/>
        <w:autoSpaceDN w:val="0"/>
        <w:adjustRightInd w:val="0"/>
        <w:jc w:val="both"/>
        <w:textAlignment w:val="baseline"/>
        <w:rPr>
          <w:rFonts w:ascii="Book Antiqua" w:hAnsi="Book Antiqua" w:cs="Arial"/>
          <w:b/>
        </w:rPr>
      </w:pPr>
      <w:r>
        <w:rPr>
          <w:rFonts w:ascii="Book Antiqua" w:hAnsi="Book Antiqua" w:cs="Arial"/>
          <w:b/>
        </w:rPr>
        <w:lastRenderedPageBreak/>
        <w:t>Discussion</w:t>
      </w:r>
    </w:p>
    <w:p w:rsidR="00FC2273" w:rsidRDefault="00FC2273" w:rsidP="00781A43">
      <w:pPr>
        <w:tabs>
          <w:tab w:val="left" w:pos="0"/>
          <w:tab w:val="left" w:pos="360"/>
        </w:tabs>
        <w:overflowPunct w:val="0"/>
        <w:autoSpaceDE w:val="0"/>
        <w:autoSpaceDN w:val="0"/>
        <w:adjustRightInd w:val="0"/>
        <w:jc w:val="both"/>
        <w:textAlignment w:val="baseline"/>
        <w:rPr>
          <w:rFonts w:ascii="Book Antiqua" w:hAnsi="Book Antiqua" w:cs="Arial"/>
        </w:rPr>
      </w:pPr>
    </w:p>
    <w:p w:rsidR="00C52DD1" w:rsidRDefault="000902C9" w:rsidP="00C52DD1">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Pr>
          <w:rFonts w:ascii="Book Antiqua" w:hAnsi="Book Antiqua" w:cs="Arial"/>
        </w:rPr>
        <w:t xml:space="preserve">It was Mrs </w:t>
      </w:r>
      <w:proofErr w:type="spellStart"/>
      <w:r>
        <w:rPr>
          <w:rFonts w:ascii="Book Antiqua" w:hAnsi="Book Antiqua" w:cs="Arial"/>
        </w:rPr>
        <w:t>Aboni’s</w:t>
      </w:r>
      <w:proofErr w:type="spellEnd"/>
      <w:r>
        <w:rPr>
          <w:rFonts w:ascii="Book Antiqua" w:hAnsi="Book Antiqua" w:cs="Arial"/>
        </w:rPr>
        <w:t xml:space="preserve"> submission that the judge had accepted that the appellant had been found to be credible in his interview yet had also accepted that he had not talked about the relevant test in the interview and that his findings were therefore flawed. I have to agree. It is relevant to note from the refusal decision that the appellant was talking about a later test at his interview and that the assessment of credibility was based upon his evidence in that regard, whereas the only evidence he gave of the relevant test in 2013 was in his handwritten response to questions dated 17 November 2016</w:t>
      </w:r>
      <w:r w:rsidR="002A708D">
        <w:rPr>
          <w:rFonts w:ascii="Book Antiqua" w:hAnsi="Book Antiqua" w:cs="Arial"/>
        </w:rPr>
        <w:t>, from which there was no finding of credibility</w:t>
      </w:r>
      <w:r w:rsidR="00317F1A">
        <w:rPr>
          <w:rFonts w:ascii="Book Antiqua" w:hAnsi="Book Antiqua" w:cs="Arial"/>
        </w:rPr>
        <w:t>.</w:t>
      </w:r>
      <w:r>
        <w:rPr>
          <w:rFonts w:ascii="Book Antiqua" w:hAnsi="Book Antiqua" w:cs="Arial"/>
        </w:rPr>
        <w:t xml:space="preserve"> It is also relevant to note that the respondent’s appeal bundle before the judge contained only part of the interview record and the appellant’s handwritten response</w:t>
      </w:r>
      <w:r w:rsidR="002A708D">
        <w:rPr>
          <w:rFonts w:ascii="Book Antiqua" w:hAnsi="Book Antiqua" w:cs="Arial"/>
        </w:rPr>
        <w:t>, as the bundle contains only every other page,</w:t>
      </w:r>
      <w:r>
        <w:rPr>
          <w:rFonts w:ascii="Book Antiqua" w:hAnsi="Book Antiqua" w:cs="Arial"/>
        </w:rPr>
        <w:t xml:space="preserve"> and it seems that that was overlooked by the judge</w:t>
      </w:r>
      <w:r w:rsidR="002A708D">
        <w:rPr>
          <w:rFonts w:ascii="Book Antiqua" w:hAnsi="Book Antiqua" w:cs="Arial"/>
        </w:rPr>
        <w:t xml:space="preserve">. </w:t>
      </w:r>
      <w:proofErr w:type="gramStart"/>
      <w:r w:rsidR="002A708D">
        <w:rPr>
          <w:rFonts w:ascii="Book Antiqua" w:hAnsi="Book Antiqua" w:cs="Arial"/>
        </w:rPr>
        <w:t>Accordingly</w:t>
      </w:r>
      <w:proofErr w:type="gramEnd"/>
      <w:r w:rsidR="002A708D">
        <w:rPr>
          <w:rFonts w:ascii="Book Antiqua" w:hAnsi="Book Antiqua" w:cs="Arial"/>
        </w:rPr>
        <w:t xml:space="preserve"> there was clearly some confusion, as is apparent from the fact that the judge appears to have conflated the evidence of the two different tests and failed to consider the full extent of the evidence and the respondent’s observations in the refusal decision. </w:t>
      </w:r>
      <w:r>
        <w:rPr>
          <w:rFonts w:ascii="Book Antiqua" w:hAnsi="Book Antiqua" w:cs="Arial"/>
        </w:rPr>
        <w:t xml:space="preserve"> </w:t>
      </w:r>
    </w:p>
    <w:p w:rsidR="002A708D" w:rsidRDefault="002A708D" w:rsidP="002A708D">
      <w:pPr>
        <w:tabs>
          <w:tab w:val="left" w:pos="0"/>
          <w:tab w:val="left" w:pos="360"/>
        </w:tabs>
        <w:overflowPunct w:val="0"/>
        <w:autoSpaceDE w:val="0"/>
        <w:autoSpaceDN w:val="0"/>
        <w:adjustRightInd w:val="0"/>
        <w:jc w:val="both"/>
        <w:textAlignment w:val="baseline"/>
        <w:rPr>
          <w:rFonts w:ascii="Book Antiqua" w:hAnsi="Book Antiqua" w:cs="Arial"/>
        </w:rPr>
      </w:pPr>
    </w:p>
    <w:p w:rsidR="002A708D" w:rsidRDefault="002A708D" w:rsidP="00C52DD1">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proofErr w:type="gramStart"/>
      <w:r>
        <w:rPr>
          <w:rFonts w:ascii="Book Antiqua" w:hAnsi="Book Antiqua" w:cs="Arial"/>
        </w:rPr>
        <w:t>Accordingly</w:t>
      </w:r>
      <w:proofErr w:type="gramEnd"/>
      <w:r>
        <w:rPr>
          <w:rFonts w:ascii="Book Antiqua" w:hAnsi="Book Antiqua" w:cs="Arial"/>
        </w:rPr>
        <w:t xml:space="preserve"> I am in agreement with the assertion in the grounds that the judge failed properly to consider the evidence and that his finding that the respondent had not met the evidential burden of proof was therefore flawed. </w:t>
      </w:r>
    </w:p>
    <w:p w:rsidR="00C52DD1" w:rsidRPr="00C52DD1" w:rsidRDefault="00C52DD1" w:rsidP="00C52DD1">
      <w:pPr>
        <w:tabs>
          <w:tab w:val="left" w:pos="0"/>
          <w:tab w:val="left" w:pos="360"/>
        </w:tabs>
        <w:overflowPunct w:val="0"/>
        <w:autoSpaceDE w:val="0"/>
        <w:autoSpaceDN w:val="0"/>
        <w:adjustRightInd w:val="0"/>
        <w:jc w:val="both"/>
        <w:textAlignment w:val="baseline"/>
        <w:rPr>
          <w:rFonts w:ascii="Book Antiqua" w:hAnsi="Book Antiqua" w:cs="Arial"/>
        </w:rPr>
      </w:pPr>
    </w:p>
    <w:p w:rsidR="00FE3C0D" w:rsidRDefault="0084487E" w:rsidP="00476397">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Pr>
          <w:rFonts w:ascii="Book Antiqua" w:hAnsi="Book Antiqua" w:cs="Arial"/>
        </w:rPr>
        <w:t xml:space="preserve">For all of these reasons the </w:t>
      </w:r>
      <w:r w:rsidR="00C52DD1">
        <w:rPr>
          <w:rFonts w:ascii="Book Antiqua" w:hAnsi="Book Antiqua" w:cs="Arial"/>
        </w:rPr>
        <w:t>judge’s decision cannot be sustained and must be set aside and re-made</w:t>
      </w:r>
      <w:r w:rsidR="002A708D">
        <w:rPr>
          <w:rFonts w:ascii="Book Antiqua" w:hAnsi="Book Antiqua" w:cs="Arial"/>
        </w:rPr>
        <w:t xml:space="preserve"> afresh</w:t>
      </w:r>
      <w:r w:rsidR="00C52DD1">
        <w:rPr>
          <w:rFonts w:ascii="Book Antiqua" w:hAnsi="Book Antiqua" w:cs="Arial"/>
        </w:rPr>
        <w:t xml:space="preserve">. </w:t>
      </w:r>
      <w:r w:rsidR="002A708D">
        <w:rPr>
          <w:rFonts w:ascii="Book Antiqua" w:hAnsi="Book Antiqua" w:cs="Arial"/>
        </w:rPr>
        <w:t>T</w:t>
      </w:r>
      <w:r w:rsidR="00C52DD1">
        <w:rPr>
          <w:rFonts w:ascii="Book Antiqua" w:hAnsi="Book Antiqua" w:cs="Arial"/>
        </w:rPr>
        <w:t xml:space="preserve">he most appropriate course would be for the case to be remitted to the First-tier Tribunal for a </w:t>
      </w:r>
      <w:r w:rsidR="00135836">
        <w:rPr>
          <w:rFonts w:ascii="Book Antiqua" w:hAnsi="Book Antiqua" w:cs="Arial"/>
        </w:rPr>
        <w:t>fresh</w:t>
      </w:r>
      <w:r w:rsidR="00C52DD1">
        <w:rPr>
          <w:rFonts w:ascii="Book Antiqua" w:hAnsi="Book Antiqua" w:cs="Arial"/>
        </w:rPr>
        <w:t xml:space="preserve"> hearing.</w:t>
      </w:r>
    </w:p>
    <w:p w:rsidR="00476397" w:rsidRPr="00476397" w:rsidRDefault="00476397" w:rsidP="00476397">
      <w:pPr>
        <w:tabs>
          <w:tab w:val="left" w:pos="0"/>
          <w:tab w:val="left" w:pos="360"/>
        </w:tabs>
        <w:overflowPunct w:val="0"/>
        <w:autoSpaceDE w:val="0"/>
        <w:autoSpaceDN w:val="0"/>
        <w:adjustRightInd w:val="0"/>
        <w:jc w:val="both"/>
        <w:textAlignment w:val="baseline"/>
        <w:rPr>
          <w:rFonts w:ascii="Book Antiqua" w:hAnsi="Book Antiqua" w:cs="Arial"/>
        </w:rPr>
      </w:pPr>
    </w:p>
    <w:p w:rsidR="00F26B6D" w:rsidRPr="00324C69" w:rsidRDefault="00F26B6D" w:rsidP="00F26B6D">
      <w:pPr>
        <w:tabs>
          <w:tab w:val="left" w:pos="360"/>
        </w:tabs>
        <w:overflowPunct w:val="0"/>
        <w:autoSpaceDE w:val="0"/>
        <w:autoSpaceDN w:val="0"/>
        <w:adjustRightInd w:val="0"/>
        <w:jc w:val="both"/>
        <w:textAlignment w:val="baseline"/>
        <w:rPr>
          <w:rFonts w:ascii="Book Antiqua" w:hAnsi="Book Antiqua"/>
          <w:b/>
          <w:u w:val="single"/>
        </w:rPr>
      </w:pPr>
      <w:r w:rsidRPr="00324C69">
        <w:rPr>
          <w:rFonts w:ascii="Book Antiqua" w:hAnsi="Book Antiqua"/>
          <w:b/>
          <w:u w:val="single"/>
        </w:rPr>
        <w:t>DECISION</w:t>
      </w:r>
    </w:p>
    <w:p w:rsidR="00C52DD1" w:rsidRDefault="00C52DD1" w:rsidP="00C52DD1">
      <w:pPr>
        <w:tabs>
          <w:tab w:val="left" w:pos="0"/>
          <w:tab w:val="left" w:pos="360"/>
        </w:tabs>
        <w:overflowPunct w:val="0"/>
        <w:autoSpaceDE w:val="0"/>
        <w:autoSpaceDN w:val="0"/>
        <w:adjustRightInd w:val="0"/>
        <w:jc w:val="both"/>
        <w:textAlignment w:val="baseline"/>
        <w:rPr>
          <w:rFonts w:ascii="Book Antiqua" w:hAnsi="Book Antiqua" w:cs="Arial"/>
        </w:rPr>
      </w:pPr>
    </w:p>
    <w:p w:rsidR="00C52DD1" w:rsidRPr="002635B3" w:rsidRDefault="00C52DD1" w:rsidP="00C52DD1">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AE0A04">
        <w:rPr>
          <w:rFonts w:ascii="Book Antiqua" w:hAnsi="Book Antiqua"/>
        </w:rPr>
        <w:t xml:space="preserve">The making of the decision of the First-tier Tribunal involved the making of an error on a point of law. The </w:t>
      </w:r>
      <w:r>
        <w:rPr>
          <w:rFonts w:ascii="Book Antiqua" w:hAnsi="Book Antiqua"/>
        </w:rPr>
        <w:t xml:space="preserve">Secretary of State’s appeal is allowed and the </w:t>
      </w:r>
      <w:r w:rsidRPr="00AE0A04">
        <w:rPr>
          <w:rFonts w:ascii="Book Antiqua" w:hAnsi="Book Antiqua"/>
        </w:rPr>
        <w:t xml:space="preserve">decision is set aside. </w:t>
      </w:r>
    </w:p>
    <w:p w:rsidR="00C52DD1" w:rsidRPr="002635B3" w:rsidRDefault="00C52DD1" w:rsidP="00C52DD1">
      <w:pPr>
        <w:tabs>
          <w:tab w:val="left" w:pos="0"/>
          <w:tab w:val="left" w:pos="360"/>
        </w:tabs>
        <w:overflowPunct w:val="0"/>
        <w:autoSpaceDE w:val="0"/>
        <w:autoSpaceDN w:val="0"/>
        <w:adjustRightInd w:val="0"/>
        <w:jc w:val="both"/>
        <w:textAlignment w:val="baseline"/>
        <w:rPr>
          <w:rFonts w:ascii="Book Antiqua" w:hAnsi="Book Antiqua" w:cs="Arial"/>
        </w:rPr>
      </w:pPr>
    </w:p>
    <w:p w:rsidR="00C52DD1" w:rsidRPr="002A708D" w:rsidRDefault="00C52DD1" w:rsidP="00C52DD1">
      <w:pPr>
        <w:numPr>
          <w:ilvl w:val="2"/>
          <w:numId w:val="1"/>
        </w:numPr>
        <w:tabs>
          <w:tab w:val="left" w:pos="0"/>
          <w:tab w:val="left" w:pos="360"/>
        </w:tabs>
        <w:overflowPunct w:val="0"/>
        <w:autoSpaceDE w:val="0"/>
        <w:autoSpaceDN w:val="0"/>
        <w:adjustRightInd w:val="0"/>
        <w:ind w:left="0" w:firstLine="0"/>
        <w:jc w:val="both"/>
        <w:textAlignment w:val="baseline"/>
        <w:rPr>
          <w:rFonts w:ascii="Book Antiqua" w:hAnsi="Book Antiqua" w:cs="Arial"/>
        </w:rPr>
      </w:pPr>
      <w:r w:rsidRPr="00AE0A04">
        <w:rPr>
          <w:rFonts w:ascii="Book Antiqua" w:hAnsi="Book Antiqua"/>
        </w:rPr>
        <w:t>The appeal is remitted to the First-tier Tribunal pursuant to section 12(2)(b)(</w:t>
      </w:r>
      <w:proofErr w:type="spellStart"/>
      <w:r w:rsidRPr="00AE0A04">
        <w:rPr>
          <w:rFonts w:ascii="Book Antiqua" w:hAnsi="Book Antiqua"/>
        </w:rPr>
        <w:t>i</w:t>
      </w:r>
      <w:proofErr w:type="spellEnd"/>
      <w:r w:rsidRPr="00AE0A04">
        <w:rPr>
          <w:rFonts w:ascii="Book Antiqua" w:hAnsi="Book Antiqua"/>
        </w:rPr>
        <w:t xml:space="preserve">) of the Tribunals, Courts and Enforcement Act 2007 and Practice Statement 7.2(b), </w:t>
      </w:r>
      <w:r>
        <w:rPr>
          <w:rFonts w:ascii="Book Antiqua" w:hAnsi="Book Antiqua"/>
        </w:rPr>
        <w:t xml:space="preserve">to be heard </w:t>
      </w:r>
      <w:r w:rsidR="00135836">
        <w:rPr>
          <w:rFonts w:ascii="Book Antiqua" w:hAnsi="Book Antiqua"/>
        </w:rPr>
        <w:t xml:space="preserve">afresh </w:t>
      </w:r>
      <w:r w:rsidRPr="00AE0A04">
        <w:rPr>
          <w:rFonts w:ascii="Book Antiqua" w:hAnsi="Book Antiqua"/>
        </w:rPr>
        <w:t xml:space="preserve">before any judge aside from Judge </w:t>
      </w:r>
      <w:r w:rsidR="002A708D">
        <w:rPr>
          <w:rFonts w:ascii="Book Antiqua" w:hAnsi="Book Antiqua"/>
        </w:rPr>
        <w:t>Ferguson</w:t>
      </w:r>
      <w:r w:rsidRPr="00AE0A04">
        <w:rPr>
          <w:rFonts w:ascii="Book Antiqua" w:hAnsi="Book Antiqua"/>
        </w:rPr>
        <w:t>.</w:t>
      </w:r>
    </w:p>
    <w:p w:rsidR="002A708D" w:rsidRDefault="002A708D" w:rsidP="002A708D">
      <w:pPr>
        <w:pStyle w:val="ListParagraph"/>
        <w:rPr>
          <w:rFonts w:ascii="Book Antiqua" w:hAnsi="Book Antiqua" w:cs="Arial"/>
        </w:rPr>
      </w:pPr>
    </w:p>
    <w:p w:rsidR="002A708D" w:rsidRPr="002A708D" w:rsidRDefault="002A708D" w:rsidP="002A708D">
      <w:pPr>
        <w:pStyle w:val="ListParagraph"/>
        <w:ind w:left="0" w:firstLine="567"/>
        <w:rPr>
          <w:rFonts w:ascii="Book Antiqua" w:hAnsi="Book Antiqua" w:cs="Arial"/>
          <w:b/>
        </w:rPr>
      </w:pPr>
      <w:r>
        <w:rPr>
          <w:rFonts w:ascii="Book Antiqua" w:hAnsi="Book Antiqua" w:cs="Arial"/>
          <w:b/>
        </w:rPr>
        <w:t>Directions</w:t>
      </w:r>
    </w:p>
    <w:p w:rsidR="002A708D" w:rsidRDefault="002A708D" w:rsidP="002A708D">
      <w:pPr>
        <w:pStyle w:val="ListParagraph"/>
        <w:rPr>
          <w:rFonts w:ascii="Book Antiqua" w:hAnsi="Book Antiqua" w:cs="Arial"/>
        </w:rPr>
      </w:pPr>
    </w:p>
    <w:p w:rsidR="002A708D" w:rsidRPr="00C3113B" w:rsidRDefault="002A708D" w:rsidP="002A708D">
      <w:pPr>
        <w:tabs>
          <w:tab w:val="left" w:pos="0"/>
          <w:tab w:val="left" w:pos="360"/>
        </w:tabs>
        <w:overflowPunct w:val="0"/>
        <w:autoSpaceDE w:val="0"/>
        <w:autoSpaceDN w:val="0"/>
        <w:adjustRightInd w:val="0"/>
        <w:ind w:left="567"/>
        <w:jc w:val="both"/>
        <w:textAlignment w:val="baseline"/>
        <w:rPr>
          <w:rFonts w:ascii="Book Antiqua" w:hAnsi="Book Antiqua" w:cs="Arial"/>
        </w:rPr>
      </w:pPr>
      <w:r>
        <w:rPr>
          <w:rFonts w:ascii="Book Antiqua" w:hAnsi="Book Antiqua" w:cs="Arial"/>
        </w:rPr>
        <w:t>The respondent is to provide the full and complete respondent’s appeal bundle containing all annexes in full and including the complete interview record and appellant’s handwritten response of 17 November 2016.</w:t>
      </w:r>
    </w:p>
    <w:p w:rsidR="00C3113B" w:rsidRDefault="00C3113B" w:rsidP="00C3113B">
      <w:pPr>
        <w:pStyle w:val="ListParagraph"/>
        <w:rPr>
          <w:rFonts w:ascii="Book Antiqua" w:hAnsi="Book Antiqua" w:cs="Arial"/>
        </w:rPr>
      </w:pPr>
    </w:p>
    <w:p w:rsidR="009F4530" w:rsidRPr="00324C69" w:rsidRDefault="009F4530" w:rsidP="009F4530">
      <w:pPr>
        <w:tabs>
          <w:tab w:val="left" w:pos="0"/>
          <w:tab w:val="left" w:pos="360"/>
        </w:tabs>
        <w:overflowPunct w:val="0"/>
        <w:autoSpaceDE w:val="0"/>
        <w:autoSpaceDN w:val="0"/>
        <w:adjustRightInd w:val="0"/>
        <w:ind w:left="360"/>
        <w:jc w:val="both"/>
        <w:textAlignment w:val="baseline"/>
        <w:rPr>
          <w:rFonts w:ascii="Book Antiqua" w:hAnsi="Book Antiqua" w:cs="Arial"/>
        </w:rPr>
      </w:pPr>
    </w:p>
    <w:p w:rsidR="00071E54" w:rsidRPr="00324C69" w:rsidRDefault="00071E54" w:rsidP="00593821">
      <w:pPr>
        <w:ind w:left="4508" w:hanging="539"/>
        <w:rPr>
          <w:rFonts w:ascii="Book Antiqua" w:hAnsi="Book Antiqua" w:cs="Arial"/>
        </w:rPr>
      </w:pPr>
    </w:p>
    <w:p w:rsidR="001F2716" w:rsidRPr="00324C69" w:rsidRDefault="00780F86" w:rsidP="0084487E">
      <w:pPr>
        <w:rPr>
          <w:rFonts w:ascii="Book Antiqua" w:hAnsi="Book Antiqua" w:cs="Arial"/>
        </w:rPr>
      </w:pPr>
      <w:r w:rsidRPr="00324C69">
        <w:rPr>
          <w:rFonts w:ascii="Book Antiqua" w:hAnsi="Book Antiqua" w:cs="Arial"/>
        </w:rPr>
        <w:t>Signed</w:t>
      </w:r>
      <w:r w:rsidR="0084487E">
        <w:rPr>
          <w:rFonts w:ascii="Book Antiqua" w:hAnsi="Book Antiqua" w:cs="Arial"/>
        </w:rPr>
        <w:t xml:space="preserve">:  </w:t>
      </w:r>
      <w:r w:rsidRPr="00324C69">
        <w:rPr>
          <w:rFonts w:ascii="Book Antiqua" w:hAnsi="Book Antiqua" w:cs="Arial"/>
        </w:rPr>
        <w:tab/>
      </w:r>
      <w:r w:rsidR="00C47A7D" w:rsidRPr="005927AB">
        <w:rPr>
          <w:noProof/>
          <w:sz w:val="20"/>
          <w:szCs w:val="20"/>
        </w:rPr>
        <w:drawing>
          <wp:inline distT="0" distB="0" distL="0" distR="0">
            <wp:extent cx="1257300" cy="54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8640"/>
                    </a:xfrm>
                    <a:prstGeom prst="rect">
                      <a:avLst/>
                    </a:prstGeom>
                    <a:noFill/>
                    <a:ln>
                      <a:noFill/>
                    </a:ln>
                  </pic:spPr>
                </pic:pic>
              </a:graphicData>
            </a:graphic>
          </wp:inline>
        </w:drawing>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r w:rsidRPr="00324C69">
        <w:rPr>
          <w:rFonts w:ascii="Book Antiqua" w:hAnsi="Book Antiqua" w:cs="Arial"/>
        </w:rPr>
        <w:tab/>
      </w:r>
    </w:p>
    <w:p w:rsidR="00B95326" w:rsidRPr="00F97703" w:rsidRDefault="00640E33" w:rsidP="0084487E">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r>
        <w:rPr>
          <w:rFonts w:ascii="Book Antiqua" w:hAnsi="Book Antiqua" w:cs="Arial"/>
          <w:color w:val="000000"/>
        </w:rPr>
        <w:t>Kebede</w:t>
      </w:r>
      <w:r w:rsidR="004D2C44">
        <w:rPr>
          <w:rFonts w:ascii="Book Antiqua" w:hAnsi="Book Antiqua" w:cs="Arial"/>
          <w:color w:val="000000"/>
        </w:rPr>
        <w:t xml:space="preserve"> </w:t>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r>
      <w:r w:rsidR="0084487E">
        <w:rPr>
          <w:rFonts w:ascii="Book Antiqua" w:hAnsi="Book Antiqua" w:cs="Arial"/>
          <w:color w:val="000000"/>
        </w:rPr>
        <w:tab/>
        <w:t xml:space="preserve">Dated: </w:t>
      </w:r>
      <w:r w:rsidR="000045B7">
        <w:rPr>
          <w:rFonts w:ascii="Book Antiqua" w:hAnsi="Book Antiqua" w:cs="Arial"/>
          <w:color w:val="000000"/>
        </w:rPr>
        <w:t>13 September</w:t>
      </w:r>
      <w:r w:rsidR="006D7435">
        <w:rPr>
          <w:rFonts w:ascii="Book Antiqua" w:hAnsi="Book Antiqua" w:cs="Arial"/>
          <w:color w:val="000000"/>
        </w:rPr>
        <w:t xml:space="preserve"> 2018</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C36" w:rsidRDefault="00A03C36">
      <w:r>
        <w:separator/>
      </w:r>
    </w:p>
  </w:endnote>
  <w:endnote w:type="continuationSeparator" w:id="0">
    <w:p w:rsidR="00A03C36" w:rsidRDefault="00A0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49A" w:rsidRPr="00593795" w:rsidRDefault="00FE549A"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C553E">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49A" w:rsidRPr="00090CF9" w:rsidRDefault="00FE549A"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A92D60">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C36" w:rsidRDefault="00A03C36">
      <w:r>
        <w:separator/>
      </w:r>
    </w:p>
  </w:footnote>
  <w:footnote w:type="continuationSeparator" w:id="0">
    <w:p w:rsidR="00A03C36" w:rsidRDefault="00A03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49A" w:rsidRPr="003C5CE5" w:rsidRDefault="00FE549A" w:rsidP="00593795">
    <w:pPr>
      <w:pStyle w:val="Header"/>
      <w:jc w:val="right"/>
      <w:rPr>
        <w:rFonts w:ascii="Arial" w:hAnsi="Arial" w:cs="Arial"/>
        <w:sz w:val="16"/>
        <w:szCs w:val="16"/>
      </w:rPr>
    </w:pPr>
    <w:r>
      <w:rPr>
        <w:rFonts w:ascii="Arial" w:hAnsi="Arial" w:cs="Arial"/>
        <w:sz w:val="16"/>
        <w:szCs w:val="16"/>
      </w:rPr>
      <w:t xml:space="preserve">Appeal Number: </w:t>
    </w:r>
    <w:r w:rsidR="006772C2">
      <w:rPr>
        <w:rFonts w:ascii="Arial" w:hAnsi="Arial" w:cs="Arial"/>
        <w:sz w:val="16"/>
        <w:szCs w:val="16"/>
      </w:rPr>
      <w:t>HU/</w:t>
    </w:r>
    <w:r w:rsidR="00145176">
      <w:rPr>
        <w:rFonts w:ascii="Arial" w:hAnsi="Arial" w:cs="Arial"/>
        <w:sz w:val="16"/>
        <w:szCs w:val="16"/>
      </w:rPr>
      <w:t>27710/2016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abstractNum w:abstractNumId="1"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FD84694"/>
    <w:multiLevelType w:val="hybridMultilevel"/>
    <w:tmpl w:val="B8A63A26"/>
    <w:lvl w:ilvl="0" w:tplc="681C7948">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B84145E"/>
    <w:multiLevelType w:val="hybridMultilevel"/>
    <w:tmpl w:val="E39C8DF2"/>
    <w:lvl w:ilvl="0" w:tplc="A03A5E8A">
      <w:start w:val="1"/>
      <w:numFmt w:val="decimal"/>
      <w:lvlText w:val="%1."/>
      <w:lvlJc w:val="left"/>
      <w:pPr>
        <w:tabs>
          <w:tab w:val="num" w:pos="0"/>
        </w:tabs>
        <w:ind w:left="0" w:firstLine="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CB97CBA"/>
    <w:multiLevelType w:val="hybridMultilevel"/>
    <w:tmpl w:val="CF3A9606"/>
    <w:lvl w:ilvl="0" w:tplc="A5E83E7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EDA119E"/>
    <w:multiLevelType w:val="hybridMultilevel"/>
    <w:tmpl w:val="5600B2FC"/>
    <w:lvl w:ilvl="0" w:tplc="067E4CBE">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0CA6462"/>
    <w:multiLevelType w:val="hybridMultilevel"/>
    <w:tmpl w:val="1C4E499A"/>
    <w:lvl w:ilvl="0" w:tplc="08090011">
      <w:start w:val="1"/>
      <w:numFmt w:val="decimal"/>
      <w:lvlText w:val="%1)"/>
      <w:lvlJc w:val="left"/>
      <w:pPr>
        <w:tabs>
          <w:tab w:val="num" w:pos="720"/>
        </w:tabs>
        <w:ind w:left="720" w:hanging="360"/>
      </w:pPr>
      <w:rPr>
        <w:rFonts w:hint="default"/>
      </w:rPr>
    </w:lvl>
    <w:lvl w:ilvl="1" w:tplc="EF24D8A6">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BEB6CBC"/>
    <w:multiLevelType w:val="hybridMultilevel"/>
    <w:tmpl w:val="597C8310"/>
    <w:lvl w:ilvl="0" w:tplc="8A9873A2">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8BA3F9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36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10"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2" w15:restartNumberingAfterBreak="0">
    <w:nsid w:val="6B1A13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E381AD7"/>
    <w:multiLevelType w:val="multilevel"/>
    <w:tmpl w:val="A0C2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B268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10"/>
  </w:num>
  <w:num w:numId="3">
    <w:abstractNumId w:val="11"/>
  </w:num>
  <w:num w:numId="4">
    <w:abstractNumId w:val="4"/>
  </w:num>
  <w:num w:numId="5">
    <w:abstractNumId w:val="0"/>
  </w:num>
  <w:num w:numId="6">
    <w:abstractNumId w:val="1"/>
  </w:num>
  <w:num w:numId="7">
    <w:abstractNumId w:val="12"/>
  </w:num>
  <w:num w:numId="8">
    <w:abstractNumId w:val="14"/>
  </w:num>
  <w:num w:numId="9">
    <w:abstractNumId w:val="5"/>
  </w:num>
  <w:num w:numId="10">
    <w:abstractNumId w:val="8"/>
  </w:num>
  <w:num w:numId="11">
    <w:abstractNumId w:val="2"/>
  </w:num>
  <w:num w:numId="12">
    <w:abstractNumId w:val="7"/>
  </w:num>
  <w:num w:numId="13">
    <w:abstractNumId w:val="6"/>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09E7"/>
    <w:rsid w:val="000018B3"/>
    <w:rsid w:val="00002D6D"/>
    <w:rsid w:val="000036C2"/>
    <w:rsid w:val="000045B7"/>
    <w:rsid w:val="00011C31"/>
    <w:rsid w:val="00026685"/>
    <w:rsid w:val="00026F3F"/>
    <w:rsid w:val="00033335"/>
    <w:rsid w:val="00033D3D"/>
    <w:rsid w:val="00036D0A"/>
    <w:rsid w:val="00043346"/>
    <w:rsid w:val="00043D6B"/>
    <w:rsid w:val="0004467F"/>
    <w:rsid w:val="00050232"/>
    <w:rsid w:val="00055E41"/>
    <w:rsid w:val="00056B84"/>
    <w:rsid w:val="00060580"/>
    <w:rsid w:val="00062F02"/>
    <w:rsid w:val="00064FF9"/>
    <w:rsid w:val="000652CE"/>
    <w:rsid w:val="000659FF"/>
    <w:rsid w:val="00071A7E"/>
    <w:rsid w:val="00071E54"/>
    <w:rsid w:val="000746C0"/>
    <w:rsid w:val="00074D1D"/>
    <w:rsid w:val="00080CBE"/>
    <w:rsid w:val="00084162"/>
    <w:rsid w:val="00086A53"/>
    <w:rsid w:val="00087109"/>
    <w:rsid w:val="00087E5D"/>
    <w:rsid w:val="000902C9"/>
    <w:rsid w:val="00090CF9"/>
    <w:rsid w:val="00092580"/>
    <w:rsid w:val="00093C3E"/>
    <w:rsid w:val="00093D4D"/>
    <w:rsid w:val="000A1B34"/>
    <w:rsid w:val="000B2706"/>
    <w:rsid w:val="000B32D1"/>
    <w:rsid w:val="000D164B"/>
    <w:rsid w:val="000D5D94"/>
    <w:rsid w:val="000D7648"/>
    <w:rsid w:val="000F1A0E"/>
    <w:rsid w:val="000F43B8"/>
    <w:rsid w:val="000F4687"/>
    <w:rsid w:val="001049CE"/>
    <w:rsid w:val="00104CC5"/>
    <w:rsid w:val="0010645C"/>
    <w:rsid w:val="001165A7"/>
    <w:rsid w:val="00123148"/>
    <w:rsid w:val="0012526F"/>
    <w:rsid w:val="0013499C"/>
    <w:rsid w:val="00134C10"/>
    <w:rsid w:val="00135836"/>
    <w:rsid w:val="00145176"/>
    <w:rsid w:val="00146D61"/>
    <w:rsid w:val="00152A7E"/>
    <w:rsid w:val="001531E2"/>
    <w:rsid w:val="0015618E"/>
    <w:rsid w:val="00163092"/>
    <w:rsid w:val="00164C96"/>
    <w:rsid w:val="00167D3A"/>
    <w:rsid w:val="00173A95"/>
    <w:rsid w:val="00197E5A"/>
    <w:rsid w:val="001A0AD7"/>
    <w:rsid w:val="001A1E7A"/>
    <w:rsid w:val="001A3082"/>
    <w:rsid w:val="001A7F3B"/>
    <w:rsid w:val="001B186A"/>
    <w:rsid w:val="001B2F75"/>
    <w:rsid w:val="001B4699"/>
    <w:rsid w:val="001B756A"/>
    <w:rsid w:val="001C4525"/>
    <w:rsid w:val="001D0BD3"/>
    <w:rsid w:val="001E2457"/>
    <w:rsid w:val="001F15C4"/>
    <w:rsid w:val="001F2716"/>
    <w:rsid w:val="001F2F12"/>
    <w:rsid w:val="001F4EF7"/>
    <w:rsid w:val="002072C9"/>
    <w:rsid w:val="00207617"/>
    <w:rsid w:val="00207D6B"/>
    <w:rsid w:val="0021686A"/>
    <w:rsid w:val="00223A9D"/>
    <w:rsid w:val="00225785"/>
    <w:rsid w:val="0023134B"/>
    <w:rsid w:val="00235C97"/>
    <w:rsid w:val="0024661D"/>
    <w:rsid w:val="00260142"/>
    <w:rsid w:val="00262A71"/>
    <w:rsid w:val="00262F82"/>
    <w:rsid w:val="00267FA4"/>
    <w:rsid w:val="00270727"/>
    <w:rsid w:val="00270E13"/>
    <w:rsid w:val="002720D1"/>
    <w:rsid w:val="00275CB6"/>
    <w:rsid w:val="00277663"/>
    <w:rsid w:val="00283659"/>
    <w:rsid w:val="002A0B56"/>
    <w:rsid w:val="002A133A"/>
    <w:rsid w:val="002A632E"/>
    <w:rsid w:val="002A708D"/>
    <w:rsid w:val="002A74C3"/>
    <w:rsid w:val="002B1CCC"/>
    <w:rsid w:val="002B7ADD"/>
    <w:rsid w:val="002C1B9B"/>
    <w:rsid w:val="002C27C9"/>
    <w:rsid w:val="002C5577"/>
    <w:rsid w:val="002C6BD4"/>
    <w:rsid w:val="002D0F36"/>
    <w:rsid w:val="002D1999"/>
    <w:rsid w:val="002D19E6"/>
    <w:rsid w:val="002D1F60"/>
    <w:rsid w:val="002D2D66"/>
    <w:rsid w:val="002D46F4"/>
    <w:rsid w:val="002D68BF"/>
    <w:rsid w:val="002D7E58"/>
    <w:rsid w:val="002E77C4"/>
    <w:rsid w:val="002F6B98"/>
    <w:rsid w:val="002F73F2"/>
    <w:rsid w:val="002F786B"/>
    <w:rsid w:val="00302336"/>
    <w:rsid w:val="0030553C"/>
    <w:rsid w:val="00317F1A"/>
    <w:rsid w:val="00321FB6"/>
    <w:rsid w:val="00324C69"/>
    <w:rsid w:val="00325F34"/>
    <w:rsid w:val="00326004"/>
    <w:rsid w:val="00333888"/>
    <w:rsid w:val="003369F6"/>
    <w:rsid w:val="00336CBF"/>
    <w:rsid w:val="00337EA4"/>
    <w:rsid w:val="00341C12"/>
    <w:rsid w:val="00343FE3"/>
    <w:rsid w:val="00346C6D"/>
    <w:rsid w:val="00352C91"/>
    <w:rsid w:val="003546C8"/>
    <w:rsid w:val="00354F6B"/>
    <w:rsid w:val="003577D0"/>
    <w:rsid w:val="0036093A"/>
    <w:rsid w:val="00364ECD"/>
    <w:rsid w:val="00365FE4"/>
    <w:rsid w:val="0036662E"/>
    <w:rsid w:val="003666F7"/>
    <w:rsid w:val="0037168F"/>
    <w:rsid w:val="00371C0A"/>
    <w:rsid w:val="0037471A"/>
    <w:rsid w:val="00381B46"/>
    <w:rsid w:val="0038485D"/>
    <w:rsid w:val="0038721B"/>
    <w:rsid w:val="00387ECE"/>
    <w:rsid w:val="00394D48"/>
    <w:rsid w:val="003A1035"/>
    <w:rsid w:val="003A1CC4"/>
    <w:rsid w:val="003A74C1"/>
    <w:rsid w:val="003A7CF2"/>
    <w:rsid w:val="003B3CFE"/>
    <w:rsid w:val="003B58DD"/>
    <w:rsid w:val="003B637E"/>
    <w:rsid w:val="003C4E33"/>
    <w:rsid w:val="003C579D"/>
    <w:rsid w:val="003C5CE5"/>
    <w:rsid w:val="003D5371"/>
    <w:rsid w:val="003D6760"/>
    <w:rsid w:val="003E267B"/>
    <w:rsid w:val="003E3D29"/>
    <w:rsid w:val="003E70D1"/>
    <w:rsid w:val="003E7CD1"/>
    <w:rsid w:val="003F1EA7"/>
    <w:rsid w:val="00402B9E"/>
    <w:rsid w:val="00404114"/>
    <w:rsid w:val="004052E3"/>
    <w:rsid w:val="0040659A"/>
    <w:rsid w:val="0041482A"/>
    <w:rsid w:val="00414E53"/>
    <w:rsid w:val="00416640"/>
    <w:rsid w:val="00417DE2"/>
    <w:rsid w:val="00422992"/>
    <w:rsid w:val="004249CB"/>
    <w:rsid w:val="004301F6"/>
    <w:rsid w:val="00436176"/>
    <w:rsid w:val="0043684E"/>
    <w:rsid w:val="0044111A"/>
    <w:rsid w:val="0044127D"/>
    <w:rsid w:val="00442BC9"/>
    <w:rsid w:val="0044437D"/>
    <w:rsid w:val="004448DB"/>
    <w:rsid w:val="00446C9A"/>
    <w:rsid w:val="00452F2B"/>
    <w:rsid w:val="00454741"/>
    <w:rsid w:val="0046435F"/>
    <w:rsid w:val="004649F7"/>
    <w:rsid w:val="0046632D"/>
    <w:rsid w:val="00475C44"/>
    <w:rsid w:val="00476397"/>
    <w:rsid w:val="00477193"/>
    <w:rsid w:val="00482504"/>
    <w:rsid w:val="00484C8C"/>
    <w:rsid w:val="00492AFD"/>
    <w:rsid w:val="004A1848"/>
    <w:rsid w:val="004A5744"/>
    <w:rsid w:val="004A6F4A"/>
    <w:rsid w:val="004B0D3A"/>
    <w:rsid w:val="004B1D2E"/>
    <w:rsid w:val="004B1F6E"/>
    <w:rsid w:val="004B3405"/>
    <w:rsid w:val="004C1054"/>
    <w:rsid w:val="004D0F9F"/>
    <w:rsid w:val="004D2C44"/>
    <w:rsid w:val="004D687C"/>
    <w:rsid w:val="004E226A"/>
    <w:rsid w:val="004E4717"/>
    <w:rsid w:val="004E6C1E"/>
    <w:rsid w:val="004F2068"/>
    <w:rsid w:val="005007E9"/>
    <w:rsid w:val="005035E7"/>
    <w:rsid w:val="00507FEC"/>
    <w:rsid w:val="00510F0E"/>
    <w:rsid w:val="005120EC"/>
    <w:rsid w:val="005155E7"/>
    <w:rsid w:val="0051578C"/>
    <w:rsid w:val="00517DEF"/>
    <w:rsid w:val="0052171C"/>
    <w:rsid w:val="00524251"/>
    <w:rsid w:val="0053164F"/>
    <w:rsid w:val="00535A09"/>
    <w:rsid w:val="00536E45"/>
    <w:rsid w:val="00541EBF"/>
    <w:rsid w:val="00542CBA"/>
    <w:rsid w:val="00543A3F"/>
    <w:rsid w:val="005450DD"/>
    <w:rsid w:val="005479E1"/>
    <w:rsid w:val="00553E0A"/>
    <w:rsid w:val="005570FD"/>
    <w:rsid w:val="005575EA"/>
    <w:rsid w:val="0056207A"/>
    <w:rsid w:val="0056265F"/>
    <w:rsid w:val="00565469"/>
    <w:rsid w:val="00566827"/>
    <w:rsid w:val="00566A69"/>
    <w:rsid w:val="00570938"/>
    <w:rsid w:val="00570EF1"/>
    <w:rsid w:val="005748E2"/>
    <w:rsid w:val="00576D0D"/>
    <w:rsid w:val="0057790C"/>
    <w:rsid w:val="00577DCE"/>
    <w:rsid w:val="005833CC"/>
    <w:rsid w:val="005835AD"/>
    <w:rsid w:val="00583A24"/>
    <w:rsid w:val="0058521F"/>
    <w:rsid w:val="005922DC"/>
    <w:rsid w:val="00593795"/>
    <w:rsid w:val="00593821"/>
    <w:rsid w:val="00597BB4"/>
    <w:rsid w:val="005A1EFD"/>
    <w:rsid w:val="005A3EFC"/>
    <w:rsid w:val="005A549B"/>
    <w:rsid w:val="005A5D6F"/>
    <w:rsid w:val="005A6C64"/>
    <w:rsid w:val="005A6DFE"/>
    <w:rsid w:val="005A75FF"/>
    <w:rsid w:val="005B150D"/>
    <w:rsid w:val="005B4E79"/>
    <w:rsid w:val="005C48C6"/>
    <w:rsid w:val="005C5D0E"/>
    <w:rsid w:val="005D10AB"/>
    <w:rsid w:val="005E162C"/>
    <w:rsid w:val="005E23B9"/>
    <w:rsid w:val="005E2763"/>
    <w:rsid w:val="005E6742"/>
    <w:rsid w:val="005F6E20"/>
    <w:rsid w:val="00601D8F"/>
    <w:rsid w:val="00610923"/>
    <w:rsid w:val="00621BC6"/>
    <w:rsid w:val="00632D65"/>
    <w:rsid w:val="00634EA1"/>
    <w:rsid w:val="00635A27"/>
    <w:rsid w:val="00640E33"/>
    <w:rsid w:val="00647FFB"/>
    <w:rsid w:val="00653E97"/>
    <w:rsid w:val="006556D2"/>
    <w:rsid w:val="0065583B"/>
    <w:rsid w:val="00656C02"/>
    <w:rsid w:val="00665619"/>
    <w:rsid w:val="006664A5"/>
    <w:rsid w:val="0066668D"/>
    <w:rsid w:val="00672EBF"/>
    <w:rsid w:val="006772C2"/>
    <w:rsid w:val="0068152E"/>
    <w:rsid w:val="006846EC"/>
    <w:rsid w:val="00684A74"/>
    <w:rsid w:val="00687E25"/>
    <w:rsid w:val="00690AC7"/>
    <w:rsid w:val="00690B8A"/>
    <w:rsid w:val="006959F5"/>
    <w:rsid w:val="00697131"/>
    <w:rsid w:val="006A1202"/>
    <w:rsid w:val="006A5697"/>
    <w:rsid w:val="006B1E52"/>
    <w:rsid w:val="006B4192"/>
    <w:rsid w:val="006B4527"/>
    <w:rsid w:val="006B45F8"/>
    <w:rsid w:val="006B4BCE"/>
    <w:rsid w:val="006B4F84"/>
    <w:rsid w:val="006B623E"/>
    <w:rsid w:val="006B6A12"/>
    <w:rsid w:val="006B7D7E"/>
    <w:rsid w:val="006C149C"/>
    <w:rsid w:val="006C781E"/>
    <w:rsid w:val="006D4376"/>
    <w:rsid w:val="006D70FB"/>
    <w:rsid w:val="006D7435"/>
    <w:rsid w:val="006E1960"/>
    <w:rsid w:val="006E3766"/>
    <w:rsid w:val="006F2CF1"/>
    <w:rsid w:val="007038ED"/>
    <w:rsid w:val="00703BC3"/>
    <w:rsid w:val="00704B61"/>
    <w:rsid w:val="00705447"/>
    <w:rsid w:val="0070598A"/>
    <w:rsid w:val="007064D0"/>
    <w:rsid w:val="0071333E"/>
    <w:rsid w:val="00714F40"/>
    <w:rsid w:val="00724EC0"/>
    <w:rsid w:val="007309EC"/>
    <w:rsid w:val="00731A9F"/>
    <w:rsid w:val="00732F0F"/>
    <w:rsid w:val="007334B3"/>
    <w:rsid w:val="00734483"/>
    <w:rsid w:val="007347D5"/>
    <w:rsid w:val="00734A21"/>
    <w:rsid w:val="00735C42"/>
    <w:rsid w:val="00736965"/>
    <w:rsid w:val="007375BA"/>
    <w:rsid w:val="0074279F"/>
    <w:rsid w:val="007446C2"/>
    <w:rsid w:val="00751E08"/>
    <w:rsid w:val="00751EC0"/>
    <w:rsid w:val="007530EB"/>
    <w:rsid w:val="007552A9"/>
    <w:rsid w:val="00755C9D"/>
    <w:rsid w:val="00761858"/>
    <w:rsid w:val="00762034"/>
    <w:rsid w:val="0076577A"/>
    <w:rsid w:val="007673D9"/>
    <w:rsid w:val="0076768B"/>
    <w:rsid w:val="00767BFE"/>
    <w:rsid w:val="00767D59"/>
    <w:rsid w:val="00773A5E"/>
    <w:rsid w:val="00776E97"/>
    <w:rsid w:val="00780F86"/>
    <w:rsid w:val="00781A43"/>
    <w:rsid w:val="00784D03"/>
    <w:rsid w:val="007912AD"/>
    <w:rsid w:val="007937AD"/>
    <w:rsid w:val="007A182B"/>
    <w:rsid w:val="007A2F32"/>
    <w:rsid w:val="007A4B5E"/>
    <w:rsid w:val="007A7BE4"/>
    <w:rsid w:val="007B01C8"/>
    <w:rsid w:val="007B0824"/>
    <w:rsid w:val="007B1E46"/>
    <w:rsid w:val="007B35C6"/>
    <w:rsid w:val="007B5D3C"/>
    <w:rsid w:val="007B5F73"/>
    <w:rsid w:val="007B605B"/>
    <w:rsid w:val="007C494A"/>
    <w:rsid w:val="007D11BC"/>
    <w:rsid w:val="007D1494"/>
    <w:rsid w:val="007D4655"/>
    <w:rsid w:val="007D53FE"/>
    <w:rsid w:val="007D6925"/>
    <w:rsid w:val="007E11A9"/>
    <w:rsid w:val="008101BA"/>
    <w:rsid w:val="00810E14"/>
    <w:rsid w:val="0081643D"/>
    <w:rsid w:val="0082152A"/>
    <w:rsid w:val="00821B72"/>
    <w:rsid w:val="00823EF2"/>
    <w:rsid w:val="008303B8"/>
    <w:rsid w:val="00833DCE"/>
    <w:rsid w:val="00835800"/>
    <w:rsid w:val="00835884"/>
    <w:rsid w:val="00840B15"/>
    <w:rsid w:val="00842824"/>
    <w:rsid w:val="0084487E"/>
    <w:rsid w:val="008467A7"/>
    <w:rsid w:val="008618D6"/>
    <w:rsid w:val="0086307A"/>
    <w:rsid w:val="00863494"/>
    <w:rsid w:val="008644C2"/>
    <w:rsid w:val="00865D32"/>
    <w:rsid w:val="00871D34"/>
    <w:rsid w:val="00876B52"/>
    <w:rsid w:val="00881B6B"/>
    <w:rsid w:val="00881F35"/>
    <w:rsid w:val="008A0A37"/>
    <w:rsid w:val="008A42EB"/>
    <w:rsid w:val="008B1281"/>
    <w:rsid w:val="008B270C"/>
    <w:rsid w:val="008B380C"/>
    <w:rsid w:val="008B5078"/>
    <w:rsid w:val="008C0830"/>
    <w:rsid w:val="008C2F23"/>
    <w:rsid w:val="008C3D3D"/>
    <w:rsid w:val="008D4131"/>
    <w:rsid w:val="008D4E65"/>
    <w:rsid w:val="008E08C7"/>
    <w:rsid w:val="008E1F44"/>
    <w:rsid w:val="008E7A56"/>
    <w:rsid w:val="008F1932"/>
    <w:rsid w:val="008F20FF"/>
    <w:rsid w:val="008F59B7"/>
    <w:rsid w:val="009017E8"/>
    <w:rsid w:val="00902B0F"/>
    <w:rsid w:val="00902C1A"/>
    <w:rsid w:val="00905DD1"/>
    <w:rsid w:val="009129BD"/>
    <w:rsid w:val="00914C14"/>
    <w:rsid w:val="00921062"/>
    <w:rsid w:val="00925AB2"/>
    <w:rsid w:val="00927D2F"/>
    <w:rsid w:val="009326CA"/>
    <w:rsid w:val="009414AB"/>
    <w:rsid w:val="009429ED"/>
    <w:rsid w:val="00944FD5"/>
    <w:rsid w:val="009455E5"/>
    <w:rsid w:val="0094575D"/>
    <w:rsid w:val="0094736D"/>
    <w:rsid w:val="009515F9"/>
    <w:rsid w:val="00952B45"/>
    <w:rsid w:val="00952EA9"/>
    <w:rsid w:val="00960E3D"/>
    <w:rsid w:val="0096338C"/>
    <w:rsid w:val="009655D3"/>
    <w:rsid w:val="009722BC"/>
    <w:rsid w:val="009727A3"/>
    <w:rsid w:val="00973E82"/>
    <w:rsid w:val="00974418"/>
    <w:rsid w:val="00977C16"/>
    <w:rsid w:val="009824BB"/>
    <w:rsid w:val="0098693D"/>
    <w:rsid w:val="00987774"/>
    <w:rsid w:val="009908AE"/>
    <w:rsid w:val="00990CB7"/>
    <w:rsid w:val="00994841"/>
    <w:rsid w:val="009A11E8"/>
    <w:rsid w:val="009A16F9"/>
    <w:rsid w:val="009A1923"/>
    <w:rsid w:val="009B0638"/>
    <w:rsid w:val="009B2AB0"/>
    <w:rsid w:val="009B7562"/>
    <w:rsid w:val="009C3345"/>
    <w:rsid w:val="009C6C34"/>
    <w:rsid w:val="009D3905"/>
    <w:rsid w:val="009D5FEA"/>
    <w:rsid w:val="009D65F7"/>
    <w:rsid w:val="009E3A83"/>
    <w:rsid w:val="009F4530"/>
    <w:rsid w:val="009F5220"/>
    <w:rsid w:val="00A00180"/>
    <w:rsid w:val="00A03361"/>
    <w:rsid w:val="00A03C36"/>
    <w:rsid w:val="00A03DCF"/>
    <w:rsid w:val="00A03EDE"/>
    <w:rsid w:val="00A122F2"/>
    <w:rsid w:val="00A15234"/>
    <w:rsid w:val="00A16E74"/>
    <w:rsid w:val="00A16FBC"/>
    <w:rsid w:val="00A201AB"/>
    <w:rsid w:val="00A22431"/>
    <w:rsid w:val="00A23175"/>
    <w:rsid w:val="00A31C8B"/>
    <w:rsid w:val="00A504C2"/>
    <w:rsid w:val="00A509FA"/>
    <w:rsid w:val="00A56F6E"/>
    <w:rsid w:val="00A66DCA"/>
    <w:rsid w:val="00A75DB3"/>
    <w:rsid w:val="00A8221A"/>
    <w:rsid w:val="00A845DC"/>
    <w:rsid w:val="00A86898"/>
    <w:rsid w:val="00A86E3D"/>
    <w:rsid w:val="00A91607"/>
    <w:rsid w:val="00A91A14"/>
    <w:rsid w:val="00A92D60"/>
    <w:rsid w:val="00AA3064"/>
    <w:rsid w:val="00AA7CE8"/>
    <w:rsid w:val="00AC047C"/>
    <w:rsid w:val="00AC0DFD"/>
    <w:rsid w:val="00AD4321"/>
    <w:rsid w:val="00AD75A2"/>
    <w:rsid w:val="00AE074F"/>
    <w:rsid w:val="00AE0A04"/>
    <w:rsid w:val="00AE3D96"/>
    <w:rsid w:val="00AF021B"/>
    <w:rsid w:val="00AF205D"/>
    <w:rsid w:val="00AF21FC"/>
    <w:rsid w:val="00AF463C"/>
    <w:rsid w:val="00B00EE8"/>
    <w:rsid w:val="00B03E85"/>
    <w:rsid w:val="00B068EE"/>
    <w:rsid w:val="00B13F6B"/>
    <w:rsid w:val="00B232AE"/>
    <w:rsid w:val="00B24EF0"/>
    <w:rsid w:val="00B261FB"/>
    <w:rsid w:val="00B26AA2"/>
    <w:rsid w:val="00B3524D"/>
    <w:rsid w:val="00B40F69"/>
    <w:rsid w:val="00B46616"/>
    <w:rsid w:val="00B574ED"/>
    <w:rsid w:val="00B6142C"/>
    <w:rsid w:val="00B62BE6"/>
    <w:rsid w:val="00B62D72"/>
    <w:rsid w:val="00B62FC6"/>
    <w:rsid w:val="00B632DE"/>
    <w:rsid w:val="00B63BE9"/>
    <w:rsid w:val="00B65E51"/>
    <w:rsid w:val="00B67DD5"/>
    <w:rsid w:val="00B7040A"/>
    <w:rsid w:val="00B758FD"/>
    <w:rsid w:val="00B83391"/>
    <w:rsid w:val="00B83CB3"/>
    <w:rsid w:val="00B866FB"/>
    <w:rsid w:val="00B91964"/>
    <w:rsid w:val="00B94048"/>
    <w:rsid w:val="00B95326"/>
    <w:rsid w:val="00B97B10"/>
    <w:rsid w:val="00BB7394"/>
    <w:rsid w:val="00BC0709"/>
    <w:rsid w:val="00BD0A65"/>
    <w:rsid w:val="00BD3484"/>
    <w:rsid w:val="00BD4196"/>
    <w:rsid w:val="00BD695A"/>
    <w:rsid w:val="00BD74EA"/>
    <w:rsid w:val="00BE003B"/>
    <w:rsid w:val="00BF1816"/>
    <w:rsid w:val="00BF22CA"/>
    <w:rsid w:val="00BF23BB"/>
    <w:rsid w:val="00C010EA"/>
    <w:rsid w:val="00C02783"/>
    <w:rsid w:val="00C03853"/>
    <w:rsid w:val="00C04F75"/>
    <w:rsid w:val="00C052B6"/>
    <w:rsid w:val="00C12F97"/>
    <w:rsid w:val="00C13E43"/>
    <w:rsid w:val="00C16E5C"/>
    <w:rsid w:val="00C20F94"/>
    <w:rsid w:val="00C219D6"/>
    <w:rsid w:val="00C24598"/>
    <w:rsid w:val="00C2549F"/>
    <w:rsid w:val="00C26032"/>
    <w:rsid w:val="00C27EF7"/>
    <w:rsid w:val="00C30B54"/>
    <w:rsid w:val="00C3113B"/>
    <w:rsid w:val="00C345E1"/>
    <w:rsid w:val="00C4083F"/>
    <w:rsid w:val="00C422F3"/>
    <w:rsid w:val="00C43BFD"/>
    <w:rsid w:val="00C47A7D"/>
    <w:rsid w:val="00C51388"/>
    <w:rsid w:val="00C52853"/>
    <w:rsid w:val="00C52DD1"/>
    <w:rsid w:val="00C52F9C"/>
    <w:rsid w:val="00C56D95"/>
    <w:rsid w:val="00C57E53"/>
    <w:rsid w:val="00C647A6"/>
    <w:rsid w:val="00C72910"/>
    <w:rsid w:val="00C72D7C"/>
    <w:rsid w:val="00C73663"/>
    <w:rsid w:val="00C7387A"/>
    <w:rsid w:val="00C80FDA"/>
    <w:rsid w:val="00C85E1B"/>
    <w:rsid w:val="00C866E6"/>
    <w:rsid w:val="00C93826"/>
    <w:rsid w:val="00C94EB0"/>
    <w:rsid w:val="00C978A4"/>
    <w:rsid w:val="00CA00CA"/>
    <w:rsid w:val="00CB0C84"/>
    <w:rsid w:val="00CB3A55"/>
    <w:rsid w:val="00CB3EF4"/>
    <w:rsid w:val="00CB6E35"/>
    <w:rsid w:val="00CD4050"/>
    <w:rsid w:val="00CD5D68"/>
    <w:rsid w:val="00CE1A46"/>
    <w:rsid w:val="00CE307D"/>
    <w:rsid w:val="00CE51C6"/>
    <w:rsid w:val="00CE7E87"/>
    <w:rsid w:val="00D11C0D"/>
    <w:rsid w:val="00D13C15"/>
    <w:rsid w:val="00D17DC4"/>
    <w:rsid w:val="00D20757"/>
    <w:rsid w:val="00D20C3B"/>
    <w:rsid w:val="00D2228E"/>
    <w:rsid w:val="00D22636"/>
    <w:rsid w:val="00D25A39"/>
    <w:rsid w:val="00D3167F"/>
    <w:rsid w:val="00D32801"/>
    <w:rsid w:val="00D40FD9"/>
    <w:rsid w:val="00D42DD2"/>
    <w:rsid w:val="00D435AE"/>
    <w:rsid w:val="00D462BB"/>
    <w:rsid w:val="00D473C0"/>
    <w:rsid w:val="00D529C7"/>
    <w:rsid w:val="00D53769"/>
    <w:rsid w:val="00D5793C"/>
    <w:rsid w:val="00D631C2"/>
    <w:rsid w:val="00D67A60"/>
    <w:rsid w:val="00D736A9"/>
    <w:rsid w:val="00D76021"/>
    <w:rsid w:val="00D776CF"/>
    <w:rsid w:val="00D80383"/>
    <w:rsid w:val="00D824BA"/>
    <w:rsid w:val="00D85C13"/>
    <w:rsid w:val="00D9077C"/>
    <w:rsid w:val="00D9111A"/>
    <w:rsid w:val="00D91BE3"/>
    <w:rsid w:val="00D940B3"/>
    <w:rsid w:val="00D94AFC"/>
    <w:rsid w:val="00DA23A4"/>
    <w:rsid w:val="00DA27DD"/>
    <w:rsid w:val="00DA29A4"/>
    <w:rsid w:val="00DA5F46"/>
    <w:rsid w:val="00DB20FF"/>
    <w:rsid w:val="00DB6898"/>
    <w:rsid w:val="00DB70AE"/>
    <w:rsid w:val="00DC00FD"/>
    <w:rsid w:val="00DC3AD2"/>
    <w:rsid w:val="00DC60C1"/>
    <w:rsid w:val="00DD0A2F"/>
    <w:rsid w:val="00DD2BEA"/>
    <w:rsid w:val="00DD5071"/>
    <w:rsid w:val="00DD5C39"/>
    <w:rsid w:val="00DD7829"/>
    <w:rsid w:val="00DE1C92"/>
    <w:rsid w:val="00DE7DB7"/>
    <w:rsid w:val="00DF1555"/>
    <w:rsid w:val="00E00A0A"/>
    <w:rsid w:val="00E01BDE"/>
    <w:rsid w:val="00E05D9C"/>
    <w:rsid w:val="00E066DE"/>
    <w:rsid w:val="00E07F57"/>
    <w:rsid w:val="00E12A05"/>
    <w:rsid w:val="00E17748"/>
    <w:rsid w:val="00E177AA"/>
    <w:rsid w:val="00E230DB"/>
    <w:rsid w:val="00E250B3"/>
    <w:rsid w:val="00E27C52"/>
    <w:rsid w:val="00E27EB8"/>
    <w:rsid w:val="00E30683"/>
    <w:rsid w:val="00E30FD6"/>
    <w:rsid w:val="00E34EB9"/>
    <w:rsid w:val="00E402D2"/>
    <w:rsid w:val="00E453D8"/>
    <w:rsid w:val="00E50BCE"/>
    <w:rsid w:val="00E574BF"/>
    <w:rsid w:val="00E60B0D"/>
    <w:rsid w:val="00E61292"/>
    <w:rsid w:val="00E70E0A"/>
    <w:rsid w:val="00E77C4D"/>
    <w:rsid w:val="00E80AD9"/>
    <w:rsid w:val="00E80EA8"/>
    <w:rsid w:val="00E81D01"/>
    <w:rsid w:val="00E8312F"/>
    <w:rsid w:val="00E97200"/>
    <w:rsid w:val="00EA102E"/>
    <w:rsid w:val="00EA45AA"/>
    <w:rsid w:val="00EA7966"/>
    <w:rsid w:val="00EA79CD"/>
    <w:rsid w:val="00EB36C5"/>
    <w:rsid w:val="00EB4301"/>
    <w:rsid w:val="00EC058E"/>
    <w:rsid w:val="00EC553E"/>
    <w:rsid w:val="00ED1BEC"/>
    <w:rsid w:val="00ED53FF"/>
    <w:rsid w:val="00EE02DB"/>
    <w:rsid w:val="00EE1E86"/>
    <w:rsid w:val="00EE4162"/>
    <w:rsid w:val="00EE45D8"/>
    <w:rsid w:val="00EE4DED"/>
    <w:rsid w:val="00EE6BAE"/>
    <w:rsid w:val="00F0500D"/>
    <w:rsid w:val="00F103CB"/>
    <w:rsid w:val="00F122B5"/>
    <w:rsid w:val="00F22EDA"/>
    <w:rsid w:val="00F25F2F"/>
    <w:rsid w:val="00F266FF"/>
    <w:rsid w:val="00F26B6D"/>
    <w:rsid w:val="00F32D00"/>
    <w:rsid w:val="00F3331E"/>
    <w:rsid w:val="00F3400F"/>
    <w:rsid w:val="00F35A3A"/>
    <w:rsid w:val="00F44542"/>
    <w:rsid w:val="00F5000A"/>
    <w:rsid w:val="00F5267D"/>
    <w:rsid w:val="00F53186"/>
    <w:rsid w:val="00F53EC8"/>
    <w:rsid w:val="00F55E4D"/>
    <w:rsid w:val="00F6606A"/>
    <w:rsid w:val="00F722E1"/>
    <w:rsid w:val="00F72493"/>
    <w:rsid w:val="00F7253F"/>
    <w:rsid w:val="00F83C6D"/>
    <w:rsid w:val="00F849FD"/>
    <w:rsid w:val="00F97703"/>
    <w:rsid w:val="00FA0386"/>
    <w:rsid w:val="00FA436F"/>
    <w:rsid w:val="00FB2CE4"/>
    <w:rsid w:val="00FB4231"/>
    <w:rsid w:val="00FB712C"/>
    <w:rsid w:val="00FC2273"/>
    <w:rsid w:val="00FD6CA0"/>
    <w:rsid w:val="00FE3C0D"/>
    <w:rsid w:val="00FE549A"/>
    <w:rsid w:val="00FE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styleId="NormalWeb">
    <w:name w:val="Normal (Web)"/>
    <w:basedOn w:val="Normal"/>
    <w:rsid w:val="002A632E"/>
    <w:pPr>
      <w:spacing w:before="100" w:beforeAutospacing="1" w:after="100" w:afterAutospacing="1"/>
    </w:pPr>
  </w:style>
  <w:style w:type="paragraph" w:customStyle="1" w:styleId="Level1">
    <w:name w:val="Level 1"/>
    <w:basedOn w:val="Normal"/>
    <w:rsid w:val="00056B84"/>
    <w:pPr>
      <w:widowControl w:val="0"/>
    </w:pPr>
    <w:rPr>
      <w:szCs w:val="20"/>
    </w:rPr>
  </w:style>
  <w:style w:type="paragraph" w:styleId="ListParagraph">
    <w:name w:val="List Paragraph"/>
    <w:basedOn w:val="Normal"/>
    <w:uiPriority w:val="34"/>
    <w:qFormat/>
    <w:rsid w:val="00275C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8551">
      <w:bodyDiv w:val="1"/>
      <w:marLeft w:val="0"/>
      <w:marRight w:val="0"/>
      <w:marTop w:val="0"/>
      <w:marBottom w:val="0"/>
      <w:divBdr>
        <w:top w:val="none" w:sz="0" w:space="0" w:color="auto"/>
        <w:left w:val="none" w:sz="0" w:space="0" w:color="auto"/>
        <w:bottom w:val="none" w:sz="0" w:space="0" w:color="auto"/>
        <w:right w:val="none" w:sz="0" w:space="0" w:color="auto"/>
      </w:divBdr>
    </w:div>
    <w:div w:id="83888593">
      <w:bodyDiv w:val="1"/>
      <w:marLeft w:val="0"/>
      <w:marRight w:val="0"/>
      <w:marTop w:val="0"/>
      <w:marBottom w:val="0"/>
      <w:divBdr>
        <w:top w:val="none" w:sz="0" w:space="0" w:color="auto"/>
        <w:left w:val="none" w:sz="0" w:space="0" w:color="auto"/>
        <w:bottom w:val="none" w:sz="0" w:space="0" w:color="auto"/>
        <w:right w:val="none" w:sz="0" w:space="0" w:color="auto"/>
      </w:divBdr>
    </w:div>
    <w:div w:id="174005272">
      <w:bodyDiv w:val="1"/>
      <w:marLeft w:val="0"/>
      <w:marRight w:val="0"/>
      <w:marTop w:val="0"/>
      <w:marBottom w:val="0"/>
      <w:divBdr>
        <w:top w:val="none" w:sz="0" w:space="0" w:color="auto"/>
        <w:left w:val="none" w:sz="0" w:space="0" w:color="auto"/>
        <w:bottom w:val="none" w:sz="0" w:space="0" w:color="auto"/>
        <w:right w:val="none" w:sz="0" w:space="0" w:color="auto"/>
      </w:divBdr>
      <w:divsChild>
        <w:div w:id="63721354">
          <w:marLeft w:val="0"/>
          <w:marRight w:val="0"/>
          <w:marTop w:val="0"/>
          <w:marBottom w:val="0"/>
          <w:divBdr>
            <w:top w:val="none" w:sz="0" w:space="0" w:color="auto"/>
            <w:left w:val="none" w:sz="0" w:space="0" w:color="auto"/>
            <w:bottom w:val="none" w:sz="0" w:space="0" w:color="auto"/>
            <w:right w:val="none" w:sz="0" w:space="0" w:color="auto"/>
          </w:divBdr>
          <w:divsChild>
            <w:div w:id="51539782">
              <w:marLeft w:val="0"/>
              <w:marRight w:val="0"/>
              <w:marTop w:val="0"/>
              <w:marBottom w:val="0"/>
              <w:divBdr>
                <w:top w:val="none" w:sz="0" w:space="0" w:color="auto"/>
                <w:left w:val="none" w:sz="0" w:space="0" w:color="auto"/>
                <w:bottom w:val="none" w:sz="0" w:space="0" w:color="auto"/>
                <w:right w:val="none" w:sz="0" w:space="0" w:color="auto"/>
              </w:divBdr>
              <w:divsChild>
                <w:div w:id="128210873">
                  <w:marLeft w:val="0"/>
                  <w:marRight w:val="0"/>
                  <w:marTop w:val="0"/>
                  <w:marBottom w:val="0"/>
                  <w:divBdr>
                    <w:top w:val="none" w:sz="0" w:space="0" w:color="auto"/>
                    <w:left w:val="none" w:sz="0" w:space="0" w:color="auto"/>
                    <w:bottom w:val="none" w:sz="0" w:space="0" w:color="auto"/>
                    <w:right w:val="none" w:sz="0" w:space="0" w:color="auto"/>
                  </w:divBdr>
                  <w:divsChild>
                    <w:div w:id="1829904927">
                      <w:marLeft w:val="0"/>
                      <w:marRight w:val="0"/>
                      <w:marTop w:val="0"/>
                      <w:marBottom w:val="0"/>
                      <w:divBdr>
                        <w:top w:val="none" w:sz="0" w:space="0" w:color="auto"/>
                        <w:left w:val="none" w:sz="0" w:space="0" w:color="auto"/>
                        <w:bottom w:val="none" w:sz="0" w:space="0" w:color="auto"/>
                        <w:right w:val="none" w:sz="0" w:space="0" w:color="auto"/>
                      </w:divBdr>
                      <w:divsChild>
                        <w:div w:id="2009364668">
                          <w:marLeft w:val="0"/>
                          <w:marRight w:val="0"/>
                          <w:marTop w:val="0"/>
                          <w:marBottom w:val="0"/>
                          <w:divBdr>
                            <w:top w:val="none" w:sz="0" w:space="0" w:color="auto"/>
                            <w:left w:val="none" w:sz="0" w:space="0" w:color="auto"/>
                            <w:bottom w:val="none" w:sz="0" w:space="0" w:color="auto"/>
                            <w:right w:val="none" w:sz="0" w:space="0" w:color="auto"/>
                          </w:divBdr>
                          <w:divsChild>
                            <w:div w:id="1233586250">
                              <w:marLeft w:val="0"/>
                              <w:marRight w:val="0"/>
                              <w:marTop w:val="0"/>
                              <w:marBottom w:val="0"/>
                              <w:divBdr>
                                <w:top w:val="none" w:sz="0" w:space="0" w:color="auto"/>
                                <w:left w:val="none" w:sz="0" w:space="0" w:color="auto"/>
                                <w:bottom w:val="none" w:sz="0" w:space="0" w:color="auto"/>
                                <w:right w:val="none" w:sz="0" w:space="0" w:color="auto"/>
                              </w:divBdr>
                              <w:divsChild>
                                <w:div w:id="516431202">
                                  <w:marLeft w:val="0"/>
                                  <w:marRight w:val="0"/>
                                  <w:marTop w:val="0"/>
                                  <w:marBottom w:val="0"/>
                                  <w:divBdr>
                                    <w:top w:val="none" w:sz="0" w:space="0" w:color="auto"/>
                                    <w:left w:val="none" w:sz="0" w:space="0" w:color="auto"/>
                                    <w:bottom w:val="none" w:sz="0" w:space="0" w:color="auto"/>
                                    <w:right w:val="none" w:sz="0" w:space="0" w:color="auto"/>
                                  </w:divBdr>
                                  <w:divsChild>
                                    <w:div w:id="16716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7815">
      <w:bodyDiv w:val="1"/>
      <w:marLeft w:val="0"/>
      <w:marRight w:val="0"/>
      <w:marTop w:val="0"/>
      <w:marBottom w:val="0"/>
      <w:divBdr>
        <w:top w:val="none" w:sz="0" w:space="0" w:color="auto"/>
        <w:left w:val="none" w:sz="0" w:space="0" w:color="auto"/>
        <w:bottom w:val="none" w:sz="0" w:space="0" w:color="auto"/>
        <w:right w:val="none" w:sz="0" w:space="0" w:color="auto"/>
      </w:divBdr>
    </w:div>
    <w:div w:id="1500194989">
      <w:bodyDiv w:val="1"/>
      <w:marLeft w:val="0"/>
      <w:marRight w:val="0"/>
      <w:marTop w:val="0"/>
      <w:marBottom w:val="0"/>
      <w:divBdr>
        <w:top w:val="none" w:sz="0" w:space="0" w:color="auto"/>
        <w:left w:val="none" w:sz="0" w:space="0" w:color="auto"/>
        <w:bottom w:val="none" w:sz="0" w:space="0" w:color="auto"/>
        <w:right w:val="none" w:sz="0" w:space="0" w:color="auto"/>
      </w:divBdr>
    </w:div>
    <w:div w:id="19086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5465</Characters>
  <Application>Microsoft Office Word</Application>
  <DocSecurity>0</DocSecurity>
  <Lines>45</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2018-10-05T11:59:00Z</dcterms:created>
  <dcterms:modified xsi:type="dcterms:W3CDTF">2018-10-05T11:59:00Z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