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B34" w:rsidRDefault="00AF3C53" w:rsidP="00B74B3C">
      <w:pPr>
        <w:jc w:val="center"/>
        <w:rPr>
          <w:rFonts w:ascii="Book Antiqua" w:hAnsi="Book Antiqua" w:cs="Arial"/>
          <w:color w:val="000000"/>
        </w:rPr>
      </w:pPr>
      <w:r w:rsidRPr="00E44430">
        <w:rPr>
          <w:noProof/>
        </w:rPr>
        <w:drawing>
          <wp:inline distT="0" distB="0" distL="0" distR="0">
            <wp:extent cx="1396800" cy="10728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79" b="-7669"/>
                    <a:stretch>
                      <a:fillRect/>
                    </a:stretch>
                  </pic:blipFill>
                  <pic:spPr bwMode="auto">
                    <a:xfrm>
                      <a:off x="0" y="0"/>
                      <a:ext cx="1396800" cy="1072800"/>
                    </a:xfrm>
                    <a:prstGeom prst="rect">
                      <a:avLst/>
                    </a:prstGeom>
                    <a:noFill/>
                    <a:ln>
                      <a:noFill/>
                    </a:ln>
                  </pic:spPr>
                </pic:pic>
              </a:graphicData>
            </a:graphic>
          </wp:inline>
        </w:drawing>
      </w:r>
    </w:p>
    <w:p w:rsidR="00545B34" w:rsidRPr="00106B9E" w:rsidRDefault="00545B34" w:rsidP="005E51FD">
      <w:pPr>
        <w:tabs>
          <w:tab w:val="right" w:pos="9720"/>
        </w:tabs>
        <w:ind w:right="-82"/>
        <w:outlineLvl w:val="0"/>
        <w:rPr>
          <w:rFonts w:ascii="Book Antiqua" w:hAnsi="Book Antiqua" w:cs="Arial"/>
          <w:b/>
          <w:color w:val="000000"/>
        </w:rPr>
      </w:pPr>
      <w:r w:rsidRPr="00106B9E">
        <w:rPr>
          <w:rFonts w:ascii="Book Antiqua" w:hAnsi="Book Antiqua" w:cs="Arial"/>
          <w:b/>
          <w:color w:val="000000"/>
        </w:rPr>
        <w:t xml:space="preserve">Upper Tribunal </w:t>
      </w:r>
    </w:p>
    <w:p w:rsidR="00545B34" w:rsidRPr="00106B9E" w:rsidRDefault="00545B34" w:rsidP="005E51FD">
      <w:pPr>
        <w:tabs>
          <w:tab w:val="right" w:pos="9720"/>
        </w:tabs>
        <w:ind w:right="-82"/>
        <w:rPr>
          <w:rFonts w:ascii="Book Antiqua" w:hAnsi="Book Antiqua" w:cs="Arial"/>
          <w:b/>
          <w:color w:val="000000"/>
        </w:rPr>
      </w:pPr>
      <w:r w:rsidRPr="00106B9E">
        <w:rPr>
          <w:rFonts w:ascii="Book Antiqua" w:hAnsi="Book Antiqua" w:cs="Arial"/>
          <w:b/>
          <w:color w:val="000000"/>
        </w:rPr>
        <w:t>(Immigration and Asy</w:t>
      </w:r>
      <w:r w:rsidR="00B867C1">
        <w:rPr>
          <w:rFonts w:ascii="Book Antiqua" w:hAnsi="Book Antiqua" w:cs="Arial"/>
          <w:b/>
          <w:color w:val="000000"/>
        </w:rPr>
        <w:t xml:space="preserve">lum </w:t>
      </w:r>
      <w:proofErr w:type="gramStart"/>
      <w:r w:rsidR="00B867C1">
        <w:rPr>
          <w:rFonts w:ascii="Book Antiqua" w:hAnsi="Book Antiqua" w:cs="Arial"/>
          <w:b/>
          <w:color w:val="000000"/>
        </w:rPr>
        <w:t xml:space="preserve">Chamber)   </w:t>
      </w:r>
      <w:proofErr w:type="gramEnd"/>
      <w:r w:rsidR="00B867C1">
        <w:rPr>
          <w:rFonts w:ascii="Book Antiqua" w:hAnsi="Book Antiqua" w:cs="Arial"/>
          <w:b/>
          <w:color w:val="000000"/>
        </w:rPr>
        <w:t xml:space="preserve">               </w:t>
      </w:r>
      <w:r w:rsidRPr="00106B9E">
        <w:rPr>
          <w:rFonts w:ascii="Book Antiqua" w:hAnsi="Book Antiqua" w:cs="Arial"/>
          <w:b/>
          <w:color w:val="000000"/>
        </w:rPr>
        <w:t xml:space="preserve"> Appeal Number: </w:t>
      </w:r>
      <w:r w:rsidR="0017268B">
        <w:rPr>
          <w:rFonts w:ascii="Book Antiqua" w:hAnsi="Book Antiqua" w:cs="Arial"/>
          <w:b/>
          <w:color w:val="000000"/>
        </w:rPr>
        <w:t>IA/00341/2016</w:t>
      </w:r>
    </w:p>
    <w:p w:rsidR="00545B34" w:rsidRPr="00106B9E" w:rsidRDefault="00545B34" w:rsidP="005E51FD">
      <w:pPr>
        <w:jc w:val="center"/>
        <w:rPr>
          <w:rFonts w:ascii="Book Antiqua" w:hAnsi="Book Antiqua" w:cs="Arial"/>
          <w:color w:val="000000"/>
        </w:rPr>
      </w:pPr>
    </w:p>
    <w:p w:rsidR="00545B34" w:rsidRPr="00106B9E" w:rsidRDefault="00545B34" w:rsidP="005E51FD">
      <w:pPr>
        <w:jc w:val="center"/>
        <w:outlineLvl w:val="0"/>
        <w:rPr>
          <w:rFonts w:ascii="Book Antiqua" w:hAnsi="Book Antiqua" w:cs="Arial"/>
          <w:b/>
          <w:color w:val="000000"/>
          <w:u w:val="single"/>
        </w:rPr>
      </w:pPr>
      <w:r w:rsidRPr="00106B9E">
        <w:rPr>
          <w:rFonts w:ascii="Book Antiqua" w:hAnsi="Book Antiqua" w:cs="Arial"/>
          <w:b/>
          <w:color w:val="000000"/>
          <w:u w:val="single"/>
        </w:rPr>
        <w:t>THE IMMIGRATION ACTS</w:t>
      </w:r>
    </w:p>
    <w:p w:rsidR="00545B34" w:rsidRPr="00106B9E" w:rsidRDefault="00545B34" w:rsidP="005E51FD">
      <w:pPr>
        <w:jc w:val="center"/>
        <w:rPr>
          <w:rFonts w:ascii="Book Antiqua" w:hAnsi="Book Antiqua" w:cs="Arial"/>
          <w:b/>
          <w:u w:val="single"/>
        </w:rPr>
      </w:pPr>
    </w:p>
    <w:p w:rsidR="00545B34" w:rsidRPr="00106B9E" w:rsidRDefault="00545B34" w:rsidP="005E51FD">
      <w:pPr>
        <w:jc w:val="center"/>
        <w:rPr>
          <w:rFonts w:ascii="Book Antiqua" w:hAnsi="Book Antiqua" w:cs="Arial"/>
          <w:b/>
          <w:u w:val="single"/>
        </w:rPr>
      </w:pPr>
    </w:p>
    <w:tbl>
      <w:tblPr>
        <w:tblW w:w="10071" w:type="dxa"/>
        <w:tblLook w:val="01E0" w:firstRow="1" w:lastRow="1" w:firstColumn="1" w:lastColumn="1" w:noHBand="0" w:noVBand="0"/>
      </w:tblPr>
      <w:tblGrid>
        <w:gridCol w:w="5103"/>
        <w:gridCol w:w="4968"/>
      </w:tblGrid>
      <w:tr w:rsidR="005800EB" w:rsidRPr="00106B9E" w:rsidTr="00B867C1">
        <w:trPr>
          <w:trHeight w:val="470"/>
        </w:trPr>
        <w:tc>
          <w:tcPr>
            <w:tcW w:w="5103" w:type="dxa"/>
          </w:tcPr>
          <w:p w:rsidR="00B867C1" w:rsidRDefault="005800EB" w:rsidP="005800EB">
            <w:pPr>
              <w:jc w:val="both"/>
              <w:rPr>
                <w:rFonts w:ascii="Book Antiqua" w:hAnsi="Book Antiqua" w:cs="Arial"/>
                <w:b/>
              </w:rPr>
            </w:pPr>
            <w:r w:rsidRPr="00B867C1">
              <w:rPr>
                <w:rFonts w:ascii="Book Antiqua" w:hAnsi="Book Antiqua" w:cs="Arial"/>
                <w:b/>
              </w:rPr>
              <w:t xml:space="preserve">Heard at Field House  </w:t>
            </w:r>
          </w:p>
          <w:p w:rsidR="005800EB" w:rsidRPr="00B867C1" w:rsidRDefault="00B867C1" w:rsidP="005800EB">
            <w:pPr>
              <w:jc w:val="both"/>
              <w:rPr>
                <w:rFonts w:ascii="Book Antiqua" w:hAnsi="Book Antiqua" w:cs="Arial"/>
                <w:b/>
              </w:rPr>
            </w:pPr>
            <w:r w:rsidRPr="00B867C1">
              <w:rPr>
                <w:rFonts w:ascii="Book Antiqua" w:hAnsi="Book Antiqua" w:cs="Arial"/>
                <w:b/>
              </w:rPr>
              <w:t>On 3 July 2018</w:t>
            </w:r>
          </w:p>
        </w:tc>
        <w:tc>
          <w:tcPr>
            <w:tcW w:w="4968" w:type="dxa"/>
          </w:tcPr>
          <w:p w:rsidR="00B867C1" w:rsidRDefault="005800EB" w:rsidP="005800EB">
            <w:pPr>
              <w:jc w:val="both"/>
              <w:rPr>
                <w:rFonts w:ascii="Book Antiqua" w:hAnsi="Book Antiqua" w:cs="Arial"/>
                <w:b/>
              </w:rPr>
            </w:pPr>
            <w:r w:rsidRPr="00B867C1">
              <w:rPr>
                <w:rFonts w:ascii="Book Antiqua" w:hAnsi="Book Antiqua" w:cs="Arial"/>
                <w:b/>
                <w:color w:val="000000"/>
              </w:rPr>
              <w:t>Decision and Reason Promulgated</w:t>
            </w:r>
            <w:r w:rsidR="00B867C1" w:rsidRPr="00B867C1">
              <w:rPr>
                <w:rFonts w:ascii="Book Antiqua" w:hAnsi="Book Antiqua" w:cs="Arial"/>
                <w:b/>
              </w:rPr>
              <w:t xml:space="preserve"> </w:t>
            </w:r>
          </w:p>
          <w:p w:rsidR="005800EB" w:rsidRPr="00B867C1" w:rsidRDefault="00B867C1" w:rsidP="005800EB">
            <w:pPr>
              <w:jc w:val="both"/>
              <w:rPr>
                <w:rFonts w:ascii="Book Antiqua" w:hAnsi="Book Antiqua" w:cs="Arial"/>
                <w:b/>
                <w:color w:val="000000"/>
              </w:rPr>
            </w:pPr>
            <w:r w:rsidRPr="00B867C1">
              <w:rPr>
                <w:rFonts w:ascii="Book Antiqua" w:hAnsi="Book Antiqua" w:cs="Arial"/>
                <w:b/>
              </w:rPr>
              <w:t>On 12 July 2018</w:t>
            </w:r>
          </w:p>
        </w:tc>
      </w:tr>
      <w:tr w:rsidR="005800EB" w:rsidRPr="00106B9E" w:rsidTr="00B867C1">
        <w:trPr>
          <w:trHeight w:val="244"/>
        </w:trPr>
        <w:tc>
          <w:tcPr>
            <w:tcW w:w="5103" w:type="dxa"/>
          </w:tcPr>
          <w:p w:rsidR="005800EB" w:rsidRPr="00B867C1" w:rsidRDefault="005800EB" w:rsidP="005800EB">
            <w:pPr>
              <w:jc w:val="both"/>
              <w:rPr>
                <w:rFonts w:ascii="Book Antiqua" w:hAnsi="Book Antiqua" w:cs="Arial"/>
                <w:b/>
              </w:rPr>
            </w:pPr>
          </w:p>
        </w:tc>
        <w:tc>
          <w:tcPr>
            <w:tcW w:w="4968" w:type="dxa"/>
          </w:tcPr>
          <w:p w:rsidR="005800EB" w:rsidRPr="00B867C1" w:rsidRDefault="005800EB" w:rsidP="005800EB">
            <w:pPr>
              <w:jc w:val="both"/>
              <w:rPr>
                <w:rFonts w:ascii="Book Antiqua" w:hAnsi="Book Antiqua" w:cs="Arial"/>
                <w:b/>
              </w:rPr>
            </w:pPr>
          </w:p>
        </w:tc>
      </w:tr>
      <w:tr w:rsidR="005800EB" w:rsidRPr="00106B9E" w:rsidTr="00B867C1">
        <w:trPr>
          <w:trHeight w:val="244"/>
        </w:trPr>
        <w:tc>
          <w:tcPr>
            <w:tcW w:w="5103" w:type="dxa"/>
          </w:tcPr>
          <w:p w:rsidR="005800EB" w:rsidRPr="00B867C1" w:rsidRDefault="005800EB" w:rsidP="005800EB">
            <w:pPr>
              <w:jc w:val="both"/>
              <w:rPr>
                <w:rFonts w:ascii="Book Antiqua" w:hAnsi="Book Antiqua" w:cs="Arial"/>
                <w:b/>
              </w:rPr>
            </w:pPr>
          </w:p>
        </w:tc>
        <w:tc>
          <w:tcPr>
            <w:tcW w:w="4968" w:type="dxa"/>
          </w:tcPr>
          <w:p w:rsidR="005800EB" w:rsidRPr="00B867C1" w:rsidRDefault="005800EB" w:rsidP="005800EB">
            <w:pPr>
              <w:jc w:val="both"/>
              <w:rPr>
                <w:rFonts w:ascii="Book Antiqua" w:hAnsi="Book Antiqua" w:cs="Arial"/>
                <w:b/>
              </w:rPr>
            </w:pPr>
          </w:p>
        </w:tc>
      </w:tr>
    </w:tbl>
    <w:p w:rsidR="00545B34" w:rsidRPr="00CB1B50" w:rsidRDefault="00545B34" w:rsidP="005E51FD">
      <w:pPr>
        <w:jc w:val="center"/>
        <w:outlineLvl w:val="0"/>
        <w:rPr>
          <w:rFonts w:ascii="Book Antiqua" w:hAnsi="Book Antiqua" w:cs="Arial"/>
          <w:b/>
        </w:rPr>
      </w:pPr>
      <w:r w:rsidRPr="00CB1B50">
        <w:rPr>
          <w:rFonts w:ascii="Book Antiqua" w:hAnsi="Book Antiqua" w:cs="Arial"/>
          <w:b/>
        </w:rPr>
        <w:t>Before</w:t>
      </w:r>
    </w:p>
    <w:p w:rsidR="00545B34" w:rsidRPr="00CB1B50" w:rsidRDefault="00545B34" w:rsidP="005E51FD">
      <w:pPr>
        <w:jc w:val="center"/>
        <w:rPr>
          <w:rFonts w:ascii="Book Antiqua" w:hAnsi="Book Antiqua" w:cs="Arial"/>
          <w:b/>
        </w:rPr>
      </w:pPr>
    </w:p>
    <w:p w:rsidR="00545B34" w:rsidRPr="00CB1B50" w:rsidRDefault="00545B34" w:rsidP="002B37DF">
      <w:pPr>
        <w:outlineLvl w:val="0"/>
        <w:rPr>
          <w:rFonts w:ascii="Book Antiqua" w:hAnsi="Book Antiqua" w:cs="Arial"/>
          <w:b/>
          <w:color w:val="000000"/>
        </w:rPr>
      </w:pPr>
    </w:p>
    <w:p w:rsidR="00545B34" w:rsidRPr="00CB1B50" w:rsidRDefault="00545B34" w:rsidP="005E51FD">
      <w:pPr>
        <w:jc w:val="center"/>
        <w:outlineLvl w:val="0"/>
        <w:rPr>
          <w:rFonts w:ascii="Book Antiqua" w:hAnsi="Book Antiqua" w:cs="Arial"/>
          <w:b/>
          <w:color w:val="000000"/>
        </w:rPr>
      </w:pPr>
      <w:r w:rsidRPr="00CB1B50">
        <w:rPr>
          <w:rFonts w:ascii="Book Antiqua" w:hAnsi="Book Antiqua" w:cs="Arial"/>
          <w:b/>
          <w:color w:val="000000"/>
        </w:rPr>
        <w:t xml:space="preserve">DEPUTY UPPER TRIBUNAL JUDGE </w:t>
      </w:r>
      <w:r w:rsidR="002328A4" w:rsidRPr="00CB1B50">
        <w:rPr>
          <w:rFonts w:ascii="Book Antiqua" w:hAnsi="Book Antiqua" w:cs="Arial"/>
          <w:b/>
          <w:color w:val="000000"/>
        </w:rPr>
        <w:t>DOYLE</w:t>
      </w:r>
    </w:p>
    <w:p w:rsidR="00545B34" w:rsidRPr="00CB1B50" w:rsidRDefault="00545B34" w:rsidP="005E51FD">
      <w:pPr>
        <w:jc w:val="center"/>
        <w:rPr>
          <w:rFonts w:ascii="Book Antiqua" w:hAnsi="Book Antiqua" w:cs="Arial"/>
          <w:b/>
          <w:color w:val="000000"/>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Between</w:t>
      </w:r>
    </w:p>
    <w:p w:rsidR="00545B34" w:rsidRPr="00CB1B50" w:rsidRDefault="00545B34" w:rsidP="005E51FD">
      <w:pPr>
        <w:jc w:val="center"/>
        <w:rPr>
          <w:rFonts w:ascii="Book Antiqua" w:hAnsi="Book Antiqua" w:cs="Arial"/>
          <w:b/>
        </w:rPr>
      </w:pPr>
    </w:p>
    <w:p w:rsidR="00545B34" w:rsidRPr="00FC5190" w:rsidRDefault="0017268B" w:rsidP="005E51FD">
      <w:pPr>
        <w:jc w:val="center"/>
        <w:rPr>
          <w:rFonts w:ascii="Book Antiqua" w:hAnsi="Book Antiqua" w:cs="Arial"/>
          <w:b/>
          <w:color w:val="000000"/>
        </w:rPr>
      </w:pPr>
      <w:r w:rsidRPr="00FC5190">
        <w:rPr>
          <w:rFonts w:ascii="Book Antiqua" w:hAnsi="Book Antiqua" w:cs="Arial"/>
          <w:b/>
        </w:rPr>
        <w:t>MOHAMMED ABDUL KALAM</w:t>
      </w:r>
      <w:r w:rsidR="00545B34" w:rsidRPr="00FC5190">
        <w:rPr>
          <w:rFonts w:ascii="Book Antiqua" w:hAnsi="Book Antiqua" w:cs="Arial"/>
          <w:b/>
          <w:color w:val="000000"/>
        </w:rPr>
        <w:t xml:space="preserve"> </w:t>
      </w:r>
    </w:p>
    <w:p w:rsidR="00545B34" w:rsidRPr="00B867C1" w:rsidRDefault="00545B34" w:rsidP="005E51FD">
      <w:pPr>
        <w:jc w:val="center"/>
        <w:rPr>
          <w:rFonts w:ascii="Book Antiqua" w:hAnsi="Book Antiqua" w:cs="Arial"/>
          <w:color w:val="000000"/>
        </w:rPr>
      </w:pPr>
      <w:r w:rsidRPr="00B867C1">
        <w:rPr>
          <w:rFonts w:ascii="Book Antiqua" w:hAnsi="Book Antiqua" w:cs="Arial"/>
          <w:color w:val="000000"/>
        </w:rPr>
        <w:t xml:space="preserve">(ANONYMITY </w:t>
      </w:r>
      <w:r w:rsidR="0017268B" w:rsidRPr="00B867C1">
        <w:rPr>
          <w:rFonts w:ascii="Book Antiqua" w:hAnsi="Book Antiqua" w:cs="Arial"/>
          <w:color w:val="000000"/>
        </w:rPr>
        <w:t>DIRECTION NOT MADE</w:t>
      </w:r>
      <w:r w:rsidRPr="00B867C1">
        <w:rPr>
          <w:rFonts w:ascii="Book Antiqua" w:hAnsi="Book Antiqua" w:cs="Arial"/>
          <w:color w:val="000000"/>
        </w:rPr>
        <w:t>)</w:t>
      </w:r>
    </w:p>
    <w:p w:rsidR="00545B34" w:rsidRPr="00CB1B50" w:rsidRDefault="00545B34" w:rsidP="005E51FD">
      <w:pPr>
        <w:jc w:val="right"/>
        <w:outlineLvl w:val="0"/>
        <w:rPr>
          <w:rFonts w:ascii="Book Antiqua" w:hAnsi="Book Antiqua" w:cs="Arial"/>
          <w:u w:val="single"/>
        </w:rPr>
      </w:pPr>
      <w:r w:rsidRPr="00CB1B50">
        <w:rPr>
          <w:rFonts w:ascii="Book Antiqua" w:hAnsi="Book Antiqua" w:cs="Arial"/>
          <w:u w:val="single"/>
        </w:rPr>
        <w:t>Appellant</w:t>
      </w:r>
    </w:p>
    <w:p w:rsidR="00545B34" w:rsidRPr="00CB1B50" w:rsidRDefault="00545B34" w:rsidP="005E51FD">
      <w:pPr>
        <w:jc w:val="center"/>
        <w:rPr>
          <w:rFonts w:ascii="Book Antiqua" w:hAnsi="Book Antiqua" w:cs="Arial"/>
          <w:b/>
        </w:rPr>
      </w:pPr>
      <w:r w:rsidRPr="00CB1B50">
        <w:rPr>
          <w:rFonts w:ascii="Book Antiqua" w:hAnsi="Book Antiqua" w:cs="Arial"/>
          <w:b/>
        </w:rPr>
        <w:t>and</w:t>
      </w:r>
    </w:p>
    <w:p w:rsidR="00545B34" w:rsidRPr="00CB1B50" w:rsidRDefault="00545B34" w:rsidP="005E51FD">
      <w:pPr>
        <w:jc w:val="center"/>
        <w:rPr>
          <w:rFonts w:ascii="Book Antiqua" w:hAnsi="Book Antiqua" w:cs="Arial"/>
          <w:b/>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SECRETARY OF STATE FOR THE HOME DEPARTMENT</w:t>
      </w:r>
    </w:p>
    <w:p w:rsidR="00545B34" w:rsidRPr="00CB1B50" w:rsidRDefault="00545B34" w:rsidP="005E51FD">
      <w:pPr>
        <w:jc w:val="right"/>
        <w:outlineLvl w:val="0"/>
        <w:rPr>
          <w:rFonts w:ascii="Book Antiqua" w:hAnsi="Book Antiqua" w:cs="Arial"/>
          <w:u w:val="single"/>
        </w:rPr>
      </w:pPr>
      <w:r w:rsidRPr="00CB1B50">
        <w:rPr>
          <w:rFonts w:ascii="Book Antiqua" w:hAnsi="Book Antiqua" w:cs="Arial"/>
          <w:u w:val="single"/>
        </w:rPr>
        <w:t>Respondent</w:t>
      </w:r>
    </w:p>
    <w:p w:rsidR="00B867C1" w:rsidRDefault="00B867C1" w:rsidP="005E51FD">
      <w:pPr>
        <w:outlineLvl w:val="0"/>
        <w:rPr>
          <w:rFonts w:ascii="Book Antiqua" w:hAnsi="Book Antiqua" w:cs="Arial"/>
          <w:b/>
          <w:u w:val="single"/>
        </w:rPr>
      </w:pPr>
    </w:p>
    <w:p w:rsidR="00545B34" w:rsidRPr="00CB1B50" w:rsidRDefault="00545B34" w:rsidP="005E51FD">
      <w:pPr>
        <w:outlineLvl w:val="0"/>
        <w:rPr>
          <w:rFonts w:ascii="Book Antiqua" w:hAnsi="Book Antiqua" w:cs="Arial"/>
        </w:rPr>
      </w:pPr>
      <w:r w:rsidRPr="00CB1B50">
        <w:rPr>
          <w:rFonts w:ascii="Book Antiqua" w:hAnsi="Book Antiqua" w:cs="Arial"/>
          <w:b/>
          <w:u w:val="single"/>
        </w:rPr>
        <w:t>Representation</w:t>
      </w:r>
      <w:r w:rsidRPr="00CB1B50">
        <w:rPr>
          <w:rFonts w:ascii="Book Antiqua" w:hAnsi="Book Antiqua" w:cs="Arial"/>
          <w:b/>
        </w:rPr>
        <w:t>:</w:t>
      </w:r>
    </w:p>
    <w:p w:rsidR="00545B34" w:rsidRPr="00884D39" w:rsidRDefault="00545B34" w:rsidP="005E51FD">
      <w:pPr>
        <w:rPr>
          <w:rFonts w:ascii="Book Antiqua" w:hAnsi="Book Antiqua" w:cs="Arial"/>
        </w:rPr>
      </w:pPr>
    </w:p>
    <w:p w:rsidR="00545B34" w:rsidRPr="00884D39" w:rsidRDefault="00545B34" w:rsidP="005E51FD">
      <w:pPr>
        <w:tabs>
          <w:tab w:val="left" w:pos="2520"/>
        </w:tabs>
        <w:outlineLvl w:val="0"/>
        <w:rPr>
          <w:rFonts w:ascii="Book Antiqua" w:hAnsi="Book Antiqua" w:cs="Arial"/>
        </w:rPr>
      </w:pPr>
      <w:r w:rsidRPr="00884D39">
        <w:rPr>
          <w:rFonts w:ascii="Book Antiqua" w:hAnsi="Book Antiqua" w:cs="Arial"/>
        </w:rPr>
        <w:t xml:space="preserve">For the Appellant: </w:t>
      </w:r>
      <w:r w:rsidR="00B867C1">
        <w:rPr>
          <w:rFonts w:ascii="Book Antiqua" w:hAnsi="Book Antiqua" w:cs="Arial"/>
        </w:rPr>
        <w:t xml:space="preserve">       </w:t>
      </w:r>
      <w:r w:rsidR="0017268B" w:rsidRPr="00884D39">
        <w:rPr>
          <w:rFonts w:ascii="Book Antiqua" w:hAnsi="Book Antiqua" w:cs="Arial"/>
        </w:rPr>
        <w:t xml:space="preserve">Mr M Symes (counsel) </w:t>
      </w:r>
      <w:r w:rsidR="002B37DF" w:rsidRPr="00884D39">
        <w:rPr>
          <w:rFonts w:ascii="Book Antiqua" w:hAnsi="Book Antiqua" w:cs="Arial"/>
        </w:rPr>
        <w:t>instructed by</w:t>
      </w:r>
      <w:r w:rsidR="0017268B" w:rsidRPr="00884D39">
        <w:rPr>
          <w:rFonts w:ascii="Book Antiqua" w:hAnsi="Book Antiqua" w:cs="Arial"/>
        </w:rPr>
        <w:t xml:space="preserve"> </w:t>
      </w:r>
      <w:proofErr w:type="spellStart"/>
      <w:r w:rsidR="0017268B" w:rsidRPr="00884D39">
        <w:rPr>
          <w:rFonts w:ascii="Book Antiqua" w:hAnsi="Book Antiqua" w:cs="Arial"/>
        </w:rPr>
        <w:t>Londinium</w:t>
      </w:r>
      <w:proofErr w:type="spellEnd"/>
      <w:r w:rsidR="0017268B" w:rsidRPr="00884D39">
        <w:rPr>
          <w:rFonts w:ascii="Book Antiqua" w:hAnsi="Book Antiqua" w:cs="Arial"/>
        </w:rPr>
        <w:t>, solicitors</w:t>
      </w:r>
      <w:r w:rsidRPr="00884D39">
        <w:rPr>
          <w:rFonts w:ascii="Book Antiqua" w:hAnsi="Book Antiqua" w:cs="Arial"/>
        </w:rPr>
        <w:tab/>
      </w:r>
    </w:p>
    <w:p w:rsidR="00545B34" w:rsidRPr="00884D39" w:rsidRDefault="00545B34" w:rsidP="005E51FD">
      <w:pPr>
        <w:tabs>
          <w:tab w:val="left" w:pos="2520"/>
        </w:tabs>
        <w:rPr>
          <w:rFonts w:ascii="Book Antiqua" w:hAnsi="Book Antiqua" w:cs="Arial"/>
        </w:rPr>
      </w:pPr>
      <w:r w:rsidRPr="00884D39">
        <w:rPr>
          <w:rFonts w:ascii="Book Antiqua" w:hAnsi="Book Antiqua" w:cs="Arial"/>
        </w:rPr>
        <w:t xml:space="preserve">For the Respondent: </w:t>
      </w:r>
      <w:r w:rsidR="00B867C1">
        <w:rPr>
          <w:rFonts w:ascii="Book Antiqua" w:hAnsi="Book Antiqua" w:cs="Arial"/>
        </w:rPr>
        <w:t xml:space="preserve">    </w:t>
      </w:r>
      <w:r w:rsidR="0017268B" w:rsidRPr="00884D39">
        <w:rPr>
          <w:rFonts w:ascii="Book Antiqua" w:hAnsi="Book Antiqua" w:cs="Arial"/>
        </w:rPr>
        <w:t xml:space="preserve">Mr D Mills, </w:t>
      </w:r>
      <w:r w:rsidR="002B37DF" w:rsidRPr="00884D39">
        <w:rPr>
          <w:rFonts w:ascii="Book Antiqua" w:hAnsi="Book Antiqua" w:cs="Arial"/>
        </w:rPr>
        <w:t>Senior Home Office Presenting Officer</w:t>
      </w:r>
    </w:p>
    <w:p w:rsidR="00B867C1" w:rsidRDefault="00B867C1" w:rsidP="00B867C1">
      <w:pPr>
        <w:jc w:val="center"/>
        <w:rPr>
          <w:rFonts w:ascii="Book Antiqua" w:hAnsi="Book Antiqua" w:cs="Arial"/>
          <w:b/>
          <w:u w:val="single"/>
        </w:rPr>
      </w:pPr>
    </w:p>
    <w:p w:rsidR="00545B34" w:rsidRPr="00884D39" w:rsidRDefault="00545B34" w:rsidP="00B867C1">
      <w:pPr>
        <w:spacing w:before="240"/>
        <w:jc w:val="center"/>
        <w:rPr>
          <w:rFonts w:ascii="Book Antiqua" w:hAnsi="Book Antiqua" w:cs="Arial"/>
          <w:b/>
          <w:u w:val="single"/>
        </w:rPr>
      </w:pPr>
      <w:r w:rsidRPr="00884D39">
        <w:rPr>
          <w:rFonts w:ascii="Book Antiqua" w:hAnsi="Book Antiqua" w:cs="Arial"/>
          <w:b/>
          <w:u w:val="single"/>
        </w:rPr>
        <w:t>DE</w:t>
      </w:r>
      <w:r w:rsidR="00755830" w:rsidRPr="00884D39">
        <w:rPr>
          <w:rFonts w:ascii="Book Antiqua" w:hAnsi="Book Antiqua" w:cs="Arial"/>
          <w:b/>
          <w:u w:val="single"/>
        </w:rPr>
        <w:t>CISION</w:t>
      </w:r>
      <w:r w:rsidRPr="00884D39">
        <w:rPr>
          <w:rFonts w:ascii="Book Antiqua" w:hAnsi="Book Antiqua" w:cs="Arial"/>
          <w:b/>
          <w:u w:val="single"/>
        </w:rPr>
        <w:t xml:space="preserve"> AND REASONS</w:t>
      </w:r>
    </w:p>
    <w:p w:rsidR="00545B34" w:rsidRPr="00884D39" w:rsidRDefault="00545B34" w:rsidP="00B867C1">
      <w:pPr>
        <w:jc w:val="both"/>
        <w:rPr>
          <w:rFonts w:ascii="Book Antiqua" w:hAnsi="Book Antiqua" w:cs="Arial"/>
          <w:u w:val="single"/>
        </w:rPr>
      </w:pPr>
    </w:p>
    <w:p w:rsidR="00545B34" w:rsidRPr="00884D39" w:rsidRDefault="0017268B" w:rsidP="002B37DF">
      <w:pPr>
        <w:jc w:val="both"/>
        <w:rPr>
          <w:rFonts w:ascii="Book Antiqua" w:hAnsi="Book Antiqua" w:cs="Arial"/>
        </w:rPr>
      </w:pPr>
      <w:r w:rsidRPr="00884D39">
        <w:rPr>
          <w:rFonts w:ascii="Book Antiqua" w:hAnsi="Book Antiqua" w:cs="Arial"/>
        </w:rPr>
        <w:t xml:space="preserve">1. </w:t>
      </w:r>
      <w:r w:rsidR="00545B34" w:rsidRPr="00884D39">
        <w:rPr>
          <w:rFonts w:ascii="Book Antiqua" w:hAnsi="Book Antiqua" w:cs="Arial"/>
        </w:rPr>
        <w:t xml:space="preserve">I have considered whether any parties require the protection of an anonymity direction. No anonymity direction was made previously in respect of this Appellant. Having considered all the circumstances and evidence I do not </w:t>
      </w:r>
      <w:r w:rsidR="00703BAB" w:rsidRPr="00884D39">
        <w:rPr>
          <w:rFonts w:ascii="Book Antiqua" w:hAnsi="Book Antiqua" w:cs="Arial"/>
        </w:rPr>
        <w:t xml:space="preserve">consider </w:t>
      </w:r>
      <w:r w:rsidR="00D16669" w:rsidRPr="00884D39">
        <w:rPr>
          <w:rFonts w:ascii="Book Antiqua" w:hAnsi="Book Antiqua" w:cs="Arial"/>
        </w:rPr>
        <w:t>it</w:t>
      </w:r>
      <w:r w:rsidR="00545B34" w:rsidRPr="00884D39">
        <w:rPr>
          <w:rFonts w:ascii="Book Antiqua" w:hAnsi="Book Antiqua" w:cs="Arial"/>
        </w:rPr>
        <w:t xml:space="preserve"> necessary to make an anonymity direction.</w:t>
      </w:r>
    </w:p>
    <w:p w:rsidR="005E51FD" w:rsidRPr="00884D39" w:rsidRDefault="005E51FD" w:rsidP="0017268B">
      <w:pPr>
        <w:ind w:left="360"/>
        <w:jc w:val="both"/>
        <w:rPr>
          <w:rFonts w:ascii="Book Antiqua" w:hAnsi="Book Antiqua" w:cs="Arial"/>
        </w:rPr>
      </w:pPr>
    </w:p>
    <w:p w:rsidR="00545B34" w:rsidRPr="00884D39" w:rsidRDefault="0017268B" w:rsidP="0017268B">
      <w:pPr>
        <w:jc w:val="both"/>
        <w:rPr>
          <w:rFonts w:ascii="Book Antiqua" w:hAnsi="Book Antiqua" w:cs="Arial"/>
        </w:rPr>
      </w:pPr>
      <w:r w:rsidRPr="00884D39">
        <w:rPr>
          <w:rFonts w:ascii="Book Antiqua" w:hAnsi="Book Antiqua" w:cs="Arial"/>
        </w:rPr>
        <w:t xml:space="preserve">2. </w:t>
      </w:r>
      <w:r w:rsidR="00545B34" w:rsidRPr="00884D39">
        <w:rPr>
          <w:rFonts w:ascii="Book Antiqua" w:hAnsi="Book Antiqua" w:cs="Arial"/>
        </w:rPr>
        <w:t>This is an appeal by the Appellant against the decision of First-tier Tribunal Judge</w:t>
      </w:r>
      <w:r w:rsidR="00207C3C" w:rsidRPr="00884D39">
        <w:rPr>
          <w:rFonts w:ascii="Book Antiqua" w:hAnsi="Book Antiqua" w:cs="Arial"/>
        </w:rPr>
        <w:t xml:space="preserve"> </w:t>
      </w:r>
      <w:r w:rsidRPr="00884D39">
        <w:rPr>
          <w:rFonts w:ascii="Book Antiqua" w:hAnsi="Book Antiqua" w:cs="Arial"/>
        </w:rPr>
        <w:t>Walters</w:t>
      </w:r>
      <w:r w:rsidR="00545B34" w:rsidRPr="00884D39">
        <w:rPr>
          <w:rFonts w:ascii="Book Antiqua" w:hAnsi="Book Antiqua" w:cs="Arial"/>
        </w:rPr>
        <w:t xml:space="preserve"> promulgated on </w:t>
      </w:r>
      <w:r w:rsidRPr="00884D39">
        <w:rPr>
          <w:rFonts w:ascii="Book Antiqua" w:hAnsi="Book Antiqua" w:cs="Arial"/>
        </w:rPr>
        <w:t>3 April 2017</w:t>
      </w:r>
      <w:r w:rsidR="00545B34" w:rsidRPr="00884D39">
        <w:rPr>
          <w:rFonts w:ascii="Book Antiqua" w:hAnsi="Book Antiqua" w:cs="Arial"/>
        </w:rPr>
        <w:t>, which dismissed the Appellant’s appeal</w:t>
      </w:r>
      <w:r w:rsidRPr="00884D39">
        <w:rPr>
          <w:rFonts w:ascii="Book Antiqua" w:hAnsi="Book Antiqua" w:cs="Arial"/>
        </w:rPr>
        <w:t>.</w:t>
      </w:r>
      <w:r w:rsidR="00545B34" w:rsidRPr="00884D39">
        <w:rPr>
          <w:rFonts w:ascii="Book Antiqua" w:hAnsi="Book Antiqua" w:cs="Arial"/>
        </w:rPr>
        <w:t xml:space="preserve"> </w:t>
      </w:r>
    </w:p>
    <w:p w:rsidR="00545B34" w:rsidRPr="00884D39" w:rsidRDefault="00545B34" w:rsidP="005E51FD">
      <w:pPr>
        <w:jc w:val="both"/>
        <w:rPr>
          <w:rFonts w:ascii="Book Antiqua" w:hAnsi="Book Antiqua" w:cs="Arial"/>
        </w:rPr>
      </w:pPr>
    </w:p>
    <w:p w:rsidR="00B867C1" w:rsidRDefault="00B867C1" w:rsidP="005E51FD">
      <w:pPr>
        <w:jc w:val="both"/>
        <w:rPr>
          <w:rFonts w:ascii="Book Antiqua" w:hAnsi="Book Antiqua" w:cs="Arial"/>
          <w:u w:val="single"/>
        </w:rPr>
      </w:pPr>
    </w:p>
    <w:p w:rsidR="00B867C1" w:rsidRDefault="00B867C1" w:rsidP="005E51FD">
      <w:pPr>
        <w:jc w:val="both"/>
        <w:rPr>
          <w:rFonts w:ascii="Book Antiqua" w:hAnsi="Book Antiqua" w:cs="Arial"/>
          <w:u w:val="single"/>
        </w:rPr>
      </w:pPr>
    </w:p>
    <w:p w:rsidR="00B867C1" w:rsidRDefault="00B867C1" w:rsidP="005E51FD">
      <w:pPr>
        <w:jc w:val="both"/>
        <w:rPr>
          <w:rFonts w:ascii="Book Antiqua" w:hAnsi="Book Antiqua" w:cs="Arial"/>
          <w:u w:val="single"/>
        </w:rPr>
      </w:pPr>
    </w:p>
    <w:p w:rsidR="00545B34" w:rsidRPr="00884D39" w:rsidRDefault="00545B34" w:rsidP="005E51FD">
      <w:pPr>
        <w:jc w:val="both"/>
        <w:rPr>
          <w:rFonts w:ascii="Book Antiqua" w:hAnsi="Book Antiqua" w:cs="Arial"/>
          <w:u w:val="single"/>
        </w:rPr>
      </w:pPr>
      <w:r w:rsidRPr="00884D39">
        <w:rPr>
          <w:rFonts w:ascii="Book Antiqua" w:hAnsi="Book Antiqua" w:cs="Arial"/>
          <w:u w:val="single"/>
        </w:rPr>
        <w:lastRenderedPageBreak/>
        <w:t>Background</w:t>
      </w:r>
    </w:p>
    <w:p w:rsidR="00545B34" w:rsidRPr="00884D39" w:rsidRDefault="00545B34" w:rsidP="005E51FD">
      <w:pPr>
        <w:ind w:left="360"/>
        <w:jc w:val="both"/>
        <w:rPr>
          <w:rFonts w:ascii="Book Antiqua" w:hAnsi="Book Antiqua" w:cs="Arial"/>
        </w:rPr>
      </w:pPr>
    </w:p>
    <w:p w:rsidR="00545B34" w:rsidRPr="00884D39" w:rsidRDefault="0017268B" w:rsidP="0017268B">
      <w:pPr>
        <w:jc w:val="both"/>
        <w:rPr>
          <w:rFonts w:ascii="Book Antiqua" w:hAnsi="Book Antiqua" w:cs="Arial"/>
        </w:rPr>
      </w:pPr>
      <w:r w:rsidRPr="00884D39">
        <w:rPr>
          <w:rFonts w:ascii="Book Antiqua" w:hAnsi="Book Antiqua" w:cs="Arial"/>
        </w:rPr>
        <w:t xml:space="preserve">3. </w:t>
      </w:r>
      <w:r w:rsidR="00087FA9" w:rsidRPr="00884D39">
        <w:rPr>
          <w:rFonts w:ascii="Book Antiqua" w:hAnsi="Book Antiqua" w:cs="Arial"/>
        </w:rPr>
        <w:t>The Appellant</w:t>
      </w:r>
      <w:r w:rsidR="00545B34" w:rsidRPr="00884D39">
        <w:rPr>
          <w:rFonts w:ascii="Book Antiqua" w:hAnsi="Book Antiqua" w:cs="Arial"/>
        </w:rPr>
        <w:t xml:space="preserve"> was born on </w:t>
      </w:r>
      <w:r w:rsidRPr="00884D39">
        <w:rPr>
          <w:rFonts w:ascii="Book Antiqua" w:hAnsi="Book Antiqua" w:cs="Arial"/>
        </w:rPr>
        <w:t>15 May 1976</w:t>
      </w:r>
      <w:r w:rsidR="00545B34" w:rsidRPr="00884D39">
        <w:rPr>
          <w:rFonts w:ascii="Book Antiqua" w:hAnsi="Book Antiqua" w:cs="Arial"/>
        </w:rPr>
        <w:t xml:space="preserve"> </w:t>
      </w:r>
      <w:r w:rsidR="00087FA9" w:rsidRPr="00884D39">
        <w:rPr>
          <w:rFonts w:ascii="Book Antiqua" w:hAnsi="Book Antiqua" w:cs="Arial"/>
        </w:rPr>
        <w:t xml:space="preserve">and is a </w:t>
      </w:r>
      <w:r w:rsidR="00622E11" w:rsidRPr="00884D39">
        <w:rPr>
          <w:rFonts w:ascii="Book Antiqua" w:hAnsi="Book Antiqua" w:cs="Arial"/>
        </w:rPr>
        <w:t>national</w:t>
      </w:r>
      <w:r w:rsidR="00087FA9" w:rsidRPr="00884D39">
        <w:rPr>
          <w:rFonts w:ascii="Book Antiqua" w:hAnsi="Book Antiqua" w:cs="Arial"/>
        </w:rPr>
        <w:t xml:space="preserve"> of</w:t>
      </w:r>
      <w:r w:rsidR="00545B34" w:rsidRPr="00884D39">
        <w:rPr>
          <w:rFonts w:ascii="Book Antiqua" w:hAnsi="Book Antiqua" w:cs="Arial"/>
        </w:rPr>
        <w:t xml:space="preserve"> </w:t>
      </w:r>
      <w:r w:rsidRPr="00884D39">
        <w:rPr>
          <w:rFonts w:ascii="Book Antiqua" w:hAnsi="Book Antiqua" w:cs="Arial"/>
        </w:rPr>
        <w:t>Bangladesh</w:t>
      </w:r>
      <w:r w:rsidR="00545B34" w:rsidRPr="00884D39">
        <w:rPr>
          <w:rFonts w:ascii="Book Antiqua" w:hAnsi="Book Antiqua" w:cs="Arial"/>
        </w:rPr>
        <w:t>.</w:t>
      </w:r>
      <w:r w:rsidRPr="00884D39">
        <w:rPr>
          <w:rFonts w:ascii="Book Antiqua" w:hAnsi="Book Antiqua" w:cs="Arial"/>
        </w:rPr>
        <w:t xml:space="preserve"> </w:t>
      </w:r>
      <w:r w:rsidR="00545B34" w:rsidRPr="00884D39">
        <w:rPr>
          <w:rFonts w:ascii="Book Antiqua" w:hAnsi="Book Antiqua" w:cs="Arial"/>
        </w:rPr>
        <w:t>On</w:t>
      </w:r>
      <w:r w:rsidRPr="00884D39">
        <w:rPr>
          <w:rFonts w:ascii="Book Antiqua" w:hAnsi="Book Antiqua" w:cs="Arial"/>
        </w:rPr>
        <w:t xml:space="preserve"> 7 January 2016</w:t>
      </w:r>
      <w:r w:rsidR="00545B34" w:rsidRPr="00884D39">
        <w:rPr>
          <w:rFonts w:ascii="Book Antiqua" w:hAnsi="Book Antiqua" w:cs="Arial"/>
        </w:rPr>
        <w:t xml:space="preserve"> the Secretary of State refused the Appellant’s application</w:t>
      </w:r>
      <w:r w:rsidRPr="00884D39">
        <w:rPr>
          <w:rFonts w:ascii="Book Antiqua" w:hAnsi="Book Antiqua" w:cs="Arial"/>
        </w:rPr>
        <w:t xml:space="preserve"> for leave to remain in the UK. </w:t>
      </w:r>
    </w:p>
    <w:p w:rsidR="00545B34" w:rsidRPr="00884D39" w:rsidRDefault="00545B34" w:rsidP="005E51FD">
      <w:pPr>
        <w:pStyle w:val="ListParagraph"/>
        <w:rPr>
          <w:rFonts w:ascii="Book Antiqua" w:hAnsi="Book Antiqua" w:cs="Arial"/>
        </w:rPr>
      </w:pPr>
    </w:p>
    <w:p w:rsidR="00545B34" w:rsidRPr="00884D39" w:rsidRDefault="00545B34" w:rsidP="005E51FD">
      <w:pPr>
        <w:jc w:val="both"/>
        <w:rPr>
          <w:rFonts w:ascii="Book Antiqua" w:hAnsi="Book Antiqua" w:cs="Arial"/>
          <w:u w:val="single"/>
        </w:rPr>
      </w:pPr>
      <w:r w:rsidRPr="00884D39">
        <w:rPr>
          <w:rFonts w:ascii="Book Antiqua" w:hAnsi="Book Antiqua" w:cs="Arial"/>
          <w:u w:val="single"/>
        </w:rPr>
        <w:t>The Judge’s Decision</w:t>
      </w:r>
    </w:p>
    <w:p w:rsidR="0017268B" w:rsidRPr="00884D39" w:rsidRDefault="0017268B" w:rsidP="0017268B">
      <w:pPr>
        <w:jc w:val="both"/>
        <w:rPr>
          <w:rFonts w:ascii="Book Antiqua" w:hAnsi="Book Antiqua" w:cs="Arial"/>
        </w:rPr>
      </w:pPr>
    </w:p>
    <w:p w:rsidR="00545B34" w:rsidRPr="00884D39" w:rsidRDefault="0017268B" w:rsidP="0017268B">
      <w:pPr>
        <w:jc w:val="both"/>
        <w:rPr>
          <w:rFonts w:ascii="Book Antiqua" w:hAnsi="Book Antiqua" w:cs="Arial"/>
          <w:color w:val="000000"/>
        </w:rPr>
      </w:pPr>
      <w:r w:rsidRPr="00884D39">
        <w:rPr>
          <w:rFonts w:ascii="Book Antiqua" w:hAnsi="Book Antiqua" w:cs="Arial"/>
        </w:rPr>
        <w:t xml:space="preserve">4. </w:t>
      </w:r>
      <w:r w:rsidR="00545B34" w:rsidRPr="00884D39">
        <w:rPr>
          <w:rFonts w:ascii="Book Antiqua" w:hAnsi="Book Antiqua" w:cs="Arial"/>
        </w:rPr>
        <w:t>The Appellant appealed to the First-tier Tribunal</w:t>
      </w:r>
      <w:r w:rsidR="00850890" w:rsidRPr="00884D39">
        <w:rPr>
          <w:rFonts w:ascii="Book Antiqua" w:hAnsi="Book Antiqua" w:cs="Arial"/>
        </w:rPr>
        <w:t>.</w:t>
      </w:r>
      <w:r w:rsidR="00545B34" w:rsidRPr="00884D39">
        <w:rPr>
          <w:rFonts w:ascii="Book Antiqua" w:hAnsi="Book Antiqua" w:cs="Arial"/>
        </w:rPr>
        <w:t xml:space="preserve"> First-tier Tribunal Judge </w:t>
      </w:r>
      <w:r w:rsidRPr="00884D39">
        <w:rPr>
          <w:rFonts w:ascii="Book Antiqua" w:hAnsi="Book Antiqua" w:cs="Arial"/>
        </w:rPr>
        <w:t>Walters</w:t>
      </w:r>
      <w:r w:rsidR="00850890" w:rsidRPr="00884D39">
        <w:rPr>
          <w:rFonts w:ascii="Book Antiqua" w:hAnsi="Book Antiqua" w:cs="Arial"/>
        </w:rPr>
        <w:t xml:space="preserve"> (</w:t>
      </w:r>
      <w:r w:rsidR="00545B34" w:rsidRPr="00884D39">
        <w:rPr>
          <w:rFonts w:ascii="Book Antiqua" w:hAnsi="Book Antiqua" w:cs="Arial"/>
        </w:rPr>
        <w:t xml:space="preserve">“the Judge”) dismissed the appeal against the Respondent’s decision. Grounds of appeal were lodged and on </w:t>
      </w:r>
      <w:r w:rsidRPr="00884D39">
        <w:rPr>
          <w:rFonts w:ascii="Book Antiqua" w:hAnsi="Book Antiqua" w:cs="Arial"/>
        </w:rPr>
        <w:t xml:space="preserve">11 April 2018 Upper Tribunal </w:t>
      </w:r>
      <w:r w:rsidR="00545B34" w:rsidRPr="00884D39">
        <w:rPr>
          <w:rFonts w:ascii="Book Antiqua" w:hAnsi="Book Antiqua" w:cs="Arial"/>
        </w:rPr>
        <w:t xml:space="preserve">Judge </w:t>
      </w:r>
      <w:r w:rsidRPr="00884D39">
        <w:rPr>
          <w:rFonts w:ascii="Book Antiqua" w:hAnsi="Book Antiqua" w:cs="Arial"/>
        </w:rPr>
        <w:t>Canavan</w:t>
      </w:r>
      <w:r w:rsidR="00545B34" w:rsidRPr="00884D39">
        <w:rPr>
          <w:rFonts w:ascii="Book Antiqua" w:hAnsi="Book Antiqua" w:cs="Arial"/>
        </w:rPr>
        <w:t xml:space="preserve"> g</w:t>
      </w:r>
      <w:r w:rsidRPr="00884D39">
        <w:rPr>
          <w:rFonts w:ascii="Book Antiqua" w:hAnsi="Book Antiqua" w:cs="Arial"/>
        </w:rPr>
        <w:t>r</w:t>
      </w:r>
      <w:r w:rsidR="00545B34" w:rsidRPr="00884D39">
        <w:rPr>
          <w:rFonts w:ascii="Book Antiqua" w:hAnsi="Book Antiqua" w:cs="Arial"/>
        </w:rPr>
        <w:t>a</w:t>
      </w:r>
      <w:r w:rsidRPr="00884D39">
        <w:rPr>
          <w:rFonts w:ascii="Book Antiqua" w:hAnsi="Book Antiqua" w:cs="Arial"/>
        </w:rPr>
        <w:t>nt</w:t>
      </w:r>
      <w:r w:rsidR="00545B34" w:rsidRPr="00884D39">
        <w:rPr>
          <w:rFonts w:ascii="Book Antiqua" w:hAnsi="Book Antiqua" w:cs="Arial"/>
        </w:rPr>
        <w:t>e</w:t>
      </w:r>
      <w:r w:rsidRPr="00884D39">
        <w:rPr>
          <w:rFonts w:ascii="Book Antiqua" w:hAnsi="Book Antiqua" w:cs="Arial"/>
        </w:rPr>
        <w:t>d</w:t>
      </w:r>
      <w:r w:rsidR="00545B34" w:rsidRPr="00884D39">
        <w:rPr>
          <w:rFonts w:ascii="Book Antiqua" w:hAnsi="Book Antiqua" w:cs="Arial"/>
        </w:rPr>
        <w:t xml:space="preserve"> </w:t>
      </w:r>
      <w:r w:rsidR="00850890" w:rsidRPr="00884D39">
        <w:rPr>
          <w:rFonts w:ascii="Book Antiqua" w:hAnsi="Book Antiqua" w:cs="Arial"/>
          <w:color w:val="000000"/>
        </w:rPr>
        <w:t>permission to appeal stating</w:t>
      </w:r>
      <w:r w:rsidRPr="00884D39">
        <w:rPr>
          <w:rFonts w:ascii="Book Antiqua" w:hAnsi="Book Antiqua" w:cs="Arial"/>
          <w:color w:val="000000"/>
        </w:rPr>
        <w:t xml:space="preserve"> inter alia</w:t>
      </w:r>
    </w:p>
    <w:p w:rsidR="0017268B" w:rsidRPr="00884D39" w:rsidRDefault="0017268B" w:rsidP="00FC5190">
      <w:pPr>
        <w:ind w:left="720"/>
        <w:jc w:val="both"/>
        <w:rPr>
          <w:rFonts w:ascii="Book Antiqua" w:hAnsi="Book Antiqua" w:cs="Arial"/>
          <w:color w:val="000000"/>
          <w:sz w:val="22"/>
          <w:szCs w:val="22"/>
        </w:rPr>
      </w:pPr>
    </w:p>
    <w:p w:rsidR="0017268B" w:rsidRPr="00884D39" w:rsidRDefault="0017268B" w:rsidP="00FC5190">
      <w:pPr>
        <w:ind w:left="720"/>
        <w:jc w:val="both"/>
        <w:rPr>
          <w:rFonts w:ascii="Book Antiqua" w:hAnsi="Book Antiqua" w:cs="Arial"/>
          <w:color w:val="000000"/>
          <w:sz w:val="22"/>
          <w:szCs w:val="22"/>
        </w:rPr>
      </w:pPr>
      <w:r w:rsidRPr="00884D39">
        <w:rPr>
          <w:rFonts w:ascii="Book Antiqua" w:hAnsi="Book Antiqua" w:cs="Arial"/>
          <w:color w:val="000000"/>
          <w:sz w:val="22"/>
          <w:szCs w:val="22"/>
        </w:rPr>
        <w:t>The grounds do not m</w:t>
      </w:r>
      <w:r w:rsidR="00FC5190" w:rsidRPr="00884D39">
        <w:rPr>
          <w:rFonts w:ascii="Book Antiqua" w:hAnsi="Book Antiqua" w:cs="Arial"/>
          <w:color w:val="000000"/>
          <w:sz w:val="22"/>
          <w:szCs w:val="22"/>
        </w:rPr>
        <w:t>oun</w:t>
      </w:r>
      <w:r w:rsidRPr="00884D39">
        <w:rPr>
          <w:rFonts w:ascii="Book Antiqua" w:hAnsi="Book Antiqua" w:cs="Arial"/>
          <w:color w:val="000000"/>
          <w:sz w:val="22"/>
          <w:szCs w:val="22"/>
        </w:rPr>
        <w:t xml:space="preserve">t any challenge to the </w:t>
      </w:r>
      <w:r w:rsidR="00FC5190" w:rsidRPr="00884D39">
        <w:rPr>
          <w:rFonts w:ascii="Book Antiqua" w:hAnsi="Book Antiqua" w:cs="Arial"/>
          <w:color w:val="000000"/>
          <w:sz w:val="22"/>
          <w:szCs w:val="22"/>
        </w:rPr>
        <w:t>J</w:t>
      </w:r>
      <w:r w:rsidRPr="00884D39">
        <w:rPr>
          <w:rFonts w:ascii="Book Antiqua" w:hAnsi="Book Antiqua" w:cs="Arial"/>
          <w:color w:val="000000"/>
          <w:sz w:val="22"/>
          <w:szCs w:val="22"/>
        </w:rPr>
        <w:t>udge</w:t>
      </w:r>
      <w:r w:rsidR="00FC5190" w:rsidRPr="00884D39">
        <w:rPr>
          <w:rFonts w:ascii="Book Antiqua" w:hAnsi="Book Antiqua" w:cs="Arial"/>
          <w:color w:val="000000"/>
          <w:sz w:val="22"/>
          <w:szCs w:val="22"/>
        </w:rPr>
        <w:t>’</w:t>
      </w:r>
      <w:r w:rsidRPr="00884D39">
        <w:rPr>
          <w:rFonts w:ascii="Book Antiqua" w:hAnsi="Book Antiqua" w:cs="Arial"/>
          <w:color w:val="000000"/>
          <w:sz w:val="22"/>
          <w:szCs w:val="22"/>
        </w:rPr>
        <w:t xml:space="preserve">s findings relating to the continuous lawful residence under the rules and appeared to be confined to article 8 grounds. They make a series of points about evidence, which I read to amount to a challenge to the adequacy of the reasons given by the </w:t>
      </w:r>
      <w:r w:rsidR="00FC5190" w:rsidRPr="00884D39">
        <w:rPr>
          <w:rFonts w:ascii="Book Antiqua" w:hAnsi="Book Antiqua" w:cs="Arial"/>
          <w:color w:val="000000"/>
          <w:sz w:val="22"/>
          <w:szCs w:val="22"/>
        </w:rPr>
        <w:t>J</w:t>
      </w:r>
      <w:r w:rsidRPr="00884D39">
        <w:rPr>
          <w:rFonts w:ascii="Book Antiqua" w:hAnsi="Book Antiqua" w:cs="Arial"/>
          <w:color w:val="000000"/>
          <w:sz w:val="22"/>
          <w:szCs w:val="22"/>
        </w:rPr>
        <w:t>udge in relation to his assessment of the appellant</w:t>
      </w:r>
      <w:r w:rsidR="00FC5190" w:rsidRPr="00884D39">
        <w:rPr>
          <w:rFonts w:ascii="Book Antiqua" w:hAnsi="Book Antiqua" w:cs="Arial"/>
          <w:color w:val="000000"/>
          <w:sz w:val="22"/>
          <w:szCs w:val="22"/>
        </w:rPr>
        <w:t>’</w:t>
      </w:r>
      <w:r w:rsidRPr="00884D39">
        <w:rPr>
          <w:rFonts w:ascii="Book Antiqua" w:hAnsi="Book Antiqua" w:cs="Arial"/>
          <w:color w:val="000000"/>
          <w:sz w:val="22"/>
          <w:szCs w:val="22"/>
        </w:rPr>
        <w:t>s</w:t>
      </w:r>
      <w:r w:rsidR="003741D6" w:rsidRPr="00884D39">
        <w:rPr>
          <w:rFonts w:ascii="Book Antiqua" w:hAnsi="Book Antiqua" w:cs="Arial"/>
          <w:color w:val="000000"/>
          <w:sz w:val="22"/>
          <w:szCs w:val="22"/>
        </w:rPr>
        <w:t xml:space="preserve"> private life under article 8. Whilst none of the points, taken alone, are sufficient to give rise to an arguable error of law, it is at least arguable that the </w:t>
      </w:r>
      <w:r w:rsidR="00FC5190" w:rsidRPr="00884D39">
        <w:rPr>
          <w:rFonts w:ascii="Book Antiqua" w:hAnsi="Book Antiqua" w:cs="Arial"/>
          <w:color w:val="000000"/>
          <w:sz w:val="22"/>
          <w:szCs w:val="22"/>
        </w:rPr>
        <w:t>J</w:t>
      </w:r>
      <w:r w:rsidR="003741D6" w:rsidRPr="00884D39">
        <w:rPr>
          <w:rFonts w:ascii="Book Antiqua" w:hAnsi="Book Antiqua" w:cs="Arial"/>
          <w:color w:val="000000"/>
          <w:sz w:val="22"/>
          <w:szCs w:val="22"/>
        </w:rPr>
        <w:t xml:space="preserve">udge failed to give adequate reasons for his findings. Even if the appellant did not meet the requirements of 10 years continuous lawful residence, it was incumbent on the </w:t>
      </w:r>
      <w:r w:rsidR="00FC5190" w:rsidRPr="00884D39">
        <w:rPr>
          <w:rFonts w:ascii="Book Antiqua" w:hAnsi="Book Antiqua" w:cs="Arial"/>
          <w:color w:val="000000"/>
          <w:sz w:val="22"/>
          <w:szCs w:val="22"/>
        </w:rPr>
        <w:t>J</w:t>
      </w:r>
      <w:r w:rsidR="003741D6" w:rsidRPr="00884D39">
        <w:rPr>
          <w:rFonts w:ascii="Book Antiqua" w:hAnsi="Book Antiqua" w:cs="Arial"/>
          <w:color w:val="000000"/>
          <w:sz w:val="22"/>
          <w:szCs w:val="22"/>
        </w:rPr>
        <w:t xml:space="preserve">udge to consider whether paragraph 276 ADE(1)(vi) applied and/or the conduct and evaluative assessment of the appellants private life in the UK balanced against any relevant public interest considerations. It is at least arguable that the </w:t>
      </w:r>
      <w:r w:rsidR="00FC5190" w:rsidRPr="00884D39">
        <w:rPr>
          <w:rFonts w:ascii="Book Antiqua" w:hAnsi="Book Antiqua" w:cs="Arial"/>
          <w:color w:val="000000"/>
          <w:sz w:val="22"/>
          <w:szCs w:val="22"/>
        </w:rPr>
        <w:t>J</w:t>
      </w:r>
      <w:r w:rsidR="003741D6" w:rsidRPr="00884D39">
        <w:rPr>
          <w:rFonts w:ascii="Book Antiqua" w:hAnsi="Book Antiqua" w:cs="Arial"/>
          <w:color w:val="000000"/>
          <w:sz w:val="22"/>
          <w:szCs w:val="22"/>
        </w:rPr>
        <w:t xml:space="preserve">udge failed to conduct an evaluative assessment of where the </w:t>
      </w:r>
      <w:r w:rsidR="00FC5190" w:rsidRPr="00884D39">
        <w:rPr>
          <w:rFonts w:ascii="Book Antiqua" w:hAnsi="Book Antiqua" w:cs="Arial"/>
          <w:color w:val="000000"/>
          <w:sz w:val="22"/>
          <w:szCs w:val="22"/>
        </w:rPr>
        <w:t>balance</w:t>
      </w:r>
      <w:r w:rsidR="003741D6" w:rsidRPr="00884D39">
        <w:rPr>
          <w:rFonts w:ascii="Book Antiqua" w:hAnsi="Book Antiqua" w:cs="Arial"/>
          <w:color w:val="000000"/>
          <w:sz w:val="22"/>
          <w:szCs w:val="22"/>
        </w:rPr>
        <w:t xml:space="preserve"> should be struck in this case given the appellant’s length of residence in the UK. Although there is some question mark as to whether any potential error would have made any material difference to the outcome of the appeal, it is at least arguable that the appellant was entitled to a properly reasoned decision.</w:t>
      </w:r>
    </w:p>
    <w:p w:rsidR="003741D6" w:rsidRPr="00884D39" w:rsidRDefault="003741D6" w:rsidP="0017268B">
      <w:pPr>
        <w:jc w:val="both"/>
        <w:rPr>
          <w:rFonts w:ascii="Book Antiqua" w:hAnsi="Book Antiqua" w:cs="Arial"/>
          <w:color w:val="000000"/>
        </w:rPr>
      </w:pPr>
    </w:p>
    <w:p w:rsidR="003741D6" w:rsidRPr="00884D39" w:rsidRDefault="003741D6" w:rsidP="0017268B">
      <w:pPr>
        <w:jc w:val="both"/>
        <w:rPr>
          <w:rFonts w:ascii="Book Antiqua" w:hAnsi="Book Antiqua" w:cs="Arial"/>
          <w:color w:val="000000"/>
          <w:u w:val="single"/>
        </w:rPr>
      </w:pPr>
      <w:r w:rsidRPr="00884D39">
        <w:rPr>
          <w:rFonts w:ascii="Book Antiqua" w:hAnsi="Book Antiqua" w:cs="Arial"/>
          <w:color w:val="000000"/>
          <w:u w:val="single"/>
        </w:rPr>
        <w:t xml:space="preserve">The </w:t>
      </w:r>
      <w:r w:rsidR="00FC5190" w:rsidRPr="00884D39">
        <w:rPr>
          <w:rFonts w:ascii="Book Antiqua" w:hAnsi="Book Antiqua" w:cs="Arial"/>
          <w:color w:val="000000"/>
          <w:u w:val="single"/>
        </w:rPr>
        <w:t>H</w:t>
      </w:r>
      <w:r w:rsidRPr="00884D39">
        <w:rPr>
          <w:rFonts w:ascii="Book Antiqua" w:hAnsi="Book Antiqua" w:cs="Arial"/>
          <w:color w:val="000000"/>
          <w:u w:val="single"/>
        </w:rPr>
        <w:t>earing</w:t>
      </w:r>
    </w:p>
    <w:p w:rsidR="0017268B" w:rsidRPr="00884D39" w:rsidRDefault="0017268B" w:rsidP="0017268B">
      <w:pPr>
        <w:jc w:val="both"/>
        <w:rPr>
          <w:rFonts w:ascii="Book Antiqua" w:hAnsi="Book Antiqua" w:cs="Arial"/>
          <w:color w:val="000000"/>
        </w:rPr>
      </w:pPr>
    </w:p>
    <w:p w:rsidR="0017268B" w:rsidRPr="00884D39" w:rsidRDefault="00B25467" w:rsidP="0017268B">
      <w:pPr>
        <w:jc w:val="both"/>
        <w:rPr>
          <w:rFonts w:ascii="Book Antiqua" w:hAnsi="Book Antiqua" w:cs="Arial"/>
          <w:color w:val="000000"/>
        </w:rPr>
      </w:pPr>
      <w:r w:rsidRPr="00884D39">
        <w:rPr>
          <w:rFonts w:ascii="Book Antiqua" w:hAnsi="Book Antiqua" w:cs="Arial"/>
          <w:color w:val="000000"/>
        </w:rPr>
        <w:t xml:space="preserve">5(a) Mr Symes moved the grounds of appeal for the appellant. He told me that the </w:t>
      </w:r>
      <w:r w:rsidR="00FC5190" w:rsidRPr="00884D39">
        <w:rPr>
          <w:rFonts w:ascii="Book Antiqua" w:hAnsi="Book Antiqua" w:cs="Arial"/>
          <w:color w:val="000000"/>
        </w:rPr>
        <w:t>J</w:t>
      </w:r>
      <w:r w:rsidRPr="00884D39">
        <w:rPr>
          <w:rFonts w:ascii="Book Antiqua" w:hAnsi="Book Antiqua" w:cs="Arial"/>
          <w:color w:val="000000"/>
        </w:rPr>
        <w:t>udge had failed to take account of relevant considerations, and had failed to consider the evidence placed before him. Mr Symes took me to the appellant’s bundle</w:t>
      </w:r>
      <w:r w:rsidR="00FC5190" w:rsidRPr="00884D39">
        <w:rPr>
          <w:rFonts w:ascii="Book Antiqua" w:hAnsi="Book Antiqua" w:cs="Arial"/>
          <w:color w:val="000000"/>
        </w:rPr>
        <w:t>,</w:t>
      </w:r>
      <w:r w:rsidRPr="00884D39">
        <w:rPr>
          <w:rFonts w:ascii="Book Antiqua" w:hAnsi="Book Antiqua" w:cs="Arial"/>
          <w:color w:val="000000"/>
        </w:rPr>
        <w:t xml:space="preserve"> where relevant letters of support </w:t>
      </w:r>
      <w:r w:rsidR="00FC5190" w:rsidRPr="00884D39">
        <w:rPr>
          <w:rFonts w:ascii="Book Antiqua" w:hAnsi="Book Antiqua" w:cs="Arial"/>
          <w:color w:val="000000"/>
        </w:rPr>
        <w:t xml:space="preserve">are </w:t>
      </w:r>
      <w:r w:rsidRPr="00884D39">
        <w:rPr>
          <w:rFonts w:ascii="Book Antiqua" w:hAnsi="Book Antiqua" w:cs="Arial"/>
          <w:color w:val="000000"/>
        </w:rPr>
        <w:t>produced</w:t>
      </w:r>
      <w:r w:rsidR="00FC5190" w:rsidRPr="00884D39">
        <w:rPr>
          <w:rFonts w:ascii="Book Antiqua" w:hAnsi="Book Antiqua" w:cs="Arial"/>
          <w:color w:val="000000"/>
        </w:rPr>
        <w:t xml:space="preserve"> -</w:t>
      </w:r>
      <w:r w:rsidRPr="00884D39">
        <w:rPr>
          <w:rFonts w:ascii="Book Antiqua" w:hAnsi="Book Antiqua" w:cs="Arial"/>
          <w:color w:val="000000"/>
        </w:rPr>
        <w:t xml:space="preserve"> many of them from family members, and then took me to </w:t>
      </w:r>
      <w:r w:rsidR="00FC5190" w:rsidRPr="00884D39">
        <w:rPr>
          <w:rFonts w:ascii="Book Antiqua" w:hAnsi="Book Antiqua" w:cs="Arial"/>
          <w:color w:val="000000"/>
        </w:rPr>
        <w:t>[</w:t>
      </w:r>
      <w:r w:rsidRPr="00884D39">
        <w:rPr>
          <w:rFonts w:ascii="Book Antiqua" w:hAnsi="Book Antiqua" w:cs="Arial"/>
          <w:color w:val="000000"/>
        </w:rPr>
        <w:t>31</w:t>
      </w:r>
      <w:r w:rsidR="00FC5190" w:rsidRPr="00884D39">
        <w:rPr>
          <w:rFonts w:ascii="Book Antiqua" w:hAnsi="Book Antiqua" w:cs="Arial"/>
          <w:color w:val="000000"/>
        </w:rPr>
        <w:t>]</w:t>
      </w:r>
      <w:r w:rsidRPr="00884D39">
        <w:rPr>
          <w:rFonts w:ascii="Book Antiqua" w:hAnsi="Book Antiqua" w:cs="Arial"/>
          <w:color w:val="000000"/>
        </w:rPr>
        <w:t xml:space="preserve"> of the decision</w:t>
      </w:r>
      <w:r w:rsidR="00FC5190" w:rsidRPr="00884D39">
        <w:rPr>
          <w:rFonts w:ascii="Book Antiqua" w:hAnsi="Book Antiqua" w:cs="Arial"/>
          <w:color w:val="000000"/>
        </w:rPr>
        <w:t>,</w:t>
      </w:r>
      <w:r w:rsidRPr="00884D39">
        <w:rPr>
          <w:rFonts w:ascii="Book Antiqua" w:hAnsi="Book Antiqua" w:cs="Arial"/>
          <w:color w:val="000000"/>
        </w:rPr>
        <w:t xml:space="preserve"> whe</w:t>
      </w:r>
      <w:r w:rsidR="00FC5190" w:rsidRPr="00884D39">
        <w:rPr>
          <w:rFonts w:ascii="Book Antiqua" w:hAnsi="Book Antiqua" w:cs="Arial"/>
          <w:color w:val="000000"/>
        </w:rPr>
        <w:t xml:space="preserve">re </w:t>
      </w:r>
      <w:r w:rsidRPr="00884D39">
        <w:rPr>
          <w:rFonts w:ascii="Book Antiqua" w:hAnsi="Book Antiqua" w:cs="Arial"/>
          <w:color w:val="000000"/>
        </w:rPr>
        <w:t xml:space="preserve">the </w:t>
      </w:r>
      <w:r w:rsidR="00FC5190" w:rsidRPr="00884D39">
        <w:rPr>
          <w:rFonts w:ascii="Book Antiqua" w:hAnsi="Book Antiqua" w:cs="Arial"/>
          <w:color w:val="000000"/>
        </w:rPr>
        <w:t>J</w:t>
      </w:r>
      <w:r w:rsidRPr="00884D39">
        <w:rPr>
          <w:rFonts w:ascii="Book Antiqua" w:hAnsi="Book Antiqua" w:cs="Arial"/>
          <w:color w:val="000000"/>
        </w:rPr>
        <w:t xml:space="preserve">udge says that the appellant fails to identify his close family members in the UK. </w:t>
      </w:r>
    </w:p>
    <w:p w:rsidR="00B25467" w:rsidRPr="00884D39" w:rsidRDefault="00B25467" w:rsidP="0017268B">
      <w:pPr>
        <w:jc w:val="both"/>
        <w:rPr>
          <w:rFonts w:ascii="Book Antiqua" w:hAnsi="Book Antiqua" w:cs="Arial"/>
          <w:color w:val="000000"/>
        </w:rPr>
      </w:pPr>
    </w:p>
    <w:p w:rsidR="00B25467" w:rsidRPr="00884D39" w:rsidRDefault="00B25467" w:rsidP="0017268B">
      <w:pPr>
        <w:jc w:val="both"/>
        <w:rPr>
          <w:rFonts w:ascii="Book Antiqua" w:hAnsi="Book Antiqua" w:cs="Arial"/>
          <w:color w:val="000000"/>
        </w:rPr>
      </w:pPr>
      <w:r w:rsidRPr="00884D39">
        <w:rPr>
          <w:rFonts w:ascii="Book Antiqua" w:hAnsi="Book Antiqua" w:cs="Arial"/>
          <w:color w:val="000000"/>
        </w:rPr>
        <w:t xml:space="preserve">(b) Mr Symes told me that the appellant’s bundle before the </w:t>
      </w:r>
      <w:r w:rsidR="00FC5190" w:rsidRPr="00884D39">
        <w:rPr>
          <w:rFonts w:ascii="Book Antiqua" w:hAnsi="Book Antiqua" w:cs="Arial"/>
          <w:color w:val="000000"/>
        </w:rPr>
        <w:t>F</w:t>
      </w:r>
      <w:r w:rsidRPr="00884D39">
        <w:rPr>
          <w:rFonts w:ascii="Book Antiqua" w:hAnsi="Book Antiqua" w:cs="Arial"/>
          <w:color w:val="000000"/>
        </w:rPr>
        <w:t xml:space="preserve">irst-tier contains a letter from </w:t>
      </w:r>
      <w:r w:rsidR="00FC5190" w:rsidRPr="00884D39">
        <w:rPr>
          <w:rFonts w:ascii="Book Antiqua" w:hAnsi="Book Antiqua" w:cs="Arial"/>
          <w:color w:val="000000"/>
        </w:rPr>
        <w:t>the appellant’s</w:t>
      </w:r>
      <w:r w:rsidRPr="00884D39">
        <w:rPr>
          <w:rFonts w:ascii="Book Antiqua" w:hAnsi="Book Antiqua" w:cs="Arial"/>
          <w:color w:val="000000"/>
        </w:rPr>
        <w:t xml:space="preserve"> employer. He told me that the documentary evidence has been ignored by the </w:t>
      </w:r>
      <w:r w:rsidR="00FC5190" w:rsidRPr="00884D39">
        <w:rPr>
          <w:rFonts w:ascii="Book Antiqua" w:hAnsi="Book Antiqua" w:cs="Arial"/>
          <w:color w:val="000000"/>
        </w:rPr>
        <w:t>J</w:t>
      </w:r>
      <w:r w:rsidRPr="00884D39">
        <w:rPr>
          <w:rFonts w:ascii="Book Antiqua" w:hAnsi="Book Antiqua" w:cs="Arial"/>
          <w:color w:val="000000"/>
        </w:rPr>
        <w:t xml:space="preserve">udge and that </w:t>
      </w:r>
      <w:r w:rsidR="00FC5190" w:rsidRPr="00884D39">
        <w:rPr>
          <w:rFonts w:ascii="Book Antiqua" w:hAnsi="Book Antiqua" w:cs="Arial"/>
          <w:color w:val="000000"/>
        </w:rPr>
        <w:t>[</w:t>
      </w:r>
      <w:r w:rsidRPr="00884D39">
        <w:rPr>
          <w:rFonts w:ascii="Book Antiqua" w:hAnsi="Book Antiqua" w:cs="Arial"/>
          <w:color w:val="000000"/>
        </w:rPr>
        <w:t>30</w:t>
      </w:r>
      <w:r w:rsidR="00FC5190" w:rsidRPr="00884D39">
        <w:rPr>
          <w:rFonts w:ascii="Book Antiqua" w:hAnsi="Book Antiqua" w:cs="Arial"/>
          <w:color w:val="000000"/>
        </w:rPr>
        <w:t>]</w:t>
      </w:r>
      <w:r w:rsidRPr="00884D39">
        <w:rPr>
          <w:rFonts w:ascii="Book Antiqua" w:hAnsi="Book Antiqua" w:cs="Arial"/>
          <w:color w:val="000000"/>
        </w:rPr>
        <w:t xml:space="preserve"> and </w:t>
      </w:r>
      <w:r w:rsidR="00FC5190" w:rsidRPr="00884D39">
        <w:rPr>
          <w:rFonts w:ascii="Book Antiqua" w:hAnsi="Book Antiqua" w:cs="Arial"/>
          <w:color w:val="000000"/>
        </w:rPr>
        <w:t>[</w:t>
      </w:r>
      <w:r w:rsidRPr="00884D39">
        <w:rPr>
          <w:rFonts w:ascii="Book Antiqua" w:hAnsi="Book Antiqua" w:cs="Arial"/>
          <w:color w:val="000000"/>
        </w:rPr>
        <w:t>31</w:t>
      </w:r>
      <w:r w:rsidR="00FC5190" w:rsidRPr="00884D39">
        <w:rPr>
          <w:rFonts w:ascii="Book Antiqua" w:hAnsi="Book Antiqua" w:cs="Arial"/>
          <w:color w:val="000000"/>
        </w:rPr>
        <w:t>]</w:t>
      </w:r>
      <w:r w:rsidRPr="00884D39">
        <w:rPr>
          <w:rFonts w:ascii="Book Antiqua" w:hAnsi="Book Antiqua" w:cs="Arial"/>
          <w:color w:val="000000"/>
        </w:rPr>
        <w:t xml:space="preserve"> of the decision are just wrong.</w:t>
      </w:r>
    </w:p>
    <w:p w:rsidR="00B25467" w:rsidRPr="00884D39" w:rsidRDefault="00B25467" w:rsidP="0017268B">
      <w:pPr>
        <w:jc w:val="both"/>
        <w:rPr>
          <w:rFonts w:ascii="Book Antiqua" w:hAnsi="Book Antiqua" w:cs="Arial"/>
          <w:color w:val="000000"/>
        </w:rPr>
      </w:pPr>
    </w:p>
    <w:p w:rsidR="00B25467" w:rsidRPr="00884D39" w:rsidRDefault="00B25467" w:rsidP="0017268B">
      <w:pPr>
        <w:jc w:val="both"/>
        <w:rPr>
          <w:rFonts w:ascii="Book Antiqua" w:hAnsi="Book Antiqua" w:cs="Arial"/>
          <w:color w:val="000000"/>
        </w:rPr>
      </w:pPr>
      <w:r w:rsidRPr="00884D39">
        <w:rPr>
          <w:rFonts w:ascii="Book Antiqua" w:hAnsi="Book Antiqua" w:cs="Arial"/>
          <w:color w:val="000000"/>
        </w:rPr>
        <w:t xml:space="preserve">(c) Mr Symes took me to </w:t>
      </w:r>
      <w:r w:rsidR="00FC5190" w:rsidRPr="00884D39">
        <w:rPr>
          <w:rFonts w:ascii="Book Antiqua" w:hAnsi="Book Antiqua" w:cs="Arial"/>
          <w:color w:val="000000"/>
        </w:rPr>
        <w:t>[</w:t>
      </w:r>
      <w:r w:rsidRPr="00884D39">
        <w:rPr>
          <w:rFonts w:ascii="Book Antiqua" w:hAnsi="Book Antiqua" w:cs="Arial"/>
          <w:color w:val="000000"/>
        </w:rPr>
        <w:t>25</w:t>
      </w:r>
      <w:r w:rsidR="00FC5190" w:rsidRPr="00884D39">
        <w:rPr>
          <w:rFonts w:ascii="Book Antiqua" w:hAnsi="Book Antiqua" w:cs="Arial"/>
          <w:color w:val="000000"/>
        </w:rPr>
        <w:t>] of</w:t>
      </w:r>
      <w:r w:rsidRPr="00884D39">
        <w:rPr>
          <w:rFonts w:ascii="Book Antiqua" w:hAnsi="Book Antiqua" w:cs="Arial"/>
          <w:color w:val="000000"/>
        </w:rPr>
        <w:t xml:space="preserve"> the decision</w:t>
      </w:r>
      <w:r w:rsidR="00FC5190" w:rsidRPr="00884D39">
        <w:rPr>
          <w:rFonts w:ascii="Book Antiqua" w:hAnsi="Book Antiqua" w:cs="Arial"/>
          <w:color w:val="000000"/>
        </w:rPr>
        <w:t>,</w:t>
      </w:r>
      <w:r w:rsidRPr="00884D39">
        <w:rPr>
          <w:rFonts w:ascii="Book Antiqua" w:hAnsi="Book Antiqua" w:cs="Arial"/>
          <w:color w:val="000000"/>
        </w:rPr>
        <w:t xml:space="preserve"> whe</w:t>
      </w:r>
      <w:r w:rsidR="00FC5190" w:rsidRPr="00884D39">
        <w:rPr>
          <w:rFonts w:ascii="Book Antiqua" w:hAnsi="Book Antiqua" w:cs="Arial"/>
          <w:color w:val="000000"/>
        </w:rPr>
        <w:t xml:space="preserve">re </w:t>
      </w:r>
      <w:r w:rsidRPr="00884D39">
        <w:rPr>
          <w:rFonts w:ascii="Book Antiqua" w:hAnsi="Book Antiqua" w:cs="Arial"/>
          <w:color w:val="000000"/>
        </w:rPr>
        <w:t xml:space="preserve">the </w:t>
      </w:r>
      <w:r w:rsidR="00FC5190" w:rsidRPr="00884D39">
        <w:rPr>
          <w:rFonts w:ascii="Book Antiqua" w:hAnsi="Book Antiqua" w:cs="Arial"/>
          <w:color w:val="000000"/>
        </w:rPr>
        <w:t>J</w:t>
      </w:r>
      <w:r w:rsidRPr="00884D39">
        <w:rPr>
          <w:rFonts w:ascii="Book Antiqua" w:hAnsi="Book Antiqua" w:cs="Arial"/>
          <w:color w:val="000000"/>
        </w:rPr>
        <w:t>udge bemoans the absence of financial information, and told me that the appellant had produced a letter from his employers and had given evidence in his witness statement about his income. He reminded me that those instructing him made an application under rule 15(2)</w:t>
      </w:r>
      <w:r w:rsidR="00FC5190" w:rsidRPr="00884D39">
        <w:rPr>
          <w:rFonts w:ascii="Book Antiqua" w:hAnsi="Book Antiqua" w:cs="Arial"/>
          <w:color w:val="000000"/>
        </w:rPr>
        <w:t xml:space="preserve"> </w:t>
      </w:r>
      <w:r w:rsidRPr="00884D39">
        <w:rPr>
          <w:rFonts w:ascii="Book Antiqua" w:hAnsi="Book Antiqua" w:cs="Arial"/>
          <w:color w:val="000000"/>
        </w:rPr>
        <w:t>to bring onto consideration wage slips</w:t>
      </w:r>
      <w:r w:rsidR="00FC5190" w:rsidRPr="00884D39">
        <w:rPr>
          <w:rFonts w:ascii="Book Antiqua" w:hAnsi="Book Antiqua" w:cs="Arial"/>
          <w:color w:val="000000"/>
        </w:rPr>
        <w:t>,</w:t>
      </w:r>
      <w:r w:rsidRPr="00884D39">
        <w:rPr>
          <w:rFonts w:ascii="Book Antiqua" w:hAnsi="Book Antiqua" w:cs="Arial"/>
          <w:color w:val="000000"/>
        </w:rPr>
        <w:t xml:space="preserve"> P60s and a contract of employment vouching the appellant’s financial position.</w:t>
      </w:r>
    </w:p>
    <w:p w:rsidR="00B25467" w:rsidRPr="00884D39" w:rsidRDefault="00B25467" w:rsidP="0017268B">
      <w:pPr>
        <w:jc w:val="both"/>
        <w:rPr>
          <w:rFonts w:ascii="Book Antiqua" w:hAnsi="Book Antiqua" w:cs="Arial"/>
          <w:color w:val="000000"/>
        </w:rPr>
      </w:pPr>
    </w:p>
    <w:p w:rsidR="00B25467" w:rsidRPr="00884D39" w:rsidRDefault="00B25467" w:rsidP="0017268B">
      <w:pPr>
        <w:jc w:val="both"/>
        <w:rPr>
          <w:rFonts w:ascii="Book Antiqua" w:hAnsi="Book Antiqua" w:cs="Arial"/>
          <w:color w:val="000000"/>
        </w:rPr>
      </w:pPr>
      <w:r w:rsidRPr="00884D39">
        <w:rPr>
          <w:rFonts w:ascii="Book Antiqua" w:hAnsi="Book Antiqua" w:cs="Arial"/>
          <w:color w:val="000000"/>
        </w:rPr>
        <w:t>(d) Mr Symes to</w:t>
      </w:r>
      <w:r w:rsidR="00FC5190" w:rsidRPr="00884D39">
        <w:rPr>
          <w:rFonts w:ascii="Book Antiqua" w:hAnsi="Book Antiqua" w:cs="Arial"/>
          <w:color w:val="000000"/>
        </w:rPr>
        <w:t>ok</w:t>
      </w:r>
      <w:r w:rsidRPr="00884D39">
        <w:rPr>
          <w:rFonts w:ascii="Book Antiqua" w:hAnsi="Book Antiqua" w:cs="Arial"/>
          <w:color w:val="000000"/>
        </w:rPr>
        <w:t xml:space="preserve"> me to </w:t>
      </w:r>
      <w:r w:rsidR="00FC5190" w:rsidRPr="00884D39">
        <w:rPr>
          <w:rFonts w:ascii="Book Antiqua" w:hAnsi="Book Antiqua" w:cs="Arial"/>
          <w:color w:val="000000"/>
        </w:rPr>
        <w:t>[</w:t>
      </w:r>
      <w:r w:rsidRPr="00884D39">
        <w:rPr>
          <w:rFonts w:ascii="Book Antiqua" w:hAnsi="Book Antiqua" w:cs="Arial"/>
          <w:color w:val="000000"/>
        </w:rPr>
        <w:t>28</w:t>
      </w:r>
      <w:r w:rsidR="00FC5190" w:rsidRPr="00884D39">
        <w:rPr>
          <w:rFonts w:ascii="Book Antiqua" w:hAnsi="Book Antiqua" w:cs="Arial"/>
          <w:color w:val="000000"/>
        </w:rPr>
        <w:t>]</w:t>
      </w:r>
      <w:r w:rsidRPr="00884D39">
        <w:rPr>
          <w:rFonts w:ascii="Book Antiqua" w:hAnsi="Book Antiqua" w:cs="Arial"/>
          <w:color w:val="000000"/>
        </w:rPr>
        <w:t xml:space="preserve"> of the decision and told me that</w:t>
      </w:r>
      <w:r w:rsidR="00FC5190" w:rsidRPr="00884D39">
        <w:rPr>
          <w:rFonts w:ascii="Book Antiqua" w:hAnsi="Book Antiqua" w:cs="Arial"/>
          <w:color w:val="000000"/>
        </w:rPr>
        <w:t>,</w:t>
      </w:r>
      <w:r w:rsidRPr="00884D39">
        <w:rPr>
          <w:rFonts w:ascii="Book Antiqua" w:hAnsi="Book Antiqua" w:cs="Arial"/>
          <w:color w:val="000000"/>
        </w:rPr>
        <w:t xml:space="preserve"> there</w:t>
      </w:r>
      <w:r w:rsidR="00FC5190" w:rsidRPr="00884D39">
        <w:rPr>
          <w:rFonts w:ascii="Book Antiqua" w:hAnsi="Book Antiqua" w:cs="Arial"/>
          <w:color w:val="000000"/>
        </w:rPr>
        <w:t>,</w:t>
      </w:r>
      <w:r w:rsidRPr="00884D39">
        <w:rPr>
          <w:rFonts w:ascii="Book Antiqua" w:hAnsi="Book Antiqua" w:cs="Arial"/>
          <w:color w:val="000000"/>
        </w:rPr>
        <w:t xml:space="preserve"> the </w:t>
      </w:r>
      <w:r w:rsidR="00FC5190" w:rsidRPr="00884D39">
        <w:rPr>
          <w:rFonts w:ascii="Book Antiqua" w:hAnsi="Book Antiqua" w:cs="Arial"/>
          <w:color w:val="000000"/>
        </w:rPr>
        <w:t>J</w:t>
      </w:r>
      <w:r w:rsidRPr="00884D39">
        <w:rPr>
          <w:rFonts w:ascii="Book Antiqua" w:hAnsi="Book Antiqua" w:cs="Arial"/>
          <w:color w:val="000000"/>
        </w:rPr>
        <w:t xml:space="preserve">udge was unnecessarily harsh and dismissive and failed to engage with the documentary evidence produced. Mr Symes told me that the </w:t>
      </w:r>
      <w:r w:rsidR="00FC5190" w:rsidRPr="00884D39">
        <w:rPr>
          <w:rFonts w:ascii="Book Antiqua" w:hAnsi="Book Antiqua" w:cs="Arial"/>
          <w:color w:val="000000"/>
        </w:rPr>
        <w:t>J</w:t>
      </w:r>
      <w:r w:rsidRPr="00884D39">
        <w:rPr>
          <w:rFonts w:ascii="Book Antiqua" w:hAnsi="Book Antiqua" w:cs="Arial"/>
          <w:color w:val="000000"/>
        </w:rPr>
        <w:t xml:space="preserve">udge’s article 8 assessment was fundamentally flawed and that the </w:t>
      </w:r>
      <w:r w:rsidR="00FC5190" w:rsidRPr="00884D39">
        <w:rPr>
          <w:rFonts w:ascii="Book Antiqua" w:hAnsi="Book Antiqua" w:cs="Arial"/>
          <w:color w:val="000000"/>
        </w:rPr>
        <w:t>J</w:t>
      </w:r>
      <w:r w:rsidRPr="00884D39">
        <w:rPr>
          <w:rFonts w:ascii="Book Antiqua" w:hAnsi="Book Antiqua" w:cs="Arial"/>
          <w:color w:val="000000"/>
        </w:rPr>
        <w:t>udge had failed to take account of the reason that the appellant cannot meet the requirements of the immigration rules.</w:t>
      </w:r>
    </w:p>
    <w:p w:rsidR="00B25467" w:rsidRPr="00884D39" w:rsidRDefault="00B25467" w:rsidP="0017268B">
      <w:pPr>
        <w:jc w:val="both"/>
        <w:rPr>
          <w:rFonts w:ascii="Book Antiqua" w:hAnsi="Book Antiqua" w:cs="Arial"/>
          <w:color w:val="000000"/>
        </w:rPr>
      </w:pPr>
    </w:p>
    <w:p w:rsidR="00B25467" w:rsidRPr="00884D39" w:rsidRDefault="00B25467" w:rsidP="0017268B">
      <w:pPr>
        <w:jc w:val="both"/>
        <w:rPr>
          <w:rFonts w:ascii="Book Antiqua" w:hAnsi="Book Antiqua" w:cs="Arial"/>
          <w:color w:val="000000"/>
        </w:rPr>
      </w:pPr>
      <w:r w:rsidRPr="00884D39">
        <w:rPr>
          <w:rFonts w:ascii="Book Antiqua" w:hAnsi="Book Antiqua" w:cs="Arial"/>
          <w:color w:val="000000"/>
        </w:rPr>
        <w:t xml:space="preserve">(e) Mr Symes urged me to allow the appeal and set the </w:t>
      </w:r>
      <w:r w:rsidR="00FC5190" w:rsidRPr="00884D39">
        <w:rPr>
          <w:rFonts w:ascii="Book Antiqua" w:hAnsi="Book Antiqua" w:cs="Arial"/>
          <w:color w:val="000000"/>
        </w:rPr>
        <w:t>J</w:t>
      </w:r>
      <w:r w:rsidRPr="00884D39">
        <w:rPr>
          <w:rFonts w:ascii="Book Antiqua" w:hAnsi="Book Antiqua" w:cs="Arial"/>
          <w:color w:val="000000"/>
        </w:rPr>
        <w:t>udge</w:t>
      </w:r>
      <w:r w:rsidR="00FC5190" w:rsidRPr="00884D39">
        <w:rPr>
          <w:rFonts w:ascii="Book Antiqua" w:hAnsi="Book Antiqua" w:cs="Arial"/>
          <w:color w:val="000000"/>
        </w:rPr>
        <w:t>’</w:t>
      </w:r>
      <w:r w:rsidRPr="00884D39">
        <w:rPr>
          <w:rFonts w:ascii="Book Antiqua" w:hAnsi="Book Antiqua" w:cs="Arial"/>
          <w:color w:val="000000"/>
        </w:rPr>
        <w:t>s decision aside.</w:t>
      </w:r>
    </w:p>
    <w:p w:rsidR="00B25467" w:rsidRPr="00884D39" w:rsidRDefault="00B25467" w:rsidP="0017268B">
      <w:pPr>
        <w:jc w:val="both"/>
        <w:rPr>
          <w:rFonts w:ascii="Book Antiqua" w:hAnsi="Book Antiqua" w:cs="Arial"/>
          <w:color w:val="000000"/>
        </w:rPr>
      </w:pPr>
    </w:p>
    <w:p w:rsidR="00B25467" w:rsidRPr="00884D39" w:rsidRDefault="00B25467" w:rsidP="0017268B">
      <w:pPr>
        <w:jc w:val="both"/>
        <w:rPr>
          <w:rFonts w:ascii="Book Antiqua" w:hAnsi="Book Antiqua" w:cs="Arial"/>
          <w:color w:val="000000"/>
        </w:rPr>
      </w:pPr>
      <w:r w:rsidRPr="00884D39">
        <w:rPr>
          <w:rFonts w:ascii="Book Antiqua" w:hAnsi="Book Antiqua" w:cs="Arial"/>
          <w:color w:val="000000"/>
        </w:rPr>
        <w:t xml:space="preserve">6 (a) </w:t>
      </w:r>
      <w:r w:rsidR="00FC5190" w:rsidRPr="00884D39">
        <w:rPr>
          <w:rFonts w:ascii="Book Antiqua" w:hAnsi="Book Antiqua" w:cs="Arial"/>
          <w:color w:val="000000"/>
        </w:rPr>
        <w:t>F</w:t>
      </w:r>
      <w:r w:rsidRPr="00884D39">
        <w:rPr>
          <w:rFonts w:ascii="Book Antiqua" w:hAnsi="Book Antiqua" w:cs="Arial"/>
          <w:color w:val="000000"/>
        </w:rPr>
        <w:t>or the respondent Mr Mills told me that the decision does not contain a material error of law.</w:t>
      </w:r>
      <w:r w:rsidR="00846217" w:rsidRPr="00884D39">
        <w:rPr>
          <w:rFonts w:ascii="Book Antiqua" w:hAnsi="Book Antiqua" w:cs="Arial"/>
          <w:color w:val="000000"/>
        </w:rPr>
        <w:t xml:space="preserve"> </w:t>
      </w:r>
      <w:r w:rsidR="00FC5190" w:rsidRPr="00884D39">
        <w:rPr>
          <w:rFonts w:ascii="Book Antiqua" w:hAnsi="Book Antiqua" w:cs="Arial"/>
          <w:color w:val="000000"/>
        </w:rPr>
        <w:t>He t</w:t>
      </w:r>
      <w:r w:rsidR="00846217" w:rsidRPr="00884D39">
        <w:rPr>
          <w:rFonts w:ascii="Book Antiqua" w:hAnsi="Book Antiqua" w:cs="Arial"/>
          <w:color w:val="000000"/>
        </w:rPr>
        <w:t>old me that th</w:t>
      </w:r>
      <w:r w:rsidR="00FC5190" w:rsidRPr="00884D39">
        <w:rPr>
          <w:rFonts w:ascii="Book Antiqua" w:hAnsi="Book Antiqua" w:cs="Arial"/>
          <w:color w:val="000000"/>
        </w:rPr>
        <w:t>er</w:t>
      </w:r>
      <w:r w:rsidR="00846217" w:rsidRPr="00884D39">
        <w:rPr>
          <w:rFonts w:ascii="Book Antiqua" w:hAnsi="Book Antiqua" w:cs="Arial"/>
          <w:color w:val="000000"/>
        </w:rPr>
        <w:t xml:space="preserve">e was no requirement for the </w:t>
      </w:r>
      <w:r w:rsidR="00FC5190" w:rsidRPr="00884D39">
        <w:rPr>
          <w:rFonts w:ascii="Book Antiqua" w:hAnsi="Book Antiqua" w:cs="Arial"/>
          <w:color w:val="000000"/>
        </w:rPr>
        <w:t>J</w:t>
      </w:r>
      <w:r w:rsidR="00846217" w:rsidRPr="00884D39">
        <w:rPr>
          <w:rFonts w:ascii="Book Antiqua" w:hAnsi="Book Antiqua" w:cs="Arial"/>
          <w:color w:val="000000"/>
        </w:rPr>
        <w:t>udge to rehearse every piece of evidence. He accepted that the decision is brief and told me that if that is an error of law it is no</w:t>
      </w:r>
      <w:r w:rsidR="00FC5190" w:rsidRPr="00884D39">
        <w:rPr>
          <w:rFonts w:ascii="Book Antiqua" w:hAnsi="Book Antiqua" w:cs="Arial"/>
          <w:color w:val="000000"/>
        </w:rPr>
        <w:t xml:space="preserve">t </w:t>
      </w:r>
      <w:r w:rsidR="00846217" w:rsidRPr="00884D39">
        <w:rPr>
          <w:rFonts w:ascii="Book Antiqua" w:hAnsi="Book Antiqua" w:cs="Arial"/>
          <w:color w:val="000000"/>
        </w:rPr>
        <w:t>material</w:t>
      </w:r>
      <w:r w:rsidR="00FC5190" w:rsidRPr="00884D39">
        <w:rPr>
          <w:rFonts w:ascii="Book Antiqua" w:hAnsi="Book Antiqua" w:cs="Arial"/>
          <w:color w:val="000000"/>
        </w:rPr>
        <w:t>,</w:t>
      </w:r>
      <w:r w:rsidR="00846217" w:rsidRPr="00884D39">
        <w:rPr>
          <w:rFonts w:ascii="Book Antiqua" w:hAnsi="Book Antiqua" w:cs="Arial"/>
          <w:color w:val="000000"/>
        </w:rPr>
        <w:t xml:space="preserve"> because the </w:t>
      </w:r>
      <w:r w:rsidR="00FC5190" w:rsidRPr="00884D39">
        <w:rPr>
          <w:rFonts w:ascii="Book Antiqua" w:hAnsi="Book Antiqua" w:cs="Arial"/>
          <w:color w:val="000000"/>
        </w:rPr>
        <w:t>J</w:t>
      </w:r>
      <w:r w:rsidR="00846217" w:rsidRPr="00884D39">
        <w:rPr>
          <w:rFonts w:ascii="Book Antiqua" w:hAnsi="Book Antiqua" w:cs="Arial"/>
          <w:color w:val="000000"/>
        </w:rPr>
        <w:t>udge</w:t>
      </w:r>
      <w:r w:rsidR="00FC5190" w:rsidRPr="00884D39">
        <w:rPr>
          <w:rFonts w:ascii="Book Antiqua" w:hAnsi="Book Antiqua" w:cs="Arial"/>
          <w:color w:val="000000"/>
        </w:rPr>
        <w:t>’</w:t>
      </w:r>
      <w:r w:rsidR="00846217" w:rsidRPr="00884D39">
        <w:rPr>
          <w:rFonts w:ascii="Book Antiqua" w:hAnsi="Book Antiqua" w:cs="Arial"/>
          <w:color w:val="000000"/>
        </w:rPr>
        <w:t>s proportionality assessment has been properly carried out</w:t>
      </w:r>
      <w:r w:rsidR="00FC5190" w:rsidRPr="00884D39">
        <w:rPr>
          <w:rFonts w:ascii="Book Antiqua" w:hAnsi="Book Antiqua" w:cs="Arial"/>
          <w:color w:val="000000"/>
        </w:rPr>
        <w:t>.</w:t>
      </w:r>
    </w:p>
    <w:p w:rsidR="00846217" w:rsidRPr="00884D39" w:rsidRDefault="00846217" w:rsidP="0017268B">
      <w:pPr>
        <w:jc w:val="both"/>
        <w:rPr>
          <w:rFonts w:ascii="Book Antiqua" w:hAnsi="Book Antiqua" w:cs="Arial"/>
          <w:color w:val="000000"/>
        </w:rPr>
      </w:pPr>
    </w:p>
    <w:p w:rsidR="00846217" w:rsidRPr="00884D39" w:rsidRDefault="00846217" w:rsidP="0017268B">
      <w:pPr>
        <w:jc w:val="both"/>
        <w:rPr>
          <w:rFonts w:ascii="Book Antiqua" w:hAnsi="Book Antiqua" w:cs="Arial"/>
          <w:color w:val="000000"/>
        </w:rPr>
      </w:pPr>
      <w:r w:rsidRPr="00884D39">
        <w:rPr>
          <w:rFonts w:ascii="Book Antiqua" w:hAnsi="Book Antiqua" w:cs="Arial"/>
          <w:color w:val="000000"/>
        </w:rPr>
        <w:t xml:space="preserve">(b) Mr Mills told me that at </w:t>
      </w:r>
      <w:r w:rsidR="00FC5190" w:rsidRPr="00884D39">
        <w:rPr>
          <w:rFonts w:ascii="Book Antiqua" w:hAnsi="Book Antiqua" w:cs="Arial"/>
          <w:color w:val="000000"/>
        </w:rPr>
        <w:t>[4]</w:t>
      </w:r>
      <w:r w:rsidRPr="00884D39">
        <w:rPr>
          <w:rFonts w:ascii="Book Antiqua" w:hAnsi="Book Antiqua" w:cs="Arial"/>
          <w:color w:val="000000"/>
        </w:rPr>
        <w:t xml:space="preserve"> the </w:t>
      </w:r>
      <w:r w:rsidR="00FC5190" w:rsidRPr="00884D39">
        <w:rPr>
          <w:rFonts w:ascii="Book Antiqua" w:hAnsi="Book Antiqua" w:cs="Arial"/>
          <w:color w:val="000000"/>
        </w:rPr>
        <w:t>J</w:t>
      </w:r>
      <w:r w:rsidRPr="00884D39">
        <w:rPr>
          <w:rFonts w:ascii="Book Antiqua" w:hAnsi="Book Antiqua" w:cs="Arial"/>
          <w:color w:val="000000"/>
        </w:rPr>
        <w:t xml:space="preserve">udge clearly states that he took account of the documentary evidence produced for the appellant. At </w:t>
      </w:r>
      <w:r w:rsidR="00FC5190" w:rsidRPr="00884D39">
        <w:rPr>
          <w:rFonts w:ascii="Book Antiqua" w:hAnsi="Book Antiqua" w:cs="Arial"/>
          <w:color w:val="000000"/>
        </w:rPr>
        <w:t>[</w:t>
      </w:r>
      <w:r w:rsidRPr="00884D39">
        <w:rPr>
          <w:rFonts w:ascii="Book Antiqua" w:hAnsi="Book Antiqua" w:cs="Arial"/>
          <w:color w:val="000000"/>
        </w:rPr>
        <w:t>25</w:t>
      </w:r>
      <w:r w:rsidR="00FC5190" w:rsidRPr="00884D39">
        <w:rPr>
          <w:rFonts w:ascii="Book Antiqua" w:hAnsi="Book Antiqua" w:cs="Arial"/>
          <w:color w:val="000000"/>
        </w:rPr>
        <w:t>]</w:t>
      </w:r>
      <w:r w:rsidRPr="00884D39">
        <w:rPr>
          <w:rFonts w:ascii="Book Antiqua" w:hAnsi="Book Antiqua" w:cs="Arial"/>
          <w:color w:val="000000"/>
        </w:rPr>
        <w:t xml:space="preserve"> the </w:t>
      </w:r>
      <w:r w:rsidR="00FC5190" w:rsidRPr="00884D39">
        <w:rPr>
          <w:rFonts w:ascii="Book Antiqua" w:hAnsi="Book Antiqua" w:cs="Arial"/>
          <w:color w:val="000000"/>
        </w:rPr>
        <w:t>J</w:t>
      </w:r>
      <w:r w:rsidRPr="00884D39">
        <w:rPr>
          <w:rFonts w:ascii="Book Antiqua" w:hAnsi="Book Antiqua" w:cs="Arial"/>
          <w:color w:val="000000"/>
        </w:rPr>
        <w:t>udge clearly considers section 117B, and i</w:t>
      </w:r>
      <w:r w:rsidR="00FC5190" w:rsidRPr="00884D39">
        <w:rPr>
          <w:rFonts w:ascii="Book Antiqua" w:hAnsi="Book Antiqua" w:cs="Arial"/>
          <w:color w:val="000000"/>
        </w:rPr>
        <w:t>nso</w:t>
      </w:r>
      <w:r w:rsidRPr="00884D39">
        <w:rPr>
          <w:rFonts w:ascii="Book Antiqua" w:hAnsi="Book Antiqua" w:cs="Arial"/>
          <w:color w:val="000000"/>
        </w:rPr>
        <w:t xml:space="preserve">far as he made an error </w:t>
      </w:r>
      <w:r w:rsidR="00FC5190" w:rsidRPr="00884D39">
        <w:rPr>
          <w:rFonts w:ascii="Book Antiqua" w:hAnsi="Book Antiqua" w:cs="Arial"/>
          <w:color w:val="000000"/>
        </w:rPr>
        <w:t>i</w:t>
      </w:r>
      <w:r w:rsidRPr="00884D39">
        <w:rPr>
          <w:rFonts w:ascii="Book Antiqua" w:hAnsi="Book Antiqua" w:cs="Arial"/>
          <w:color w:val="000000"/>
        </w:rPr>
        <w:t>n the application of section 117</w:t>
      </w:r>
      <w:proofErr w:type="gramStart"/>
      <w:r w:rsidRPr="00884D39">
        <w:rPr>
          <w:rFonts w:ascii="Book Antiqua" w:hAnsi="Book Antiqua" w:cs="Arial"/>
          <w:color w:val="000000"/>
        </w:rPr>
        <w:t>B</w:t>
      </w:r>
      <w:r w:rsidR="00FC5190" w:rsidRPr="00884D39">
        <w:rPr>
          <w:rFonts w:ascii="Book Antiqua" w:hAnsi="Book Antiqua" w:cs="Arial"/>
          <w:color w:val="000000"/>
        </w:rPr>
        <w:t>(</w:t>
      </w:r>
      <w:proofErr w:type="gramEnd"/>
      <w:r w:rsidRPr="00884D39">
        <w:rPr>
          <w:rFonts w:ascii="Book Antiqua" w:hAnsi="Book Antiqua" w:cs="Arial"/>
          <w:color w:val="000000"/>
        </w:rPr>
        <w:t>6</w:t>
      </w:r>
      <w:r w:rsidR="00FC5190" w:rsidRPr="00884D39">
        <w:rPr>
          <w:rFonts w:ascii="Book Antiqua" w:hAnsi="Book Antiqua" w:cs="Arial"/>
          <w:color w:val="000000"/>
        </w:rPr>
        <w:t>),</w:t>
      </w:r>
      <w:r w:rsidRPr="00884D39">
        <w:rPr>
          <w:rFonts w:ascii="Book Antiqua" w:hAnsi="Book Antiqua" w:cs="Arial"/>
          <w:color w:val="000000"/>
        </w:rPr>
        <w:t xml:space="preserve"> that error favours the appellant.</w:t>
      </w:r>
    </w:p>
    <w:p w:rsidR="00846217" w:rsidRPr="00884D39" w:rsidRDefault="00846217" w:rsidP="0017268B">
      <w:pPr>
        <w:jc w:val="both"/>
        <w:rPr>
          <w:rFonts w:ascii="Book Antiqua" w:hAnsi="Book Antiqua" w:cs="Arial"/>
          <w:color w:val="000000"/>
        </w:rPr>
      </w:pPr>
    </w:p>
    <w:p w:rsidR="00846217" w:rsidRPr="00884D39" w:rsidRDefault="00846217" w:rsidP="0017268B">
      <w:pPr>
        <w:jc w:val="both"/>
        <w:rPr>
          <w:rFonts w:ascii="Book Antiqua" w:hAnsi="Book Antiqua" w:cs="Arial"/>
          <w:color w:val="000000"/>
        </w:rPr>
      </w:pPr>
      <w:r w:rsidRPr="00884D39">
        <w:rPr>
          <w:rFonts w:ascii="Book Antiqua" w:hAnsi="Book Antiqua" w:cs="Arial"/>
          <w:color w:val="000000"/>
        </w:rPr>
        <w:t xml:space="preserve">(c) Mr Mills told me that the </w:t>
      </w:r>
      <w:r w:rsidR="00FC5190" w:rsidRPr="00884D39">
        <w:rPr>
          <w:rFonts w:ascii="Book Antiqua" w:hAnsi="Book Antiqua" w:cs="Arial"/>
          <w:color w:val="000000"/>
        </w:rPr>
        <w:t>J</w:t>
      </w:r>
      <w:r w:rsidRPr="00884D39">
        <w:rPr>
          <w:rFonts w:ascii="Book Antiqua" w:hAnsi="Book Antiqua" w:cs="Arial"/>
          <w:color w:val="000000"/>
        </w:rPr>
        <w:t xml:space="preserve">udge carefully weighed all of the evidence before reaching conclusions well within the range of conclusions available to the </w:t>
      </w:r>
      <w:r w:rsidR="00FC5190" w:rsidRPr="00884D39">
        <w:rPr>
          <w:rFonts w:ascii="Book Antiqua" w:hAnsi="Book Antiqua" w:cs="Arial"/>
          <w:color w:val="000000"/>
        </w:rPr>
        <w:t>J</w:t>
      </w:r>
      <w:r w:rsidRPr="00884D39">
        <w:rPr>
          <w:rFonts w:ascii="Book Antiqua" w:hAnsi="Book Antiqua" w:cs="Arial"/>
          <w:color w:val="000000"/>
        </w:rPr>
        <w:t xml:space="preserve">udge. He urged me to dismiss the appeal and allow the </w:t>
      </w:r>
      <w:r w:rsidR="00FC5190" w:rsidRPr="00884D39">
        <w:rPr>
          <w:rFonts w:ascii="Book Antiqua" w:hAnsi="Book Antiqua" w:cs="Arial"/>
          <w:color w:val="000000"/>
        </w:rPr>
        <w:t>J</w:t>
      </w:r>
      <w:r w:rsidRPr="00884D39">
        <w:rPr>
          <w:rFonts w:ascii="Book Antiqua" w:hAnsi="Book Antiqua" w:cs="Arial"/>
          <w:color w:val="000000"/>
        </w:rPr>
        <w:t>udge’s decision to stand.</w:t>
      </w:r>
    </w:p>
    <w:p w:rsidR="00846217" w:rsidRPr="00884D39" w:rsidRDefault="00846217" w:rsidP="0017268B">
      <w:pPr>
        <w:jc w:val="both"/>
        <w:rPr>
          <w:rFonts w:ascii="Book Antiqua" w:hAnsi="Book Antiqua" w:cs="Arial"/>
          <w:color w:val="000000"/>
        </w:rPr>
      </w:pPr>
    </w:p>
    <w:p w:rsidR="00846217" w:rsidRPr="00884D39" w:rsidRDefault="00846217" w:rsidP="0017268B">
      <w:pPr>
        <w:jc w:val="both"/>
        <w:rPr>
          <w:rFonts w:ascii="Book Antiqua" w:hAnsi="Book Antiqua" w:cs="Arial"/>
          <w:color w:val="000000"/>
          <w:u w:val="single"/>
        </w:rPr>
      </w:pPr>
      <w:r w:rsidRPr="00884D39">
        <w:rPr>
          <w:rFonts w:ascii="Book Antiqua" w:hAnsi="Book Antiqua" w:cs="Arial"/>
          <w:color w:val="000000"/>
          <w:u w:val="single"/>
        </w:rPr>
        <w:t>Analysis</w:t>
      </w:r>
    </w:p>
    <w:p w:rsidR="00846217" w:rsidRPr="00884D39" w:rsidRDefault="00846217" w:rsidP="0017268B">
      <w:pPr>
        <w:jc w:val="both"/>
        <w:rPr>
          <w:rFonts w:ascii="Book Antiqua" w:hAnsi="Book Antiqua" w:cs="Arial"/>
          <w:color w:val="000000"/>
        </w:rPr>
      </w:pPr>
    </w:p>
    <w:p w:rsidR="00846217" w:rsidRPr="00884D39" w:rsidRDefault="00846217" w:rsidP="0017268B">
      <w:pPr>
        <w:jc w:val="both"/>
        <w:rPr>
          <w:rFonts w:ascii="Book Antiqua" w:hAnsi="Book Antiqua" w:cs="Arial"/>
          <w:color w:val="000000"/>
        </w:rPr>
      </w:pPr>
      <w:r w:rsidRPr="00884D39">
        <w:rPr>
          <w:rFonts w:ascii="Book Antiqua" w:hAnsi="Book Antiqua" w:cs="Arial"/>
          <w:color w:val="000000"/>
        </w:rPr>
        <w:t>7.</w:t>
      </w:r>
      <w:r w:rsidR="0095066E" w:rsidRPr="00884D39">
        <w:rPr>
          <w:rFonts w:ascii="Book Antiqua" w:hAnsi="Book Antiqua" w:cs="Arial"/>
          <w:color w:val="000000"/>
        </w:rPr>
        <w:t xml:space="preserve"> </w:t>
      </w:r>
      <w:r w:rsidR="00FC5190" w:rsidRPr="00884D39">
        <w:rPr>
          <w:rFonts w:ascii="Book Antiqua" w:hAnsi="Book Antiqua" w:cs="Arial"/>
          <w:color w:val="000000"/>
        </w:rPr>
        <w:t xml:space="preserve">The </w:t>
      </w:r>
      <w:r w:rsidR="0095066E" w:rsidRPr="00884D39">
        <w:rPr>
          <w:rFonts w:ascii="Book Antiqua" w:hAnsi="Book Antiqua" w:cs="Arial"/>
          <w:color w:val="000000"/>
        </w:rPr>
        <w:t>Judge</w:t>
      </w:r>
      <w:r w:rsidR="00FC5190" w:rsidRPr="00884D39">
        <w:rPr>
          <w:rFonts w:ascii="Book Antiqua" w:hAnsi="Book Antiqua" w:cs="Arial"/>
          <w:color w:val="000000"/>
        </w:rPr>
        <w:t>’</w:t>
      </w:r>
      <w:r w:rsidR="0095066E" w:rsidRPr="00884D39">
        <w:rPr>
          <w:rFonts w:ascii="Book Antiqua" w:hAnsi="Book Antiqua" w:cs="Arial"/>
          <w:color w:val="000000"/>
        </w:rPr>
        <w:t>s decision is brief. He s</w:t>
      </w:r>
      <w:r w:rsidR="00FC5190" w:rsidRPr="00884D39">
        <w:rPr>
          <w:rFonts w:ascii="Book Antiqua" w:hAnsi="Book Antiqua" w:cs="Arial"/>
          <w:color w:val="000000"/>
        </w:rPr>
        <w:t>ets out</w:t>
      </w:r>
      <w:r w:rsidR="0095066E" w:rsidRPr="00884D39">
        <w:rPr>
          <w:rFonts w:ascii="Book Antiqua" w:hAnsi="Book Antiqua" w:cs="Arial"/>
          <w:color w:val="000000"/>
        </w:rPr>
        <w:t xml:space="preserve"> his findings in </w:t>
      </w:r>
      <w:r w:rsidR="00FC5190" w:rsidRPr="00884D39">
        <w:rPr>
          <w:rFonts w:ascii="Book Antiqua" w:hAnsi="Book Antiqua" w:cs="Arial"/>
          <w:color w:val="000000"/>
        </w:rPr>
        <w:t>an almost</w:t>
      </w:r>
      <w:r w:rsidR="0095066E" w:rsidRPr="00884D39">
        <w:rPr>
          <w:rFonts w:ascii="Book Antiqua" w:hAnsi="Book Antiqua" w:cs="Arial"/>
          <w:color w:val="000000"/>
        </w:rPr>
        <w:t xml:space="preserve"> staccato style between </w:t>
      </w:r>
      <w:r w:rsidR="00FC5190" w:rsidRPr="00884D39">
        <w:rPr>
          <w:rFonts w:ascii="Book Antiqua" w:hAnsi="Book Antiqua" w:cs="Arial"/>
          <w:color w:val="000000"/>
        </w:rPr>
        <w:t>[7]</w:t>
      </w:r>
      <w:r w:rsidR="0095066E" w:rsidRPr="00884D39">
        <w:rPr>
          <w:rFonts w:ascii="Book Antiqua" w:hAnsi="Book Antiqua" w:cs="Arial"/>
          <w:color w:val="000000"/>
        </w:rPr>
        <w:t xml:space="preserve"> and </w:t>
      </w:r>
      <w:r w:rsidR="00FC5190" w:rsidRPr="00884D39">
        <w:rPr>
          <w:rFonts w:ascii="Book Antiqua" w:hAnsi="Book Antiqua" w:cs="Arial"/>
          <w:color w:val="000000"/>
        </w:rPr>
        <w:t>[</w:t>
      </w:r>
      <w:r w:rsidR="0095066E" w:rsidRPr="00884D39">
        <w:rPr>
          <w:rFonts w:ascii="Book Antiqua" w:hAnsi="Book Antiqua" w:cs="Arial"/>
          <w:color w:val="000000"/>
        </w:rPr>
        <w:t>17</w:t>
      </w:r>
      <w:r w:rsidR="00FC5190" w:rsidRPr="00884D39">
        <w:rPr>
          <w:rFonts w:ascii="Book Antiqua" w:hAnsi="Book Antiqua" w:cs="Arial"/>
          <w:color w:val="000000"/>
        </w:rPr>
        <w:t>]</w:t>
      </w:r>
      <w:r w:rsidR="0095066E" w:rsidRPr="00884D39">
        <w:rPr>
          <w:rFonts w:ascii="Book Antiqua" w:hAnsi="Book Antiqua" w:cs="Arial"/>
          <w:color w:val="000000"/>
        </w:rPr>
        <w:t xml:space="preserve"> of the decision, and those findings </w:t>
      </w:r>
      <w:r w:rsidR="00FC5190" w:rsidRPr="00884D39">
        <w:rPr>
          <w:rFonts w:ascii="Book Antiqua" w:hAnsi="Book Antiqua" w:cs="Arial"/>
          <w:color w:val="000000"/>
        </w:rPr>
        <w:t>dwell</w:t>
      </w:r>
      <w:r w:rsidR="0095066E" w:rsidRPr="00884D39">
        <w:rPr>
          <w:rFonts w:ascii="Book Antiqua" w:hAnsi="Book Antiqua" w:cs="Arial"/>
          <w:color w:val="000000"/>
        </w:rPr>
        <w:t xml:space="preserve"> on whether or not the appellant establishes 10 years continuous lawful residence in the UK. The </w:t>
      </w:r>
      <w:r w:rsidR="006122EC" w:rsidRPr="00884D39">
        <w:rPr>
          <w:rFonts w:ascii="Book Antiqua" w:hAnsi="Book Antiqua" w:cs="Arial"/>
          <w:color w:val="000000"/>
        </w:rPr>
        <w:t>J</w:t>
      </w:r>
      <w:r w:rsidR="0095066E" w:rsidRPr="00884D39">
        <w:rPr>
          <w:rFonts w:ascii="Book Antiqua" w:hAnsi="Book Antiqua" w:cs="Arial"/>
          <w:color w:val="000000"/>
        </w:rPr>
        <w:t>udge continues to</w:t>
      </w:r>
      <w:r w:rsidR="006122EC" w:rsidRPr="00884D39">
        <w:rPr>
          <w:rFonts w:ascii="Book Antiqua" w:hAnsi="Book Antiqua" w:cs="Arial"/>
          <w:color w:val="000000"/>
        </w:rPr>
        <w:t xml:space="preserve"> a</w:t>
      </w:r>
      <w:r w:rsidR="0095066E" w:rsidRPr="00884D39">
        <w:rPr>
          <w:rFonts w:ascii="Book Antiqua" w:hAnsi="Book Antiqua" w:cs="Arial"/>
          <w:color w:val="000000"/>
        </w:rPr>
        <w:t xml:space="preserve"> proportionality assessment with the same brevity. At </w:t>
      </w:r>
      <w:r w:rsidR="006122EC" w:rsidRPr="00884D39">
        <w:rPr>
          <w:rFonts w:ascii="Book Antiqua" w:hAnsi="Book Antiqua" w:cs="Arial"/>
          <w:color w:val="000000"/>
        </w:rPr>
        <w:t>[</w:t>
      </w:r>
      <w:r w:rsidR="0095066E" w:rsidRPr="00884D39">
        <w:rPr>
          <w:rFonts w:ascii="Book Antiqua" w:hAnsi="Book Antiqua" w:cs="Arial"/>
          <w:color w:val="000000"/>
        </w:rPr>
        <w:t>31</w:t>
      </w:r>
      <w:r w:rsidR="006122EC" w:rsidRPr="00884D39">
        <w:rPr>
          <w:rFonts w:ascii="Book Antiqua" w:hAnsi="Book Antiqua" w:cs="Arial"/>
          <w:color w:val="000000"/>
        </w:rPr>
        <w:t>]</w:t>
      </w:r>
      <w:r w:rsidR="0095066E" w:rsidRPr="00884D39">
        <w:rPr>
          <w:rFonts w:ascii="Book Antiqua" w:hAnsi="Book Antiqua" w:cs="Arial"/>
          <w:color w:val="000000"/>
        </w:rPr>
        <w:t xml:space="preserve"> the </w:t>
      </w:r>
      <w:r w:rsidR="006122EC" w:rsidRPr="00884D39">
        <w:rPr>
          <w:rFonts w:ascii="Book Antiqua" w:hAnsi="Book Antiqua" w:cs="Arial"/>
          <w:color w:val="000000"/>
        </w:rPr>
        <w:t>J</w:t>
      </w:r>
      <w:r w:rsidR="0095066E" w:rsidRPr="00884D39">
        <w:rPr>
          <w:rFonts w:ascii="Book Antiqua" w:hAnsi="Book Antiqua" w:cs="Arial"/>
          <w:color w:val="000000"/>
        </w:rPr>
        <w:t>udge clearly makes a mistake.</w:t>
      </w:r>
      <w:r w:rsidR="007A1A00" w:rsidRPr="00884D39">
        <w:rPr>
          <w:rFonts w:ascii="Book Antiqua" w:hAnsi="Book Antiqua" w:cs="Arial"/>
          <w:color w:val="000000"/>
        </w:rPr>
        <w:t xml:space="preserve"> It is apparent from the appellant’s bundle </w:t>
      </w:r>
      <w:r w:rsidR="006122EC" w:rsidRPr="00884D39">
        <w:rPr>
          <w:rFonts w:ascii="Book Antiqua" w:hAnsi="Book Antiqua" w:cs="Arial"/>
          <w:color w:val="000000"/>
        </w:rPr>
        <w:t>that</w:t>
      </w:r>
      <w:r w:rsidR="007A1A00" w:rsidRPr="00884D39">
        <w:rPr>
          <w:rFonts w:ascii="Book Antiqua" w:hAnsi="Book Antiqua" w:cs="Arial"/>
          <w:color w:val="000000"/>
        </w:rPr>
        <w:t xml:space="preserve"> a number of</w:t>
      </w:r>
      <w:r w:rsidR="006122EC" w:rsidRPr="00884D39">
        <w:rPr>
          <w:rFonts w:ascii="Book Antiqua" w:hAnsi="Book Antiqua" w:cs="Arial"/>
          <w:color w:val="000000"/>
        </w:rPr>
        <w:t xml:space="preserve"> his</w:t>
      </w:r>
      <w:r w:rsidR="007A1A00" w:rsidRPr="00884D39">
        <w:rPr>
          <w:rFonts w:ascii="Book Antiqua" w:hAnsi="Book Antiqua" w:cs="Arial"/>
          <w:color w:val="000000"/>
        </w:rPr>
        <w:t xml:space="preserve"> cousins</w:t>
      </w:r>
      <w:r w:rsidR="006122EC" w:rsidRPr="00884D39">
        <w:rPr>
          <w:rFonts w:ascii="Book Antiqua" w:hAnsi="Book Antiqua" w:cs="Arial"/>
          <w:color w:val="000000"/>
        </w:rPr>
        <w:t>,</w:t>
      </w:r>
      <w:r w:rsidR="007A1A00" w:rsidRPr="00884D39">
        <w:rPr>
          <w:rFonts w:ascii="Book Antiqua" w:hAnsi="Book Antiqua" w:cs="Arial"/>
          <w:color w:val="000000"/>
        </w:rPr>
        <w:t xml:space="preserve"> uncles</w:t>
      </w:r>
      <w:r w:rsidR="006122EC" w:rsidRPr="00884D39">
        <w:rPr>
          <w:rFonts w:ascii="Book Antiqua" w:hAnsi="Book Antiqua" w:cs="Arial"/>
          <w:color w:val="000000"/>
        </w:rPr>
        <w:t xml:space="preserve"> &amp; </w:t>
      </w:r>
      <w:r w:rsidR="007A1A00" w:rsidRPr="00884D39">
        <w:rPr>
          <w:rFonts w:ascii="Book Antiqua" w:hAnsi="Book Antiqua" w:cs="Arial"/>
          <w:color w:val="000000"/>
        </w:rPr>
        <w:t xml:space="preserve">other family members were identified to the </w:t>
      </w:r>
      <w:r w:rsidR="006122EC" w:rsidRPr="00884D39">
        <w:rPr>
          <w:rFonts w:ascii="Book Antiqua" w:hAnsi="Book Antiqua" w:cs="Arial"/>
          <w:color w:val="000000"/>
        </w:rPr>
        <w:t>J</w:t>
      </w:r>
      <w:r w:rsidR="007A1A00" w:rsidRPr="00884D39">
        <w:rPr>
          <w:rFonts w:ascii="Book Antiqua" w:hAnsi="Book Antiqua" w:cs="Arial"/>
          <w:color w:val="000000"/>
        </w:rPr>
        <w:t>udge.</w:t>
      </w:r>
    </w:p>
    <w:p w:rsidR="007A1A00" w:rsidRPr="00884D39" w:rsidRDefault="007A1A00" w:rsidP="0017268B">
      <w:pPr>
        <w:jc w:val="both"/>
        <w:rPr>
          <w:rFonts w:ascii="Book Antiqua" w:hAnsi="Book Antiqua" w:cs="Arial"/>
          <w:color w:val="000000"/>
        </w:rPr>
      </w:pPr>
    </w:p>
    <w:p w:rsidR="006122EC" w:rsidRPr="00884D39" w:rsidRDefault="007A1A00" w:rsidP="006122EC">
      <w:pPr>
        <w:jc w:val="both"/>
        <w:rPr>
          <w:rFonts w:ascii="Book Antiqua" w:hAnsi="Book Antiqua" w:cs="Arial"/>
          <w:lang w:val="en-US"/>
        </w:rPr>
      </w:pPr>
      <w:r w:rsidRPr="00884D39">
        <w:rPr>
          <w:rFonts w:ascii="Book Antiqua" w:hAnsi="Book Antiqua" w:cs="Arial"/>
          <w:color w:val="000000"/>
        </w:rPr>
        <w:t xml:space="preserve">8. </w:t>
      </w:r>
      <w:r w:rsidR="006122EC" w:rsidRPr="00884D39">
        <w:rPr>
          <w:rFonts w:ascii="Book Antiqua" w:hAnsi="Book Antiqua" w:cs="Arial"/>
          <w:bCs/>
          <w:iCs/>
        </w:rPr>
        <w:t xml:space="preserve">In </w:t>
      </w:r>
      <w:r w:rsidR="006122EC" w:rsidRPr="00884D39">
        <w:rPr>
          <w:rFonts w:ascii="Book Antiqua" w:hAnsi="Book Antiqua" w:cs="Arial"/>
          <w:bCs/>
          <w:iCs/>
          <w:u w:val="single"/>
        </w:rPr>
        <w:t>MK (duty to give reasons) Pakistan</w:t>
      </w:r>
      <w:r w:rsidR="006122EC" w:rsidRPr="00884D39">
        <w:rPr>
          <w:rFonts w:ascii="Book Antiqua" w:hAnsi="Book Antiqua" w:cs="Arial"/>
          <w:bCs/>
          <w:iCs/>
        </w:rPr>
        <w:t xml:space="preserve"> </w:t>
      </w:r>
      <w:r w:rsidR="006122EC" w:rsidRPr="00884D39">
        <w:rPr>
          <w:rFonts w:ascii="Book Antiqua" w:hAnsi="Book Antiqua" w:cs="Arial"/>
          <w:bCs/>
        </w:rPr>
        <w:t>[2013] UKUT 00641 (IAC)</w:t>
      </w:r>
      <w:r w:rsidR="006122EC" w:rsidRPr="00884D39">
        <w:rPr>
          <w:rFonts w:ascii="Book Antiqua" w:hAnsi="Book Antiqua" w:cs="Arial"/>
        </w:rPr>
        <w:t>, it was held that (</w:t>
      </w:r>
      <w:proofErr w:type="spellStart"/>
      <w:r w:rsidR="006122EC" w:rsidRPr="00884D39">
        <w:rPr>
          <w:rFonts w:ascii="Book Antiqua" w:hAnsi="Book Antiqua" w:cs="Arial"/>
        </w:rPr>
        <w:t>i</w:t>
      </w:r>
      <w:proofErr w:type="spellEnd"/>
      <w:r w:rsidR="006122EC" w:rsidRPr="00884D39">
        <w:rPr>
          <w:rFonts w:ascii="Book Antiqua" w:hAnsi="Book Antiqua" w:cs="Arial"/>
        </w:rPr>
        <w:t>) It was axiomatic that a determination disclosed clearly the reasons for a tribunal’s decision. (ii) If a tribunal found oral evidence to be implausible, incredible or unreliable or a document to be worth no weight whatsoever, it was necessary to say so in the determination and for such findings to be supported by reasons. A bare statement that a witness was not believed or that a document was afforded no weight was unlikely to satisfy the requirement to give reasons.</w:t>
      </w:r>
    </w:p>
    <w:p w:rsidR="007A1A00" w:rsidRPr="00884D39" w:rsidRDefault="007A1A00" w:rsidP="0017268B">
      <w:pPr>
        <w:jc w:val="both"/>
        <w:rPr>
          <w:rFonts w:ascii="Book Antiqua" w:hAnsi="Book Antiqua" w:cs="Arial"/>
          <w:color w:val="000000"/>
        </w:rPr>
      </w:pPr>
    </w:p>
    <w:p w:rsidR="007A1A00" w:rsidRPr="00884D39" w:rsidRDefault="007A1A00" w:rsidP="0017268B">
      <w:pPr>
        <w:jc w:val="both"/>
        <w:rPr>
          <w:rFonts w:ascii="Book Antiqua" w:hAnsi="Book Antiqua" w:cs="Arial"/>
          <w:color w:val="000000"/>
        </w:rPr>
      </w:pPr>
      <w:r w:rsidRPr="00884D39">
        <w:rPr>
          <w:rFonts w:ascii="Book Antiqua" w:hAnsi="Book Antiqua" w:cs="Arial"/>
          <w:color w:val="000000"/>
        </w:rPr>
        <w:t xml:space="preserve">9. The decision contains an error of law because the </w:t>
      </w:r>
      <w:r w:rsidR="006122EC" w:rsidRPr="00884D39">
        <w:rPr>
          <w:rFonts w:ascii="Book Antiqua" w:hAnsi="Book Antiqua" w:cs="Arial"/>
          <w:color w:val="000000"/>
        </w:rPr>
        <w:t>J</w:t>
      </w:r>
      <w:r w:rsidRPr="00884D39">
        <w:rPr>
          <w:rFonts w:ascii="Book Antiqua" w:hAnsi="Book Antiqua" w:cs="Arial"/>
          <w:color w:val="000000"/>
        </w:rPr>
        <w:t>udge’s decision is not fully reasoned, but I consider the materiality of the error.</w:t>
      </w:r>
    </w:p>
    <w:p w:rsidR="007A1A00" w:rsidRPr="00884D39" w:rsidRDefault="007A1A00" w:rsidP="0017268B">
      <w:pPr>
        <w:jc w:val="both"/>
        <w:rPr>
          <w:rFonts w:ascii="Book Antiqua" w:hAnsi="Book Antiqua" w:cs="Arial"/>
          <w:color w:val="000000"/>
        </w:rPr>
      </w:pPr>
    </w:p>
    <w:p w:rsidR="007A1A00" w:rsidRPr="00884D39" w:rsidRDefault="007A1A00" w:rsidP="0017268B">
      <w:pPr>
        <w:jc w:val="both"/>
        <w:rPr>
          <w:rFonts w:ascii="Book Antiqua" w:hAnsi="Book Antiqua" w:cs="Arial"/>
          <w:color w:val="000000"/>
        </w:rPr>
      </w:pPr>
      <w:r w:rsidRPr="00884D39">
        <w:rPr>
          <w:rFonts w:ascii="Book Antiqua" w:hAnsi="Book Antiqua" w:cs="Arial"/>
          <w:color w:val="000000"/>
        </w:rPr>
        <w:t>10. Family life within the meaning of article 8 does not exist for the appellant. On the appellant’s own evidence</w:t>
      </w:r>
      <w:r w:rsidR="006122EC" w:rsidRPr="00884D39">
        <w:rPr>
          <w:rFonts w:ascii="Book Antiqua" w:hAnsi="Book Antiqua" w:cs="Arial"/>
          <w:color w:val="000000"/>
        </w:rPr>
        <w:t>,</w:t>
      </w:r>
      <w:r w:rsidRPr="00884D39">
        <w:rPr>
          <w:rFonts w:ascii="Book Antiqua" w:hAnsi="Book Antiqua" w:cs="Arial"/>
          <w:color w:val="000000"/>
        </w:rPr>
        <w:t xml:space="preserve"> he is single and has no dependents. The relatives who write in support of the appellant are cousins and uncles. There is no evidence of dependency </w:t>
      </w:r>
      <w:r w:rsidRPr="00884D39">
        <w:rPr>
          <w:rFonts w:ascii="Book Antiqua" w:hAnsi="Book Antiqua" w:cs="Arial"/>
          <w:color w:val="000000"/>
        </w:rPr>
        <w:lastRenderedPageBreak/>
        <w:t xml:space="preserve">between the appellant and those relatives. The appellant is an independent adult who has not yet started his own family. Without evidence of </w:t>
      </w:r>
      <w:r w:rsidR="006122EC" w:rsidRPr="00884D39">
        <w:rPr>
          <w:rFonts w:ascii="Book Antiqua" w:hAnsi="Book Antiqua" w:cs="Arial"/>
          <w:color w:val="000000"/>
        </w:rPr>
        <w:t>a</w:t>
      </w:r>
      <w:r w:rsidRPr="00884D39">
        <w:rPr>
          <w:rFonts w:ascii="Book Antiqua" w:hAnsi="Book Antiqua" w:cs="Arial"/>
          <w:color w:val="000000"/>
        </w:rPr>
        <w:t xml:space="preserve"> degree of dependency</w:t>
      </w:r>
      <w:r w:rsidR="006122EC" w:rsidRPr="00884D39">
        <w:rPr>
          <w:rFonts w:ascii="Book Antiqua" w:hAnsi="Book Antiqua" w:cs="Arial"/>
          <w:color w:val="000000"/>
        </w:rPr>
        <w:t>,</w:t>
      </w:r>
      <w:r w:rsidRPr="00884D39">
        <w:rPr>
          <w:rFonts w:ascii="Book Antiqua" w:hAnsi="Book Antiqua" w:cs="Arial"/>
          <w:color w:val="000000"/>
        </w:rPr>
        <w:t xml:space="preserve"> article 8 family life cannot be established. The friends and relatives who voice their support for the appellant form</w:t>
      </w:r>
      <w:r w:rsidR="006122EC" w:rsidRPr="00884D39">
        <w:rPr>
          <w:rFonts w:ascii="Book Antiqua" w:hAnsi="Book Antiqua" w:cs="Arial"/>
          <w:color w:val="000000"/>
        </w:rPr>
        <w:t xml:space="preserve"> only</w:t>
      </w:r>
      <w:r w:rsidRPr="00884D39">
        <w:rPr>
          <w:rFonts w:ascii="Book Antiqua" w:hAnsi="Book Antiqua" w:cs="Arial"/>
          <w:color w:val="000000"/>
        </w:rPr>
        <w:t xml:space="preserve"> an aspect of the appellants private life</w:t>
      </w:r>
      <w:r w:rsidR="006122EC" w:rsidRPr="00884D39">
        <w:rPr>
          <w:rFonts w:ascii="Book Antiqua" w:hAnsi="Book Antiqua" w:cs="Arial"/>
          <w:color w:val="000000"/>
        </w:rPr>
        <w:t xml:space="preserve"> in the</w:t>
      </w:r>
      <w:r w:rsidRPr="00884D39">
        <w:rPr>
          <w:rFonts w:ascii="Book Antiqua" w:hAnsi="Book Antiqua" w:cs="Arial"/>
          <w:color w:val="000000"/>
        </w:rPr>
        <w:t xml:space="preserve"> UK. </w:t>
      </w:r>
    </w:p>
    <w:p w:rsidR="007A1A00" w:rsidRPr="00884D39" w:rsidRDefault="007A1A00" w:rsidP="0017268B">
      <w:pPr>
        <w:jc w:val="both"/>
        <w:rPr>
          <w:rFonts w:ascii="Book Antiqua" w:hAnsi="Book Antiqua" w:cs="Arial"/>
          <w:color w:val="000000"/>
        </w:rPr>
      </w:pPr>
    </w:p>
    <w:p w:rsidR="007A1A00" w:rsidRPr="00884D39" w:rsidRDefault="007A1A00" w:rsidP="0017268B">
      <w:pPr>
        <w:jc w:val="both"/>
        <w:rPr>
          <w:rFonts w:ascii="Book Antiqua" w:hAnsi="Book Antiqua" w:cs="Arial"/>
          <w:color w:val="000000"/>
        </w:rPr>
      </w:pPr>
      <w:r w:rsidRPr="00884D39">
        <w:rPr>
          <w:rFonts w:ascii="Book Antiqua" w:hAnsi="Book Antiqua" w:cs="Arial"/>
          <w:color w:val="000000"/>
        </w:rPr>
        <w:t>11. The grounds of appeal tacitly accept that the appellant cannot establish 10 years continuous lawful residence. Because of the appellant’s age and the length of time that he’s been in the UK he cannot meet the requirements of paragraph 276 ADE(1)(</w:t>
      </w:r>
      <w:proofErr w:type="spellStart"/>
      <w:r w:rsidRPr="00884D39">
        <w:rPr>
          <w:rFonts w:ascii="Book Antiqua" w:hAnsi="Book Antiqua" w:cs="Arial"/>
          <w:color w:val="000000"/>
        </w:rPr>
        <w:t>i</w:t>
      </w:r>
      <w:proofErr w:type="spellEnd"/>
      <w:r w:rsidRPr="00884D39">
        <w:rPr>
          <w:rFonts w:ascii="Book Antiqua" w:hAnsi="Book Antiqua" w:cs="Arial"/>
          <w:color w:val="000000"/>
        </w:rPr>
        <w:t>) to (v)</w:t>
      </w:r>
    </w:p>
    <w:p w:rsidR="00706781" w:rsidRPr="00884D39" w:rsidRDefault="00706781" w:rsidP="0017268B">
      <w:pPr>
        <w:jc w:val="both"/>
        <w:rPr>
          <w:rFonts w:ascii="Book Antiqua" w:hAnsi="Book Antiqua" w:cs="Arial"/>
          <w:color w:val="000000"/>
        </w:rPr>
      </w:pPr>
    </w:p>
    <w:p w:rsidR="006122EC" w:rsidRPr="00884D39" w:rsidRDefault="007A1A00" w:rsidP="006122EC">
      <w:pPr>
        <w:jc w:val="both"/>
        <w:rPr>
          <w:rFonts w:ascii="Book Antiqua" w:hAnsi="Book Antiqua" w:cs="Arial"/>
        </w:rPr>
      </w:pPr>
      <w:r w:rsidRPr="00884D39">
        <w:rPr>
          <w:rFonts w:ascii="Book Antiqua" w:hAnsi="Book Antiqua" w:cs="Arial"/>
          <w:color w:val="000000"/>
        </w:rPr>
        <w:t xml:space="preserve">12. </w:t>
      </w:r>
      <w:r w:rsidR="00884D39">
        <w:rPr>
          <w:rFonts w:ascii="Book Antiqua" w:hAnsi="Book Antiqua" w:cs="Arial"/>
          <w:color w:val="000000"/>
        </w:rPr>
        <w:t>Very significant</w:t>
      </w:r>
      <w:r w:rsidRPr="00884D39">
        <w:rPr>
          <w:rFonts w:ascii="Book Antiqua" w:hAnsi="Book Antiqua" w:cs="Arial"/>
          <w:color w:val="000000"/>
        </w:rPr>
        <w:t xml:space="preserve"> obstacles to integration are not pled for the appellant. </w:t>
      </w:r>
      <w:proofErr w:type="gramStart"/>
      <w:r w:rsidR="006122EC" w:rsidRPr="00884D39">
        <w:rPr>
          <w:rFonts w:ascii="Book Antiqua" w:hAnsi="Book Antiqua" w:cs="Arial"/>
        </w:rPr>
        <w:t xml:space="preserve">In  </w:t>
      </w:r>
      <w:r w:rsidR="006122EC" w:rsidRPr="00884D39">
        <w:rPr>
          <w:rFonts w:ascii="Book Antiqua" w:hAnsi="Book Antiqua" w:cs="Arial"/>
          <w:u w:val="single"/>
        </w:rPr>
        <w:t>SSHD</w:t>
      </w:r>
      <w:proofErr w:type="gramEnd"/>
      <w:r w:rsidR="006122EC" w:rsidRPr="00884D39">
        <w:rPr>
          <w:rFonts w:ascii="Book Antiqua" w:hAnsi="Book Antiqua" w:cs="Arial"/>
          <w:u w:val="single"/>
        </w:rPr>
        <w:t xml:space="preserve"> v Kamara</w:t>
      </w:r>
      <w:r w:rsidR="006122EC" w:rsidRPr="00884D39">
        <w:rPr>
          <w:rFonts w:ascii="Book Antiqua" w:hAnsi="Book Antiqua" w:cs="Arial"/>
        </w:rPr>
        <w:t xml:space="preserve"> [2016] EWCA </w:t>
      </w:r>
      <w:proofErr w:type="spellStart"/>
      <w:r w:rsidR="006122EC" w:rsidRPr="00884D39">
        <w:rPr>
          <w:rFonts w:ascii="Book Antiqua" w:hAnsi="Book Antiqua" w:cs="Arial"/>
        </w:rPr>
        <w:t>Civ</w:t>
      </w:r>
      <w:proofErr w:type="spellEnd"/>
      <w:r w:rsidR="006122EC" w:rsidRPr="00884D39">
        <w:rPr>
          <w:rFonts w:ascii="Book Antiqua" w:hAnsi="Book Antiqua" w:cs="Arial"/>
        </w:rPr>
        <w:t xml:space="preserve"> 813 it was held that the concept of integration into a country was a broad one.  It was not confined to the mere ability to find a job or sustain life whilst living in the other country.  It would usually be sufficient for a court or tribunal to direct itself in the terms Parliament had chosen to use.  The idea of “integration” called for a broad evaluative judgment to be made as to whether the individual would be enough of an insider in terms of understanding how life in the society in that other country was carried on and a capacity to participate in it, so as to have a reasonable opportunity to be accepted there, to be able to operate on a day-to-day basis in that society and to build up within a reasonable time a variety of human relationships to give substance to the individual’s private and family life.</w:t>
      </w:r>
    </w:p>
    <w:p w:rsidR="006122EC" w:rsidRPr="00884D39" w:rsidRDefault="006122EC" w:rsidP="006122EC">
      <w:pPr>
        <w:jc w:val="both"/>
        <w:rPr>
          <w:rFonts w:ascii="Book Antiqua" w:hAnsi="Book Antiqua" w:cs="Arial"/>
        </w:rPr>
      </w:pPr>
    </w:p>
    <w:p w:rsidR="006122EC" w:rsidRPr="00884D39" w:rsidRDefault="006122EC" w:rsidP="006122EC">
      <w:pPr>
        <w:jc w:val="both"/>
        <w:rPr>
          <w:rFonts w:ascii="Book Antiqua" w:hAnsi="Book Antiqua" w:cs="Arial"/>
          <w:b/>
        </w:rPr>
      </w:pPr>
      <w:r w:rsidRPr="00884D39">
        <w:rPr>
          <w:rFonts w:ascii="Book Antiqua" w:hAnsi="Book Antiqua" w:cs="Arial"/>
        </w:rPr>
        <w:t xml:space="preserve">13. In the case of </w:t>
      </w:r>
      <w:proofErr w:type="spellStart"/>
      <w:r w:rsidRPr="00884D39">
        <w:rPr>
          <w:rFonts w:ascii="Book Antiqua" w:hAnsi="Book Antiqua" w:cs="Arial"/>
          <w:u w:val="single"/>
        </w:rPr>
        <w:t>Sanambar</w:t>
      </w:r>
      <w:proofErr w:type="spellEnd"/>
      <w:r w:rsidRPr="00884D39">
        <w:rPr>
          <w:rFonts w:ascii="Book Antiqua" w:hAnsi="Book Antiqua" w:cs="Arial"/>
          <w:u w:val="single"/>
        </w:rPr>
        <w:t xml:space="preserve"> v SSHD</w:t>
      </w:r>
      <w:r w:rsidRPr="00884D39">
        <w:rPr>
          <w:rFonts w:ascii="Book Antiqua" w:hAnsi="Book Antiqua" w:cs="Arial"/>
        </w:rPr>
        <w:t xml:space="preserve"> [2017] EWCA </w:t>
      </w:r>
      <w:proofErr w:type="spellStart"/>
      <w:r w:rsidRPr="00884D39">
        <w:rPr>
          <w:rFonts w:ascii="Book Antiqua" w:hAnsi="Book Antiqua" w:cs="Arial"/>
        </w:rPr>
        <w:t>Civ</w:t>
      </w:r>
      <w:proofErr w:type="spellEnd"/>
      <w:r w:rsidRPr="00884D39">
        <w:rPr>
          <w:rFonts w:ascii="Book Antiqua" w:hAnsi="Book Antiqua" w:cs="Arial"/>
        </w:rPr>
        <w:t xml:space="preserve"> 1284 the Court of Appeal said that consideration of the issue of obstacles to integration requires consideration of all relevant factors some of which might be described as generic.  Factors such as intelligence, employability and general robustness of character could clearly be relevant to that issue.  The broad evaluation required could also include the extent to which a parent’s ties might assist with integration.</w:t>
      </w:r>
    </w:p>
    <w:p w:rsidR="007A1A00" w:rsidRPr="00884D39" w:rsidRDefault="007A1A00" w:rsidP="006122EC">
      <w:pPr>
        <w:jc w:val="both"/>
        <w:rPr>
          <w:rFonts w:ascii="Book Antiqua" w:hAnsi="Book Antiqua" w:cs="Arial"/>
          <w:color w:val="000000"/>
        </w:rPr>
      </w:pPr>
    </w:p>
    <w:p w:rsidR="007A1A00" w:rsidRPr="00884D39" w:rsidRDefault="007A1A00" w:rsidP="0017268B">
      <w:pPr>
        <w:jc w:val="both"/>
        <w:rPr>
          <w:rFonts w:ascii="Book Antiqua" w:hAnsi="Book Antiqua" w:cs="Arial"/>
          <w:color w:val="000000"/>
        </w:rPr>
      </w:pPr>
      <w:r w:rsidRPr="00884D39">
        <w:rPr>
          <w:rFonts w:ascii="Book Antiqua" w:hAnsi="Book Antiqua" w:cs="Arial"/>
          <w:color w:val="000000"/>
        </w:rPr>
        <w:t xml:space="preserve">14. The appellant entered the UK in 2004 when he was 26 years old. He is now 40 years old. The appellant spent 65% of his life in Bangladesh. The appellant was brought up and educated in Bangladesh. The appellant has been away from Bangladesh for 14 years. There is no reliable evidence of </w:t>
      </w:r>
      <w:r w:rsidR="00884D39">
        <w:rPr>
          <w:rFonts w:ascii="Book Antiqua" w:hAnsi="Book Antiqua" w:cs="Arial"/>
          <w:color w:val="000000"/>
        </w:rPr>
        <w:t>a very significant</w:t>
      </w:r>
      <w:r w:rsidRPr="00884D39">
        <w:rPr>
          <w:rFonts w:ascii="Book Antiqua" w:hAnsi="Book Antiqua" w:cs="Arial"/>
          <w:color w:val="000000"/>
        </w:rPr>
        <w:t xml:space="preserve"> obstacle to integration. The appellant cannot meet the requirements of paragraph 276 ADE(1)(vi)</w:t>
      </w:r>
    </w:p>
    <w:p w:rsidR="007A1A00" w:rsidRPr="00884D39" w:rsidRDefault="007A1A00" w:rsidP="0017268B">
      <w:pPr>
        <w:jc w:val="both"/>
        <w:rPr>
          <w:rFonts w:ascii="Book Antiqua" w:hAnsi="Book Antiqua" w:cs="Arial"/>
          <w:color w:val="000000"/>
        </w:rPr>
      </w:pPr>
    </w:p>
    <w:p w:rsidR="007A1A00" w:rsidRPr="00884D39" w:rsidRDefault="007A1A00" w:rsidP="0017268B">
      <w:pPr>
        <w:jc w:val="both"/>
        <w:rPr>
          <w:rFonts w:ascii="Book Antiqua" w:hAnsi="Book Antiqua" w:cs="Arial"/>
        </w:rPr>
      </w:pPr>
      <w:r w:rsidRPr="00884D39">
        <w:rPr>
          <w:rFonts w:ascii="Book Antiqua" w:hAnsi="Book Antiqua" w:cs="Arial"/>
          <w:color w:val="000000"/>
        </w:rPr>
        <w:t>15. That leads to consideration of article 8 private life outside of the rules. The private life that the appellant has is</w:t>
      </w:r>
      <w:r w:rsidR="006122EC" w:rsidRPr="00884D39">
        <w:rPr>
          <w:rFonts w:ascii="Book Antiqua" w:hAnsi="Book Antiqua" w:cs="Arial"/>
          <w:color w:val="000000"/>
        </w:rPr>
        <w:t xml:space="preserve"> his</w:t>
      </w:r>
      <w:r w:rsidRPr="00884D39">
        <w:rPr>
          <w:rFonts w:ascii="Book Antiqua" w:hAnsi="Book Antiqua" w:cs="Arial"/>
          <w:color w:val="000000"/>
        </w:rPr>
        <w:t xml:space="preserve"> home, his friends, </w:t>
      </w:r>
      <w:r w:rsidR="006122EC" w:rsidRPr="00884D39">
        <w:rPr>
          <w:rFonts w:ascii="Book Antiqua" w:hAnsi="Book Antiqua" w:cs="Arial"/>
          <w:color w:val="000000"/>
        </w:rPr>
        <w:t>hi</w:t>
      </w:r>
      <w:r w:rsidRPr="00884D39">
        <w:rPr>
          <w:rFonts w:ascii="Book Antiqua" w:hAnsi="Book Antiqua" w:cs="Arial"/>
          <w:color w:val="000000"/>
        </w:rPr>
        <w:t>s extended family and his work. For eight years</w:t>
      </w:r>
      <w:r w:rsidR="006122EC" w:rsidRPr="00884D39">
        <w:rPr>
          <w:rFonts w:ascii="Book Antiqua" w:hAnsi="Book Antiqua" w:cs="Arial"/>
          <w:color w:val="000000"/>
        </w:rPr>
        <w:t>,</w:t>
      </w:r>
      <w:r w:rsidRPr="00884D39">
        <w:rPr>
          <w:rFonts w:ascii="Book Antiqua" w:hAnsi="Book Antiqua" w:cs="Arial"/>
          <w:color w:val="000000"/>
        </w:rPr>
        <w:t xml:space="preserve"> between 2000 for 2012</w:t>
      </w:r>
      <w:r w:rsidR="006122EC" w:rsidRPr="00884D39">
        <w:rPr>
          <w:rFonts w:ascii="Book Antiqua" w:hAnsi="Book Antiqua" w:cs="Arial"/>
          <w:color w:val="000000"/>
        </w:rPr>
        <w:t>,</w:t>
      </w:r>
      <w:r w:rsidRPr="00884D39">
        <w:rPr>
          <w:rFonts w:ascii="Book Antiqua" w:hAnsi="Book Antiqua" w:cs="Arial"/>
          <w:color w:val="000000"/>
        </w:rPr>
        <w:t xml:space="preserve"> the appellant was present in the UK as a student. </w:t>
      </w:r>
      <w:r w:rsidR="00143265" w:rsidRPr="00884D39">
        <w:rPr>
          <w:rFonts w:ascii="Book Antiqua" w:hAnsi="Book Antiqua" w:cs="Arial"/>
        </w:rPr>
        <w:t xml:space="preserve">In </w:t>
      </w:r>
      <w:r w:rsidR="00143265" w:rsidRPr="00884D39">
        <w:rPr>
          <w:rFonts w:ascii="Book Antiqua" w:hAnsi="Book Antiqua" w:cs="Arial"/>
          <w:u w:val="single"/>
        </w:rPr>
        <w:t>Nasim and others (Article 8</w:t>
      </w:r>
      <w:r w:rsidR="00143265" w:rsidRPr="00884D39">
        <w:rPr>
          <w:rFonts w:ascii="Book Antiqua" w:hAnsi="Book Antiqua" w:cs="Arial"/>
        </w:rPr>
        <w:t>) [2014] UKUT 25 (IAC)</w:t>
      </w:r>
      <w:r w:rsidR="00143265" w:rsidRPr="00884D39">
        <w:rPr>
          <w:rFonts w:ascii="Book Antiqua" w:hAnsi="Book Antiqua" w:cs="Arial"/>
          <w:iCs/>
        </w:rPr>
        <w:t xml:space="preserve"> it was held that the judgments of the Supreme Court in </w:t>
      </w:r>
      <w:r w:rsidR="00143265" w:rsidRPr="00884D39">
        <w:rPr>
          <w:rFonts w:ascii="Book Antiqua" w:hAnsi="Book Antiqua" w:cs="Arial"/>
          <w:iCs/>
          <w:u w:val="single"/>
        </w:rPr>
        <w:t>Patel and Others v Secretary of State for the Home Department</w:t>
      </w:r>
      <w:r w:rsidR="00143265" w:rsidRPr="00884D39">
        <w:rPr>
          <w:rFonts w:ascii="Book Antiqua" w:hAnsi="Book Antiqua" w:cs="Arial"/>
          <w:iCs/>
        </w:rPr>
        <w:t xml:space="preserve"> </w:t>
      </w:r>
      <w:hyperlink r:id="rId8" w:tooltip="Link to BAILII version" w:history="1">
        <w:r w:rsidR="00143265" w:rsidRPr="00884D39">
          <w:rPr>
            <w:rStyle w:val="Hyperlink"/>
            <w:rFonts w:ascii="Book Antiqua" w:hAnsi="Book Antiqua" w:cs="Arial"/>
            <w:iCs/>
            <w:color w:val="auto"/>
          </w:rPr>
          <w:t>[</w:t>
        </w:r>
        <w:r w:rsidR="00143265" w:rsidRPr="00884D39">
          <w:rPr>
            <w:rStyle w:val="Hyperlink"/>
            <w:rFonts w:ascii="Book Antiqua" w:hAnsi="Book Antiqua" w:cs="Arial"/>
            <w:iCs/>
            <w:color w:val="auto"/>
            <w:u w:val="none"/>
          </w:rPr>
          <w:t>2013] UKSC 72</w:t>
        </w:r>
      </w:hyperlink>
      <w:r w:rsidR="00143265" w:rsidRPr="00884D39">
        <w:rPr>
          <w:rFonts w:ascii="Book Antiqua" w:hAnsi="Book Antiqua" w:cs="Arial"/>
          <w:iCs/>
        </w:rPr>
        <w:t xml:space="preserve"> serve to re-focus attention on the nature and purpose of Article 8 of the ECHR and, in particular, to recognise that Article’s limited utility in private life cases that are far removed from the protection of an individual’s moral and physical integrity. </w:t>
      </w:r>
      <w:r w:rsidR="00143265" w:rsidRPr="00884D39">
        <w:rPr>
          <w:rFonts w:ascii="Book Antiqua" w:hAnsi="Book Antiqua" w:cs="Arial"/>
        </w:rPr>
        <w:t xml:space="preserve">In </w:t>
      </w:r>
      <w:r w:rsidR="00143265" w:rsidRPr="00884D39">
        <w:rPr>
          <w:rFonts w:ascii="Book Antiqua" w:hAnsi="Book Antiqua" w:cs="Arial"/>
          <w:u w:val="single"/>
        </w:rPr>
        <w:t>Nasim and others (Article 8)</w:t>
      </w:r>
      <w:r w:rsidR="00143265" w:rsidRPr="00884D39">
        <w:rPr>
          <w:rFonts w:ascii="Book Antiqua" w:hAnsi="Book Antiqua" w:cs="Arial"/>
        </w:rPr>
        <w:t xml:space="preserve"> [2014] UKUT 25 (IAC)</w:t>
      </w:r>
      <w:r w:rsidR="00143265" w:rsidRPr="00884D39">
        <w:rPr>
          <w:rFonts w:ascii="Book Antiqua" w:hAnsi="Book Antiqua" w:cs="Arial"/>
          <w:iCs/>
        </w:rPr>
        <w:t xml:space="preserve"> it was stated "</w:t>
      </w:r>
      <w:r w:rsidR="00143265" w:rsidRPr="00884D39">
        <w:rPr>
          <w:rFonts w:ascii="Book Antiqua" w:hAnsi="Book Antiqua" w:cs="Arial"/>
          <w:i/>
        </w:rPr>
        <w:t>it is important to emphasise that the appellant in CDS(Brazil) was faced with a hypothetical removal, which would have prevented her from completing the course of study for which she had been given leave".</w:t>
      </w:r>
      <w:r w:rsidR="00143265" w:rsidRPr="00884D39">
        <w:rPr>
          <w:rFonts w:ascii="Book Antiqua" w:hAnsi="Book Antiqua" w:cs="Arial"/>
        </w:rPr>
        <w:t xml:space="preserve">  </w:t>
      </w:r>
      <w:r w:rsidR="009D1478" w:rsidRPr="00884D39">
        <w:rPr>
          <w:rFonts w:ascii="Book Antiqua" w:hAnsi="Book Antiqua" w:cs="Arial"/>
        </w:rPr>
        <w:t>I</w:t>
      </w:r>
      <w:r w:rsidR="00143265" w:rsidRPr="00884D39">
        <w:rPr>
          <w:rFonts w:ascii="Book Antiqua" w:hAnsi="Book Antiqua" w:cs="Arial"/>
        </w:rPr>
        <w:t xml:space="preserve">t </w:t>
      </w:r>
      <w:r w:rsidR="009D1478" w:rsidRPr="00884D39">
        <w:rPr>
          <w:rFonts w:ascii="Book Antiqua" w:hAnsi="Book Antiqua" w:cs="Arial"/>
        </w:rPr>
        <w:t>i</w:t>
      </w:r>
      <w:r w:rsidR="00143265" w:rsidRPr="00884D39">
        <w:rPr>
          <w:rFonts w:ascii="Book Antiqua" w:hAnsi="Book Antiqua" w:cs="Arial"/>
        </w:rPr>
        <w:t xml:space="preserve">s clear that the tribunal considered that in the light </w:t>
      </w:r>
      <w:r w:rsidR="00143265" w:rsidRPr="00884D39">
        <w:rPr>
          <w:rFonts w:ascii="Book Antiqua" w:hAnsi="Book Antiqua" w:cs="Arial"/>
        </w:rPr>
        <w:lastRenderedPageBreak/>
        <w:t xml:space="preserve">of </w:t>
      </w:r>
      <w:r w:rsidR="00143265" w:rsidRPr="00884D39">
        <w:rPr>
          <w:rFonts w:ascii="Book Antiqua" w:hAnsi="Book Antiqua" w:cs="Arial"/>
          <w:iCs/>
          <w:u w:val="single"/>
        </w:rPr>
        <w:t xml:space="preserve">Patel and Others v Secretary of State for the Home Department </w:t>
      </w:r>
      <w:hyperlink r:id="rId9" w:tooltip="Link to BAILII version" w:history="1">
        <w:r w:rsidR="00143265" w:rsidRPr="00884D39">
          <w:rPr>
            <w:rStyle w:val="Hyperlink"/>
            <w:rFonts w:ascii="Book Antiqua" w:hAnsi="Book Antiqua" w:cs="Arial"/>
            <w:iCs/>
            <w:color w:val="auto"/>
            <w:u w:val="none"/>
          </w:rPr>
          <w:t>[2013] UKSC 72</w:t>
        </w:r>
      </w:hyperlink>
      <w:r w:rsidR="00143265" w:rsidRPr="00884D39">
        <w:rPr>
          <w:rFonts w:ascii="Book Antiqua" w:hAnsi="Book Antiqua" w:cs="Arial"/>
        </w:rPr>
        <w:t xml:space="preserve"> its application was probably very limited</w:t>
      </w:r>
      <w:r w:rsidR="009D1478" w:rsidRPr="00884D39">
        <w:rPr>
          <w:rFonts w:ascii="Book Antiqua" w:hAnsi="Book Antiqua" w:cs="Arial"/>
        </w:rPr>
        <w:t>.</w:t>
      </w:r>
    </w:p>
    <w:p w:rsidR="007A1A00" w:rsidRPr="00884D39" w:rsidRDefault="007A1A00" w:rsidP="0017268B">
      <w:pPr>
        <w:jc w:val="both"/>
        <w:rPr>
          <w:rFonts w:ascii="Book Antiqua" w:hAnsi="Book Antiqua" w:cs="Arial"/>
          <w:color w:val="000000"/>
        </w:rPr>
      </w:pPr>
    </w:p>
    <w:p w:rsidR="007A1A00" w:rsidRPr="00884D39" w:rsidRDefault="007A1A00" w:rsidP="0017268B">
      <w:pPr>
        <w:jc w:val="both"/>
        <w:rPr>
          <w:rFonts w:ascii="Book Antiqua" w:hAnsi="Book Antiqua" w:cs="Arial"/>
          <w:color w:val="000000"/>
        </w:rPr>
      </w:pPr>
      <w:r w:rsidRPr="00884D39">
        <w:rPr>
          <w:rFonts w:ascii="Book Antiqua" w:hAnsi="Book Antiqua" w:cs="Arial"/>
          <w:color w:val="000000"/>
        </w:rPr>
        <w:t>16. Section 117</w:t>
      </w:r>
      <w:proofErr w:type="gramStart"/>
      <w:r w:rsidRPr="00884D39">
        <w:rPr>
          <w:rFonts w:ascii="Book Antiqua" w:hAnsi="Book Antiqua" w:cs="Arial"/>
          <w:color w:val="000000"/>
        </w:rPr>
        <w:t>B(</w:t>
      </w:r>
      <w:proofErr w:type="gramEnd"/>
      <w:r w:rsidRPr="00884D39">
        <w:rPr>
          <w:rFonts w:ascii="Book Antiqua" w:hAnsi="Book Antiqua" w:cs="Arial"/>
          <w:color w:val="000000"/>
        </w:rPr>
        <w:t xml:space="preserve">5) </w:t>
      </w:r>
      <w:r w:rsidR="00A078E2" w:rsidRPr="00884D39">
        <w:rPr>
          <w:rFonts w:ascii="Book Antiqua" w:hAnsi="Book Antiqua" w:cs="Arial"/>
          <w:color w:val="000000"/>
        </w:rPr>
        <w:t>tells me to attach little weight to the appellant’s private life because he has only ever had limited leave to remain in the UK. Section 117B also tells me that immigration control is in the public interest.</w:t>
      </w:r>
    </w:p>
    <w:p w:rsidR="00A078E2" w:rsidRPr="00884D39" w:rsidRDefault="00A078E2" w:rsidP="0017268B">
      <w:pPr>
        <w:jc w:val="both"/>
        <w:rPr>
          <w:rFonts w:ascii="Book Antiqua" w:hAnsi="Book Antiqua" w:cs="Arial"/>
          <w:color w:val="000000"/>
        </w:rPr>
      </w:pPr>
    </w:p>
    <w:p w:rsidR="00A078E2" w:rsidRPr="00884D39" w:rsidRDefault="00A078E2" w:rsidP="0017268B">
      <w:pPr>
        <w:jc w:val="both"/>
        <w:rPr>
          <w:rFonts w:ascii="Book Antiqua" w:hAnsi="Book Antiqua" w:cs="Arial"/>
          <w:color w:val="000000"/>
        </w:rPr>
      </w:pPr>
      <w:r w:rsidRPr="00884D39">
        <w:rPr>
          <w:rFonts w:ascii="Book Antiqua" w:hAnsi="Book Antiqua" w:cs="Arial"/>
          <w:color w:val="000000"/>
        </w:rPr>
        <w:t xml:space="preserve">17. When those factors </w:t>
      </w:r>
      <w:r w:rsidR="009D1478" w:rsidRPr="00884D39">
        <w:rPr>
          <w:rFonts w:ascii="Book Antiqua" w:hAnsi="Book Antiqua" w:cs="Arial"/>
          <w:color w:val="000000"/>
        </w:rPr>
        <w:t xml:space="preserve">are </w:t>
      </w:r>
      <w:r w:rsidRPr="00884D39">
        <w:rPr>
          <w:rFonts w:ascii="Book Antiqua" w:hAnsi="Book Antiqua" w:cs="Arial"/>
          <w:color w:val="000000"/>
        </w:rPr>
        <w:t>weighed</w:t>
      </w:r>
      <w:r w:rsidR="009D1478" w:rsidRPr="00884D39">
        <w:rPr>
          <w:rFonts w:ascii="Book Antiqua" w:hAnsi="Book Antiqua" w:cs="Arial"/>
          <w:color w:val="000000"/>
        </w:rPr>
        <w:t>,</w:t>
      </w:r>
      <w:r w:rsidRPr="00884D39">
        <w:rPr>
          <w:rFonts w:ascii="Book Antiqua" w:hAnsi="Book Antiqua" w:cs="Arial"/>
          <w:color w:val="000000"/>
        </w:rPr>
        <w:t xml:space="preserve"> I </w:t>
      </w:r>
      <w:proofErr w:type="gramStart"/>
      <w:r w:rsidRPr="00884D39">
        <w:rPr>
          <w:rFonts w:ascii="Book Antiqua" w:hAnsi="Book Antiqua" w:cs="Arial"/>
          <w:color w:val="000000"/>
        </w:rPr>
        <w:t>have to</w:t>
      </w:r>
      <w:proofErr w:type="gramEnd"/>
      <w:r w:rsidRPr="00884D39">
        <w:rPr>
          <w:rFonts w:ascii="Book Antiqua" w:hAnsi="Book Antiqua" w:cs="Arial"/>
          <w:color w:val="000000"/>
        </w:rPr>
        <w:t xml:space="preserve"> find that despite the shortcomings in the </w:t>
      </w:r>
      <w:r w:rsidR="009D1478" w:rsidRPr="00884D39">
        <w:rPr>
          <w:rFonts w:ascii="Book Antiqua" w:hAnsi="Book Antiqua" w:cs="Arial"/>
          <w:color w:val="000000"/>
        </w:rPr>
        <w:t>J</w:t>
      </w:r>
      <w:r w:rsidRPr="00884D39">
        <w:rPr>
          <w:rFonts w:ascii="Book Antiqua" w:hAnsi="Book Antiqua" w:cs="Arial"/>
          <w:color w:val="000000"/>
        </w:rPr>
        <w:t xml:space="preserve">udge’s decision he arrives </w:t>
      </w:r>
      <w:r w:rsidR="008F0B9E">
        <w:rPr>
          <w:rFonts w:ascii="Book Antiqua" w:hAnsi="Book Antiqua" w:cs="Arial"/>
          <w:color w:val="000000"/>
        </w:rPr>
        <w:t xml:space="preserve">at </w:t>
      </w:r>
      <w:bookmarkStart w:id="0" w:name="_GoBack"/>
      <w:bookmarkEnd w:id="0"/>
      <w:r w:rsidRPr="00884D39">
        <w:rPr>
          <w:rFonts w:ascii="Book Antiqua" w:hAnsi="Book Antiqua" w:cs="Arial"/>
          <w:color w:val="000000"/>
        </w:rPr>
        <w:t xml:space="preserve">the correct conclusion. The </w:t>
      </w:r>
      <w:r w:rsidR="009D1478" w:rsidRPr="00884D39">
        <w:rPr>
          <w:rFonts w:ascii="Book Antiqua" w:hAnsi="Book Antiqua" w:cs="Arial"/>
          <w:color w:val="000000"/>
        </w:rPr>
        <w:t>J</w:t>
      </w:r>
      <w:r w:rsidRPr="00884D39">
        <w:rPr>
          <w:rFonts w:ascii="Book Antiqua" w:hAnsi="Book Antiqua" w:cs="Arial"/>
          <w:color w:val="000000"/>
        </w:rPr>
        <w:t xml:space="preserve">udge’s error of law could only be material </w:t>
      </w:r>
      <w:r w:rsidR="009D1478" w:rsidRPr="00884D39">
        <w:rPr>
          <w:rFonts w:ascii="Book Antiqua" w:hAnsi="Book Antiqua" w:cs="Arial"/>
          <w:color w:val="000000"/>
        </w:rPr>
        <w:t>if it</w:t>
      </w:r>
      <w:r w:rsidRPr="00884D39">
        <w:rPr>
          <w:rFonts w:ascii="Book Antiqua" w:hAnsi="Book Antiqua" w:cs="Arial"/>
          <w:color w:val="000000"/>
        </w:rPr>
        <w:t xml:space="preserve"> had the potential to lead to a different conclusion.</w:t>
      </w:r>
    </w:p>
    <w:p w:rsidR="00A078E2" w:rsidRPr="00884D39" w:rsidRDefault="00A078E2" w:rsidP="0017268B">
      <w:pPr>
        <w:jc w:val="both"/>
        <w:rPr>
          <w:rFonts w:ascii="Book Antiqua" w:hAnsi="Book Antiqua" w:cs="Arial"/>
          <w:color w:val="000000"/>
        </w:rPr>
      </w:pPr>
    </w:p>
    <w:p w:rsidR="00A078E2" w:rsidRPr="00884D39" w:rsidRDefault="00A078E2" w:rsidP="0017268B">
      <w:pPr>
        <w:jc w:val="both"/>
        <w:rPr>
          <w:rFonts w:ascii="Book Antiqua" w:hAnsi="Book Antiqua" w:cs="Arial"/>
          <w:color w:val="000000"/>
        </w:rPr>
      </w:pPr>
      <w:r w:rsidRPr="00884D39">
        <w:rPr>
          <w:rFonts w:ascii="Book Antiqua" w:hAnsi="Book Antiqua" w:cs="Arial"/>
          <w:color w:val="000000"/>
        </w:rPr>
        <w:t xml:space="preserve">18. </w:t>
      </w:r>
      <w:r w:rsidR="009D1478" w:rsidRPr="00884D39">
        <w:rPr>
          <w:rFonts w:ascii="Book Antiqua" w:hAnsi="Book Antiqua" w:cs="Arial"/>
          <w:color w:val="000000"/>
        </w:rPr>
        <w:t>I t</w:t>
      </w:r>
      <w:r w:rsidRPr="00884D39">
        <w:rPr>
          <w:rFonts w:ascii="Book Antiqua" w:hAnsi="Book Antiqua" w:cs="Arial"/>
          <w:color w:val="000000"/>
        </w:rPr>
        <w:t>herefore find that the decision</w:t>
      </w:r>
      <w:r w:rsidR="009D1478" w:rsidRPr="00884D39">
        <w:rPr>
          <w:rFonts w:ascii="Book Antiqua" w:hAnsi="Book Antiqua" w:cs="Arial"/>
          <w:color w:val="000000"/>
        </w:rPr>
        <w:t>,</w:t>
      </w:r>
      <w:r w:rsidRPr="00884D39">
        <w:rPr>
          <w:rFonts w:ascii="Book Antiqua" w:hAnsi="Book Antiqua" w:cs="Arial"/>
          <w:color w:val="000000"/>
        </w:rPr>
        <w:t xml:space="preserve"> although not perfect</w:t>
      </w:r>
      <w:r w:rsidR="009D1478" w:rsidRPr="00884D39">
        <w:rPr>
          <w:rFonts w:ascii="Book Antiqua" w:hAnsi="Book Antiqua" w:cs="Arial"/>
          <w:color w:val="000000"/>
        </w:rPr>
        <w:t>,</w:t>
      </w:r>
      <w:r w:rsidRPr="00884D39">
        <w:rPr>
          <w:rFonts w:ascii="Book Antiqua" w:hAnsi="Book Antiqua" w:cs="Arial"/>
          <w:color w:val="000000"/>
        </w:rPr>
        <w:t xml:space="preserve"> does not contain a material error of law.</w:t>
      </w:r>
    </w:p>
    <w:p w:rsidR="00884D39" w:rsidRPr="0020531E" w:rsidRDefault="00884D39" w:rsidP="00884D39">
      <w:pPr>
        <w:spacing w:before="240"/>
        <w:jc w:val="both"/>
        <w:rPr>
          <w:rFonts w:ascii="Book Antiqua" w:hAnsi="Book Antiqua" w:cs="Arial"/>
          <w:b/>
        </w:rPr>
      </w:pPr>
      <w:r>
        <w:rPr>
          <w:rFonts w:ascii="Book Antiqua" w:hAnsi="Book Antiqua" w:cs="Arial"/>
          <w:b/>
        </w:rPr>
        <w:t>17</w:t>
      </w:r>
      <w:r w:rsidRPr="0020531E">
        <w:rPr>
          <w:rFonts w:ascii="Book Antiqua" w:hAnsi="Book Antiqua" w:cs="Arial"/>
          <w:b/>
        </w:rPr>
        <w:t xml:space="preserve">.   </w:t>
      </w:r>
      <w:r>
        <w:rPr>
          <w:rFonts w:ascii="Book Antiqua" w:hAnsi="Book Antiqua" w:cs="Arial"/>
          <w:b/>
        </w:rPr>
        <w:t>The decision does not contain a material</w:t>
      </w:r>
      <w:r w:rsidRPr="0020531E">
        <w:rPr>
          <w:rFonts w:ascii="Book Antiqua" w:hAnsi="Book Antiqua" w:cs="Arial"/>
          <w:b/>
        </w:rPr>
        <w:t xml:space="preserve"> error of law. The Judge’s decision stands.</w:t>
      </w:r>
    </w:p>
    <w:p w:rsidR="00884D39" w:rsidRPr="0020531E" w:rsidRDefault="00884D39" w:rsidP="00884D39">
      <w:pPr>
        <w:spacing w:before="240"/>
        <w:jc w:val="both"/>
        <w:rPr>
          <w:rFonts w:ascii="Book Antiqua" w:hAnsi="Book Antiqua" w:cs="Arial"/>
          <w:b/>
        </w:rPr>
      </w:pPr>
      <w:r w:rsidRPr="0020531E">
        <w:rPr>
          <w:rFonts w:ascii="Book Antiqua" w:hAnsi="Book Antiqua" w:cs="Arial"/>
          <w:b/>
        </w:rPr>
        <w:t>DECISION</w:t>
      </w:r>
    </w:p>
    <w:p w:rsidR="00884D39" w:rsidRPr="0020531E" w:rsidRDefault="00884D39" w:rsidP="00884D39">
      <w:pPr>
        <w:spacing w:before="240"/>
        <w:jc w:val="both"/>
        <w:rPr>
          <w:rFonts w:ascii="Book Antiqua" w:hAnsi="Book Antiqua" w:cs="Arial"/>
          <w:b/>
        </w:rPr>
      </w:pPr>
      <w:r>
        <w:rPr>
          <w:rFonts w:ascii="Book Antiqua" w:hAnsi="Book Antiqua" w:cs="Arial"/>
          <w:b/>
        </w:rPr>
        <w:t>18</w:t>
      </w:r>
      <w:r w:rsidRPr="0020531E">
        <w:rPr>
          <w:rFonts w:ascii="Book Antiqua" w:hAnsi="Book Antiqua" w:cs="Arial"/>
          <w:b/>
        </w:rPr>
        <w:t xml:space="preserve">.   The appeal is dismissed. The decision of the First-tier Tribunal, promulgated on </w:t>
      </w:r>
      <w:r>
        <w:rPr>
          <w:rFonts w:ascii="Book Antiqua" w:hAnsi="Book Antiqua" w:cs="Arial"/>
          <w:b/>
        </w:rPr>
        <w:t>3 April</w:t>
      </w:r>
      <w:r w:rsidRPr="0020531E">
        <w:rPr>
          <w:rFonts w:ascii="Book Antiqua" w:hAnsi="Book Antiqua" w:cs="Arial"/>
          <w:b/>
        </w:rPr>
        <w:t xml:space="preserve"> 2017, stands. </w:t>
      </w:r>
    </w:p>
    <w:p w:rsidR="00B867C1" w:rsidRDefault="00B867C1" w:rsidP="00884D39">
      <w:pPr>
        <w:tabs>
          <w:tab w:val="left" w:pos="2520"/>
        </w:tabs>
        <w:rPr>
          <w:rFonts w:ascii="Book Antiqua" w:hAnsi="Book Antiqua" w:cs="Arial"/>
        </w:rPr>
      </w:pPr>
    </w:p>
    <w:p w:rsidR="00B867C1" w:rsidRDefault="00B867C1" w:rsidP="00884D39">
      <w:pPr>
        <w:tabs>
          <w:tab w:val="left" w:pos="2520"/>
        </w:tabs>
        <w:rPr>
          <w:rFonts w:ascii="Book Antiqua" w:hAnsi="Book Antiqua" w:cs="Arial"/>
        </w:rPr>
      </w:pPr>
    </w:p>
    <w:p w:rsidR="00B867C1" w:rsidRDefault="00B867C1" w:rsidP="00884D39">
      <w:pPr>
        <w:tabs>
          <w:tab w:val="left" w:pos="2520"/>
        </w:tabs>
        <w:rPr>
          <w:rFonts w:ascii="Book Antiqua" w:hAnsi="Book Antiqua" w:cs="Arial"/>
        </w:rPr>
      </w:pPr>
    </w:p>
    <w:p w:rsidR="00884D39" w:rsidRPr="0084467E" w:rsidRDefault="00B867C1" w:rsidP="00884D39">
      <w:pPr>
        <w:tabs>
          <w:tab w:val="left" w:pos="2520"/>
        </w:tabs>
        <w:rPr>
          <w:rFonts w:ascii="Book Antiqua" w:hAnsi="Book Antiqua" w:cs="Arial"/>
        </w:rPr>
      </w:pPr>
      <w:r>
        <w:rPr>
          <w:noProof/>
        </w:rPr>
        <w:drawing>
          <wp:anchor distT="0" distB="0" distL="114300" distR="114300" simplePos="0" relativeHeight="251657728" behindDoc="0" locked="0" layoutInCell="1" allowOverlap="0">
            <wp:simplePos x="0" y="0"/>
            <wp:positionH relativeFrom="page">
              <wp:posOffset>936625</wp:posOffset>
            </wp:positionH>
            <wp:positionV relativeFrom="page">
              <wp:posOffset>5375275</wp:posOffset>
            </wp:positionV>
            <wp:extent cx="2867025" cy="971550"/>
            <wp:effectExtent l="0" t="0" r="0" b="0"/>
            <wp:wrapTopAndBottom/>
            <wp:docPr id="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7025" cy="971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4D39" w:rsidRPr="0084467E">
        <w:rPr>
          <w:rFonts w:ascii="Book Antiqua" w:hAnsi="Book Antiqua" w:cs="Arial"/>
        </w:rPr>
        <w:t xml:space="preserve">Signed       </w:t>
      </w:r>
      <w:r w:rsidR="00884D39">
        <w:rPr>
          <w:rFonts w:ascii="Book Antiqua" w:hAnsi="Book Antiqua" w:cs="Arial"/>
        </w:rPr>
        <w:t xml:space="preserve">               </w:t>
      </w:r>
      <w:r w:rsidR="00884D39" w:rsidRPr="0084467E">
        <w:rPr>
          <w:rFonts w:ascii="Book Antiqua" w:hAnsi="Book Antiqua" w:cs="Arial"/>
        </w:rPr>
        <w:t xml:space="preserve">                                                     Date </w:t>
      </w:r>
      <w:r w:rsidR="00884D39">
        <w:rPr>
          <w:rFonts w:ascii="Book Antiqua" w:hAnsi="Book Antiqua" w:cs="Arial"/>
        </w:rPr>
        <w:t>9 July</w:t>
      </w:r>
      <w:r w:rsidR="00884D39" w:rsidRPr="0084467E">
        <w:rPr>
          <w:rFonts w:ascii="Book Antiqua" w:hAnsi="Book Antiqua" w:cs="Arial"/>
        </w:rPr>
        <w:t xml:space="preserve"> 2018</w:t>
      </w:r>
    </w:p>
    <w:p w:rsidR="00884D39" w:rsidRDefault="00884D39" w:rsidP="00884D39">
      <w:pPr>
        <w:tabs>
          <w:tab w:val="left" w:pos="2520"/>
        </w:tabs>
        <w:rPr>
          <w:rFonts w:ascii="Book Antiqua" w:hAnsi="Book Antiqua" w:cs="Arial"/>
        </w:rPr>
      </w:pPr>
    </w:p>
    <w:p w:rsidR="009D1478" w:rsidRDefault="009D1478" w:rsidP="0017268B">
      <w:pPr>
        <w:jc w:val="both"/>
        <w:rPr>
          <w:rFonts w:ascii="Book Antiqua" w:hAnsi="Book Antiqua" w:cs="Arial"/>
          <w:color w:val="000000"/>
        </w:rPr>
      </w:pPr>
    </w:p>
    <w:p w:rsidR="00B867C1" w:rsidRPr="0084467E" w:rsidRDefault="00B867C1" w:rsidP="00B867C1">
      <w:pPr>
        <w:tabs>
          <w:tab w:val="left" w:pos="2520"/>
        </w:tabs>
        <w:rPr>
          <w:rFonts w:ascii="Book Antiqua" w:hAnsi="Book Antiqua" w:cs="Arial"/>
        </w:rPr>
      </w:pPr>
      <w:r w:rsidRPr="0084467E">
        <w:rPr>
          <w:rFonts w:ascii="Book Antiqua" w:hAnsi="Book Antiqua" w:cs="Arial"/>
        </w:rPr>
        <w:t>Deputy Upper Tribunal Judge Doyle</w:t>
      </w:r>
      <w:r w:rsidRPr="0084467E">
        <w:rPr>
          <w:rFonts w:ascii="Book Antiqua" w:hAnsi="Book Antiqua" w:cs="Arial"/>
        </w:rPr>
        <w:tab/>
      </w:r>
    </w:p>
    <w:p w:rsidR="00B867C1" w:rsidRPr="00B977E5" w:rsidRDefault="00B867C1" w:rsidP="00B867C1">
      <w:pPr>
        <w:jc w:val="both"/>
        <w:rPr>
          <w:rFonts w:ascii="Book Antiqua" w:hAnsi="Book Antiqua" w:cs="Arial"/>
          <w:color w:val="000000"/>
        </w:rPr>
      </w:pPr>
    </w:p>
    <w:p w:rsidR="009D1478" w:rsidRPr="00CB1B50" w:rsidRDefault="009D1478" w:rsidP="0017268B">
      <w:pPr>
        <w:jc w:val="both"/>
        <w:rPr>
          <w:rFonts w:ascii="Book Antiqua" w:hAnsi="Book Antiqua" w:cs="Arial"/>
          <w:color w:val="000000"/>
        </w:rPr>
      </w:pPr>
    </w:p>
    <w:sectPr w:rsidR="009D1478" w:rsidRPr="00CB1B50" w:rsidSect="00B867C1">
      <w:headerReference w:type="default" r:id="rId11"/>
      <w:footerReference w:type="default" r:id="rId12"/>
      <w:footerReference w:type="first" r:id="rId13"/>
      <w:pgSz w:w="11906" w:h="16838" w:code="9"/>
      <w:pgMar w:top="709"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36E0" w:rsidRDefault="00FF36E0" w:rsidP="00100C3C">
      <w:r>
        <w:separator/>
      </w:r>
    </w:p>
  </w:endnote>
  <w:endnote w:type="continuationSeparator" w:id="0">
    <w:p w:rsidR="00FF36E0" w:rsidRDefault="00FF36E0" w:rsidP="00100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0730" w:rsidRPr="00B867C1" w:rsidRDefault="00E00730">
    <w:pPr>
      <w:pStyle w:val="Footer"/>
      <w:jc w:val="center"/>
      <w:rPr>
        <w:rFonts w:ascii="Book Antiqua" w:hAnsi="Book Antiqua"/>
      </w:rPr>
    </w:pPr>
    <w:r w:rsidRPr="00B867C1">
      <w:rPr>
        <w:rFonts w:ascii="Book Antiqua" w:hAnsi="Book Antiqua"/>
      </w:rPr>
      <w:fldChar w:fldCharType="begin"/>
    </w:r>
    <w:r w:rsidRPr="00B867C1">
      <w:rPr>
        <w:rFonts w:ascii="Book Antiqua" w:hAnsi="Book Antiqua"/>
      </w:rPr>
      <w:instrText xml:space="preserve"> PAGE   \* MERGEFORMAT </w:instrText>
    </w:r>
    <w:r w:rsidRPr="00B867C1">
      <w:rPr>
        <w:rFonts w:ascii="Book Antiqua" w:hAnsi="Book Antiqua"/>
      </w:rPr>
      <w:fldChar w:fldCharType="separate"/>
    </w:r>
    <w:r w:rsidR="00A448F5">
      <w:rPr>
        <w:rFonts w:ascii="Book Antiqua" w:hAnsi="Book Antiqua"/>
        <w:noProof/>
      </w:rPr>
      <w:t>5</w:t>
    </w:r>
    <w:r w:rsidRPr="00B867C1">
      <w:rPr>
        <w:rFonts w:ascii="Book Antiqua" w:hAnsi="Book Antiqua"/>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0730" w:rsidRPr="00B867C1" w:rsidRDefault="00E00730" w:rsidP="00E00730">
    <w:pPr>
      <w:pStyle w:val="Footer"/>
      <w:jc w:val="center"/>
      <w:rPr>
        <w:rFonts w:ascii="Book Antiqua" w:hAnsi="Book Antiqua"/>
        <w:b/>
      </w:rPr>
    </w:pPr>
    <w:r w:rsidRPr="00B867C1">
      <w:rPr>
        <w:rFonts w:ascii="Book Antiqua" w:hAnsi="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36E0" w:rsidRDefault="00FF36E0" w:rsidP="00100C3C">
      <w:r>
        <w:separator/>
      </w:r>
    </w:p>
  </w:footnote>
  <w:footnote w:type="continuationSeparator" w:id="0">
    <w:p w:rsidR="00FF36E0" w:rsidRDefault="00FF36E0" w:rsidP="00100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CB5" w:rsidRDefault="00763CB5" w:rsidP="00763CB5">
    <w:pPr>
      <w:pStyle w:val="Header"/>
      <w:jc w:val="right"/>
      <w:rPr>
        <w:rFonts w:ascii="Book Antiqua" w:hAnsi="Book Antiqua" w:cs="Arial"/>
        <w:color w:val="000000"/>
        <w:sz w:val="16"/>
        <w:szCs w:val="16"/>
      </w:rPr>
    </w:pPr>
    <w:r w:rsidRPr="00B867C1">
      <w:rPr>
        <w:rFonts w:ascii="Book Antiqua" w:hAnsi="Book Antiqua" w:cs="Arial"/>
        <w:color w:val="000000"/>
        <w:sz w:val="16"/>
        <w:szCs w:val="16"/>
      </w:rPr>
      <w:t>Appeal Number: IA/00341/2016</w:t>
    </w:r>
  </w:p>
  <w:p w:rsidR="00B867C1" w:rsidRPr="00B867C1" w:rsidRDefault="00B867C1" w:rsidP="00763CB5">
    <w:pPr>
      <w:pStyle w:val="Header"/>
      <w:jc w:val="righ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C69EA"/>
    <w:multiLevelType w:val="hybridMultilevel"/>
    <w:tmpl w:val="D250E2CE"/>
    <w:lvl w:ilvl="0" w:tplc="B0DC87E2">
      <w:start w:val="1"/>
      <w:numFmt w:val="decimal"/>
      <w:lvlText w:val="%1."/>
      <w:lvlJc w:val="left"/>
      <w:pPr>
        <w:ind w:left="360" w:hanging="360"/>
      </w:pPr>
      <w:rPr>
        <w:rFonts w:cs="Times New Roman"/>
        <w:b w:val="0"/>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2367"/>
        </w:tabs>
        <w:ind w:left="2367"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32C03145"/>
    <w:multiLevelType w:val="hybridMultilevel"/>
    <w:tmpl w:val="2AE4B758"/>
    <w:lvl w:ilvl="0" w:tplc="9948D8D6">
      <w:start w:val="1"/>
      <w:numFmt w:val="decimal"/>
      <w:lvlText w:val="%1."/>
      <w:lvlJc w:val="left"/>
      <w:pPr>
        <w:ind w:left="720" w:hanging="72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3431771B"/>
    <w:multiLevelType w:val="hybridMultilevel"/>
    <w:tmpl w:val="2062C7AC"/>
    <w:lvl w:ilvl="0" w:tplc="0809000F">
      <w:start w:val="1"/>
      <w:numFmt w:val="decimal"/>
      <w:lvlText w:val="%1."/>
      <w:lvlJc w:val="left"/>
      <w:pPr>
        <w:ind w:left="3240" w:hanging="360"/>
      </w:pPr>
      <w:rPr>
        <w:rFonts w:cs="Times New Roman"/>
      </w:rPr>
    </w:lvl>
    <w:lvl w:ilvl="1" w:tplc="08090019" w:tentative="1">
      <w:start w:val="1"/>
      <w:numFmt w:val="lowerLetter"/>
      <w:lvlText w:val="%2."/>
      <w:lvlJc w:val="left"/>
      <w:pPr>
        <w:ind w:left="3960" w:hanging="360"/>
      </w:pPr>
      <w:rPr>
        <w:rFonts w:cs="Times New Roman"/>
      </w:rPr>
    </w:lvl>
    <w:lvl w:ilvl="2" w:tplc="0809001B" w:tentative="1">
      <w:start w:val="1"/>
      <w:numFmt w:val="lowerRoman"/>
      <w:lvlText w:val="%3."/>
      <w:lvlJc w:val="right"/>
      <w:pPr>
        <w:ind w:left="4680" w:hanging="180"/>
      </w:pPr>
      <w:rPr>
        <w:rFonts w:cs="Times New Roman"/>
      </w:rPr>
    </w:lvl>
    <w:lvl w:ilvl="3" w:tplc="0809000F" w:tentative="1">
      <w:start w:val="1"/>
      <w:numFmt w:val="decimal"/>
      <w:lvlText w:val="%4."/>
      <w:lvlJc w:val="left"/>
      <w:pPr>
        <w:ind w:left="5400" w:hanging="360"/>
      </w:pPr>
      <w:rPr>
        <w:rFonts w:cs="Times New Roman"/>
      </w:rPr>
    </w:lvl>
    <w:lvl w:ilvl="4" w:tplc="08090019" w:tentative="1">
      <w:start w:val="1"/>
      <w:numFmt w:val="lowerLetter"/>
      <w:lvlText w:val="%5."/>
      <w:lvlJc w:val="left"/>
      <w:pPr>
        <w:ind w:left="6120" w:hanging="360"/>
      </w:pPr>
      <w:rPr>
        <w:rFonts w:cs="Times New Roman"/>
      </w:rPr>
    </w:lvl>
    <w:lvl w:ilvl="5" w:tplc="0809001B" w:tentative="1">
      <w:start w:val="1"/>
      <w:numFmt w:val="lowerRoman"/>
      <w:lvlText w:val="%6."/>
      <w:lvlJc w:val="right"/>
      <w:pPr>
        <w:ind w:left="6840" w:hanging="180"/>
      </w:pPr>
      <w:rPr>
        <w:rFonts w:cs="Times New Roman"/>
      </w:rPr>
    </w:lvl>
    <w:lvl w:ilvl="6" w:tplc="0809000F" w:tentative="1">
      <w:start w:val="1"/>
      <w:numFmt w:val="decimal"/>
      <w:lvlText w:val="%7."/>
      <w:lvlJc w:val="left"/>
      <w:pPr>
        <w:ind w:left="7560" w:hanging="360"/>
      </w:pPr>
      <w:rPr>
        <w:rFonts w:cs="Times New Roman"/>
      </w:rPr>
    </w:lvl>
    <w:lvl w:ilvl="7" w:tplc="08090019" w:tentative="1">
      <w:start w:val="1"/>
      <w:numFmt w:val="lowerLetter"/>
      <w:lvlText w:val="%8."/>
      <w:lvlJc w:val="left"/>
      <w:pPr>
        <w:ind w:left="8280" w:hanging="360"/>
      </w:pPr>
      <w:rPr>
        <w:rFonts w:cs="Times New Roman"/>
      </w:rPr>
    </w:lvl>
    <w:lvl w:ilvl="8" w:tplc="0809001B" w:tentative="1">
      <w:start w:val="1"/>
      <w:numFmt w:val="lowerRoman"/>
      <w:lvlText w:val="%9."/>
      <w:lvlJc w:val="right"/>
      <w:pPr>
        <w:ind w:left="9000" w:hanging="180"/>
      </w:pPr>
      <w:rPr>
        <w:rFonts w:cs="Times New Roman"/>
      </w:rPr>
    </w:lvl>
  </w:abstractNum>
  <w:num w:numId="1">
    <w:abstractNumId w:val="3"/>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4C78A274-3361-4493-ACAE-D66D18DBCACC}"/>
    <w:docVar w:name="dgnword-eventsink" w:val="431895384"/>
  </w:docVars>
  <w:rsids>
    <w:rsidRoot w:val="00B74B3C"/>
    <w:rsid w:val="0001114B"/>
    <w:rsid w:val="00030740"/>
    <w:rsid w:val="00032B1F"/>
    <w:rsid w:val="00046C8C"/>
    <w:rsid w:val="00057D63"/>
    <w:rsid w:val="00087FA9"/>
    <w:rsid w:val="000A151F"/>
    <w:rsid w:val="000C7AB3"/>
    <w:rsid w:val="00100A74"/>
    <w:rsid w:val="00100C3C"/>
    <w:rsid w:val="00101152"/>
    <w:rsid w:val="00106B9E"/>
    <w:rsid w:val="001103E5"/>
    <w:rsid w:val="00125BE8"/>
    <w:rsid w:val="00143265"/>
    <w:rsid w:val="00156F09"/>
    <w:rsid w:val="0017268B"/>
    <w:rsid w:val="00193D40"/>
    <w:rsid w:val="001C525B"/>
    <w:rsid w:val="001D0D8E"/>
    <w:rsid w:val="001D0EA7"/>
    <w:rsid w:val="001E400D"/>
    <w:rsid w:val="001F7535"/>
    <w:rsid w:val="00200A07"/>
    <w:rsid w:val="00206AD6"/>
    <w:rsid w:val="00207C3C"/>
    <w:rsid w:val="002328A4"/>
    <w:rsid w:val="002479DB"/>
    <w:rsid w:val="00250580"/>
    <w:rsid w:val="0025433B"/>
    <w:rsid w:val="002606C4"/>
    <w:rsid w:val="002679F8"/>
    <w:rsid w:val="00286604"/>
    <w:rsid w:val="00286813"/>
    <w:rsid w:val="00293EEF"/>
    <w:rsid w:val="002B10FF"/>
    <w:rsid w:val="002B37DF"/>
    <w:rsid w:val="002C57F5"/>
    <w:rsid w:val="002D3A23"/>
    <w:rsid w:val="00337E31"/>
    <w:rsid w:val="003705A9"/>
    <w:rsid w:val="003741D6"/>
    <w:rsid w:val="00376746"/>
    <w:rsid w:val="0038281F"/>
    <w:rsid w:val="00394B69"/>
    <w:rsid w:val="003A4F86"/>
    <w:rsid w:val="003B4C45"/>
    <w:rsid w:val="003E1CC7"/>
    <w:rsid w:val="003E368E"/>
    <w:rsid w:val="003F197B"/>
    <w:rsid w:val="00440EE7"/>
    <w:rsid w:val="00451F8E"/>
    <w:rsid w:val="00496085"/>
    <w:rsid w:val="004B4D22"/>
    <w:rsid w:val="004C11B0"/>
    <w:rsid w:val="004C3399"/>
    <w:rsid w:val="00503FAE"/>
    <w:rsid w:val="0052314A"/>
    <w:rsid w:val="0052555D"/>
    <w:rsid w:val="00535119"/>
    <w:rsid w:val="00544C99"/>
    <w:rsid w:val="00545B34"/>
    <w:rsid w:val="005537BC"/>
    <w:rsid w:val="00576476"/>
    <w:rsid w:val="005800EB"/>
    <w:rsid w:val="00586795"/>
    <w:rsid w:val="005949C8"/>
    <w:rsid w:val="005D4A47"/>
    <w:rsid w:val="005D6496"/>
    <w:rsid w:val="005E51FD"/>
    <w:rsid w:val="005F7BFE"/>
    <w:rsid w:val="006122EC"/>
    <w:rsid w:val="00622E11"/>
    <w:rsid w:val="0068187C"/>
    <w:rsid w:val="006A6CBF"/>
    <w:rsid w:val="006B3761"/>
    <w:rsid w:val="006B4EEE"/>
    <w:rsid w:val="006D4FF0"/>
    <w:rsid w:val="006F1422"/>
    <w:rsid w:val="006F6689"/>
    <w:rsid w:val="00703BAB"/>
    <w:rsid w:val="00706781"/>
    <w:rsid w:val="0071333E"/>
    <w:rsid w:val="007258A2"/>
    <w:rsid w:val="007311FD"/>
    <w:rsid w:val="007344E6"/>
    <w:rsid w:val="00755830"/>
    <w:rsid w:val="00763CB5"/>
    <w:rsid w:val="007702AD"/>
    <w:rsid w:val="007921BE"/>
    <w:rsid w:val="0079558F"/>
    <w:rsid w:val="007A1A00"/>
    <w:rsid w:val="007A6B68"/>
    <w:rsid w:val="007A76EA"/>
    <w:rsid w:val="007C3085"/>
    <w:rsid w:val="00802508"/>
    <w:rsid w:val="008045DC"/>
    <w:rsid w:val="00846217"/>
    <w:rsid w:val="00846BC6"/>
    <w:rsid w:val="00850890"/>
    <w:rsid w:val="00851608"/>
    <w:rsid w:val="008743FA"/>
    <w:rsid w:val="008768BA"/>
    <w:rsid w:val="0088245D"/>
    <w:rsid w:val="00884D39"/>
    <w:rsid w:val="008A1E22"/>
    <w:rsid w:val="008B64E3"/>
    <w:rsid w:val="008E5837"/>
    <w:rsid w:val="008F0B9E"/>
    <w:rsid w:val="009014D6"/>
    <w:rsid w:val="00904942"/>
    <w:rsid w:val="00912ADE"/>
    <w:rsid w:val="0095066E"/>
    <w:rsid w:val="00951A7F"/>
    <w:rsid w:val="00963C62"/>
    <w:rsid w:val="00987890"/>
    <w:rsid w:val="00991B39"/>
    <w:rsid w:val="009C17A7"/>
    <w:rsid w:val="009C4477"/>
    <w:rsid w:val="009C7AD9"/>
    <w:rsid w:val="009D1478"/>
    <w:rsid w:val="009E3C93"/>
    <w:rsid w:val="00A033BF"/>
    <w:rsid w:val="00A078E2"/>
    <w:rsid w:val="00A318AF"/>
    <w:rsid w:val="00A448F5"/>
    <w:rsid w:val="00A52BA2"/>
    <w:rsid w:val="00A72A15"/>
    <w:rsid w:val="00A75FBA"/>
    <w:rsid w:val="00A822BE"/>
    <w:rsid w:val="00A84187"/>
    <w:rsid w:val="00A84ABA"/>
    <w:rsid w:val="00A94A10"/>
    <w:rsid w:val="00AC1C4E"/>
    <w:rsid w:val="00AD1956"/>
    <w:rsid w:val="00AD1D26"/>
    <w:rsid w:val="00AD6AA7"/>
    <w:rsid w:val="00AF3C53"/>
    <w:rsid w:val="00B17E67"/>
    <w:rsid w:val="00B20F7E"/>
    <w:rsid w:val="00B234FF"/>
    <w:rsid w:val="00B25467"/>
    <w:rsid w:val="00B66B6A"/>
    <w:rsid w:val="00B74B3C"/>
    <w:rsid w:val="00B867C1"/>
    <w:rsid w:val="00B96515"/>
    <w:rsid w:val="00BA7D3F"/>
    <w:rsid w:val="00BF1784"/>
    <w:rsid w:val="00C02574"/>
    <w:rsid w:val="00C11224"/>
    <w:rsid w:val="00C3034E"/>
    <w:rsid w:val="00C51FA3"/>
    <w:rsid w:val="00C736F6"/>
    <w:rsid w:val="00C76422"/>
    <w:rsid w:val="00C8431F"/>
    <w:rsid w:val="00C91439"/>
    <w:rsid w:val="00C914E4"/>
    <w:rsid w:val="00CA1765"/>
    <w:rsid w:val="00CB1B50"/>
    <w:rsid w:val="00CD37F5"/>
    <w:rsid w:val="00CD4491"/>
    <w:rsid w:val="00CE46A0"/>
    <w:rsid w:val="00CF53A6"/>
    <w:rsid w:val="00D15FB3"/>
    <w:rsid w:val="00D16669"/>
    <w:rsid w:val="00D23A33"/>
    <w:rsid w:val="00D44CE1"/>
    <w:rsid w:val="00D45AD5"/>
    <w:rsid w:val="00D55991"/>
    <w:rsid w:val="00D77083"/>
    <w:rsid w:val="00D903CC"/>
    <w:rsid w:val="00D905E2"/>
    <w:rsid w:val="00DB2691"/>
    <w:rsid w:val="00DB4A2E"/>
    <w:rsid w:val="00DC358B"/>
    <w:rsid w:val="00DD3D9E"/>
    <w:rsid w:val="00DF0A76"/>
    <w:rsid w:val="00DF7CE8"/>
    <w:rsid w:val="00E00730"/>
    <w:rsid w:val="00E03D82"/>
    <w:rsid w:val="00E050B8"/>
    <w:rsid w:val="00E204FA"/>
    <w:rsid w:val="00E40F9B"/>
    <w:rsid w:val="00E41B40"/>
    <w:rsid w:val="00E44430"/>
    <w:rsid w:val="00E50FC7"/>
    <w:rsid w:val="00E620CF"/>
    <w:rsid w:val="00E92C51"/>
    <w:rsid w:val="00EA79DE"/>
    <w:rsid w:val="00F232EA"/>
    <w:rsid w:val="00F44074"/>
    <w:rsid w:val="00F55A1F"/>
    <w:rsid w:val="00F56A71"/>
    <w:rsid w:val="00F73763"/>
    <w:rsid w:val="00F751BB"/>
    <w:rsid w:val="00F833C5"/>
    <w:rsid w:val="00FA7013"/>
    <w:rsid w:val="00FB3AB3"/>
    <w:rsid w:val="00FC5190"/>
    <w:rsid w:val="00FD1735"/>
    <w:rsid w:val="00FE2F1A"/>
    <w:rsid w:val="00FE5D89"/>
    <w:rsid w:val="00FF36E0"/>
    <w:rsid w:val="00FF6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4:docId w14:val="740360E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B3C"/>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B3C"/>
    <w:rPr>
      <w:rFonts w:ascii="Tahoma" w:hAnsi="Tahoma" w:cs="Tahoma"/>
      <w:sz w:val="16"/>
      <w:szCs w:val="16"/>
    </w:rPr>
  </w:style>
  <w:style w:type="character" w:customStyle="1" w:styleId="BalloonTextChar">
    <w:name w:val="Balloon Text Char"/>
    <w:link w:val="BalloonText"/>
    <w:uiPriority w:val="99"/>
    <w:semiHidden/>
    <w:locked/>
    <w:rsid w:val="00B74B3C"/>
    <w:rPr>
      <w:rFonts w:ascii="Tahoma" w:hAnsi="Tahoma" w:cs="Tahoma"/>
      <w:sz w:val="16"/>
      <w:szCs w:val="16"/>
      <w:lang w:val="x-none" w:eastAsia="en-GB"/>
    </w:rPr>
  </w:style>
  <w:style w:type="paragraph" w:styleId="ListParagraph">
    <w:name w:val="List Paragraph"/>
    <w:basedOn w:val="Normal"/>
    <w:uiPriority w:val="34"/>
    <w:qFormat/>
    <w:rsid w:val="003E1CC7"/>
    <w:pPr>
      <w:ind w:left="720"/>
      <w:contextualSpacing/>
    </w:pPr>
  </w:style>
  <w:style w:type="paragraph" w:customStyle="1" w:styleId="Default">
    <w:name w:val="Default"/>
    <w:rsid w:val="00F833C5"/>
    <w:pPr>
      <w:autoSpaceDE w:val="0"/>
      <w:autoSpaceDN w:val="0"/>
      <w:adjustRightInd w:val="0"/>
    </w:pPr>
    <w:rPr>
      <w:rFonts w:ascii="Georgia" w:hAnsi="Georgia" w:cs="Georgia"/>
      <w:color w:val="000000"/>
      <w:sz w:val="24"/>
      <w:szCs w:val="24"/>
      <w:lang w:eastAsia="en-US"/>
    </w:rPr>
  </w:style>
  <w:style w:type="paragraph" w:customStyle="1" w:styleId="CM13">
    <w:name w:val="CM13"/>
    <w:basedOn w:val="Default"/>
    <w:next w:val="Default"/>
    <w:uiPriority w:val="99"/>
    <w:rsid w:val="00F833C5"/>
    <w:rPr>
      <w:rFonts w:cs="Times New Roman"/>
      <w:color w:val="auto"/>
    </w:rPr>
  </w:style>
  <w:style w:type="paragraph" w:styleId="Header">
    <w:name w:val="header"/>
    <w:basedOn w:val="Normal"/>
    <w:link w:val="HeaderChar"/>
    <w:uiPriority w:val="99"/>
    <w:unhideWhenUsed/>
    <w:rsid w:val="00100C3C"/>
    <w:pPr>
      <w:tabs>
        <w:tab w:val="center" w:pos="4513"/>
        <w:tab w:val="right" w:pos="9026"/>
      </w:tabs>
    </w:pPr>
  </w:style>
  <w:style w:type="character" w:customStyle="1" w:styleId="HeaderChar">
    <w:name w:val="Header Char"/>
    <w:link w:val="Header"/>
    <w:uiPriority w:val="99"/>
    <w:locked/>
    <w:rsid w:val="00100C3C"/>
    <w:rPr>
      <w:rFonts w:ascii="Times New Roman" w:hAnsi="Times New Roman" w:cs="Times New Roman"/>
      <w:sz w:val="24"/>
      <w:szCs w:val="24"/>
      <w:lang w:val="x-none" w:eastAsia="en-GB"/>
    </w:rPr>
  </w:style>
  <w:style w:type="paragraph" w:styleId="Footer">
    <w:name w:val="footer"/>
    <w:basedOn w:val="Normal"/>
    <w:link w:val="FooterChar"/>
    <w:uiPriority w:val="99"/>
    <w:unhideWhenUsed/>
    <w:rsid w:val="00100C3C"/>
    <w:pPr>
      <w:tabs>
        <w:tab w:val="center" w:pos="4513"/>
        <w:tab w:val="right" w:pos="9026"/>
      </w:tabs>
    </w:pPr>
  </w:style>
  <w:style w:type="character" w:customStyle="1" w:styleId="FooterChar">
    <w:name w:val="Footer Char"/>
    <w:link w:val="Footer"/>
    <w:uiPriority w:val="99"/>
    <w:locked/>
    <w:rsid w:val="00100C3C"/>
    <w:rPr>
      <w:rFonts w:ascii="Times New Roman" w:hAnsi="Times New Roman" w:cs="Times New Roman"/>
      <w:sz w:val="24"/>
      <w:szCs w:val="24"/>
      <w:lang w:val="x-none" w:eastAsia="en-GB"/>
    </w:rPr>
  </w:style>
  <w:style w:type="paragraph" w:styleId="NoSpacing">
    <w:name w:val="No Spacing"/>
    <w:link w:val="NoSpacingChar"/>
    <w:uiPriority w:val="1"/>
    <w:qFormat/>
    <w:rsid w:val="00100C3C"/>
    <w:rPr>
      <w:sz w:val="22"/>
      <w:szCs w:val="22"/>
      <w:lang w:val="en-US" w:eastAsia="en-US"/>
    </w:rPr>
  </w:style>
  <w:style w:type="character" w:customStyle="1" w:styleId="NoSpacingChar">
    <w:name w:val="No Spacing Char"/>
    <w:link w:val="NoSpacing"/>
    <w:uiPriority w:val="1"/>
    <w:locked/>
    <w:rsid w:val="00100C3C"/>
    <w:rPr>
      <w:sz w:val="22"/>
      <w:szCs w:val="22"/>
      <w:lang w:val="en-US" w:eastAsia="en-US" w:bidi="ar-SA"/>
    </w:rPr>
  </w:style>
  <w:style w:type="character" w:styleId="Hyperlink">
    <w:name w:val="Hyperlink"/>
    <w:uiPriority w:val="99"/>
    <w:semiHidden/>
    <w:unhideWhenUsed/>
    <w:rsid w:val="0014326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013239">
      <w:marLeft w:val="0"/>
      <w:marRight w:val="0"/>
      <w:marTop w:val="0"/>
      <w:marBottom w:val="0"/>
      <w:divBdr>
        <w:top w:val="none" w:sz="0" w:space="0" w:color="auto"/>
        <w:left w:val="none" w:sz="0" w:space="0" w:color="auto"/>
        <w:bottom w:val="none" w:sz="0" w:space="0" w:color="auto"/>
        <w:right w:val="none" w:sz="0" w:space="0" w:color="auto"/>
      </w:divBdr>
    </w:div>
    <w:div w:id="556013240">
      <w:marLeft w:val="0"/>
      <w:marRight w:val="0"/>
      <w:marTop w:val="0"/>
      <w:marBottom w:val="0"/>
      <w:divBdr>
        <w:top w:val="none" w:sz="0" w:space="0" w:color="auto"/>
        <w:left w:val="none" w:sz="0" w:space="0" w:color="auto"/>
        <w:bottom w:val="none" w:sz="0" w:space="0" w:color="auto"/>
        <w:right w:val="none" w:sz="0" w:space="0" w:color="auto"/>
      </w:divBdr>
    </w:div>
    <w:div w:id="556013241">
      <w:marLeft w:val="0"/>
      <w:marRight w:val="0"/>
      <w:marTop w:val="0"/>
      <w:marBottom w:val="0"/>
      <w:divBdr>
        <w:top w:val="none" w:sz="0" w:space="0" w:color="auto"/>
        <w:left w:val="none" w:sz="0" w:space="0" w:color="auto"/>
        <w:bottom w:val="none" w:sz="0" w:space="0" w:color="auto"/>
        <w:right w:val="none" w:sz="0" w:space="0" w:color="auto"/>
      </w:divBdr>
    </w:div>
    <w:div w:id="95548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ilii.org/uk/cases/UKSC/2013/72.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www.bailii.org/uk/cases/UKSC/2013/72.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1911</Words>
  <Characters>9667</Characters>
  <Application>Microsoft Office Word</Application>
  <DocSecurity>0</DocSecurity>
  <Lines>80</Lines>
  <Paragraphs>23</Paragraphs>
  <ScaleCrop>false</ScaleCrop>
  <Company/>
  <LinksUpToDate>false</LinksUpToDate>
  <CharactersWithSpaces>11555</CharactersWithSpaces>
  <SharedDoc>false</SharedDoc>
  <HLinks>
    <vt:vector size="12" baseType="variant">
      <vt:variant>
        <vt:i4>1638494</vt:i4>
      </vt:variant>
      <vt:variant>
        <vt:i4>3</vt:i4>
      </vt:variant>
      <vt:variant>
        <vt:i4>0</vt:i4>
      </vt:variant>
      <vt:variant>
        <vt:i4>5</vt:i4>
      </vt:variant>
      <vt:variant>
        <vt:lpwstr>http://www.bailii.org/uk/cases/UKSC/2013/72.html</vt:lpwstr>
      </vt:variant>
      <vt:variant>
        <vt:lpwstr/>
      </vt:variant>
      <vt:variant>
        <vt:i4>1638494</vt:i4>
      </vt:variant>
      <vt:variant>
        <vt:i4>0</vt:i4>
      </vt:variant>
      <vt:variant>
        <vt:i4>0</vt:i4>
      </vt:variant>
      <vt:variant>
        <vt:i4>5</vt:i4>
      </vt:variant>
      <vt:variant>
        <vt:lpwstr>http://www.bailii.org/uk/cases/UKSC/2013/72.html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2018-07-27T12:35:00Z</dcterms:created>
  <dcterms:modified xsi:type="dcterms:W3CDTF">2018-07-27T12:35:00Z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