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1D75C8" w:rsidP="00933B65">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w:t>
      </w:r>
      <w:r w:rsidR="00A57EB4">
        <w:rPr>
          <w:rFonts w:ascii="Book Antiqua" w:hAnsi="Book Antiqua" w:cs="Arial"/>
          <w:b/>
          <w:color w:val="000000"/>
        </w:rPr>
        <w:t xml:space="preserve">Immigration and Asylum </w:t>
      </w:r>
      <w:proofErr w:type="gramStart"/>
      <w:r w:rsidR="00A57EB4">
        <w:rPr>
          <w:rFonts w:ascii="Book Antiqua" w:hAnsi="Book Antiqua" w:cs="Arial"/>
          <w:b/>
          <w:color w:val="000000"/>
        </w:rPr>
        <w:t xml:space="preserve">Chamber)   </w:t>
      </w:r>
      <w:proofErr w:type="gramEnd"/>
      <w:r w:rsidR="00A57EB4">
        <w:rPr>
          <w:rFonts w:ascii="Book Antiqua" w:hAnsi="Book Antiqua" w:cs="Arial"/>
          <w:b/>
          <w:color w:val="000000"/>
        </w:rPr>
        <w:t xml:space="preserve">                 </w:t>
      </w:r>
      <w:r w:rsidRPr="00A57EB4">
        <w:rPr>
          <w:rFonts w:ascii="Book Antiqua" w:hAnsi="Book Antiqua" w:cs="Arial"/>
          <w:b/>
          <w:color w:val="000000"/>
        </w:rPr>
        <w:t xml:space="preserve">Appeal Number: </w:t>
      </w:r>
      <w:r w:rsidR="00206725" w:rsidRPr="00A57EB4">
        <w:rPr>
          <w:rFonts w:ascii="Book Antiqua" w:hAnsi="Book Antiqua" w:cs="Arial"/>
          <w:b/>
          <w:color w:val="000000"/>
        </w:rPr>
        <w:t>IA/00753/2016</w:t>
      </w:r>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05694" w:rsidRPr="00F97703" w:rsidRDefault="00405694" w:rsidP="00405694">
      <w:pPr>
        <w:jc w:val="center"/>
        <w:rPr>
          <w:rFonts w:ascii="Book Antiqua" w:hAnsi="Book Antiqua" w:cs="Arial"/>
          <w:b/>
          <w:u w:val="single"/>
        </w:rPr>
      </w:pPr>
    </w:p>
    <w:tbl>
      <w:tblPr>
        <w:tblW w:w="0" w:type="auto"/>
        <w:tblLook w:val="01E0" w:firstRow="1" w:lastRow="1" w:firstColumn="1" w:lastColumn="1" w:noHBand="0" w:noVBand="0"/>
      </w:tblPr>
      <w:tblGrid>
        <w:gridCol w:w="4410"/>
        <w:gridCol w:w="5228"/>
      </w:tblGrid>
      <w:tr w:rsidR="00405694" w:rsidRPr="00AB1DC6" w:rsidTr="00692288">
        <w:tc>
          <w:tcPr>
            <w:tcW w:w="4503"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5325" w:type="dxa"/>
            <w:shd w:val="clear" w:color="auto" w:fill="auto"/>
          </w:tcPr>
          <w:p w:rsidR="00405694" w:rsidRPr="00AB1DC6" w:rsidRDefault="00A57EB4" w:rsidP="00AB1DC6">
            <w:pPr>
              <w:jc w:val="both"/>
              <w:rPr>
                <w:rFonts w:ascii="Book Antiqua" w:hAnsi="Book Antiqua" w:cs="Arial"/>
                <w:b/>
                <w:color w:val="000000"/>
              </w:rPr>
            </w:pPr>
            <w:r>
              <w:rPr>
                <w:rFonts w:ascii="Book Antiqua" w:hAnsi="Book Antiqua" w:cs="Arial"/>
                <w:b/>
                <w:color w:val="000000"/>
              </w:rPr>
              <w:t xml:space="preserve">            </w:t>
            </w:r>
            <w:r w:rsidR="00405694" w:rsidRPr="00AB1DC6">
              <w:rPr>
                <w:rFonts w:ascii="Book Antiqua" w:hAnsi="Book Antiqua" w:cs="Arial"/>
                <w:b/>
                <w:color w:val="000000"/>
              </w:rPr>
              <w:t>Decision</w:t>
            </w:r>
            <w:r w:rsidR="001D75C8">
              <w:rPr>
                <w:rFonts w:ascii="Book Antiqua" w:hAnsi="Book Antiqua" w:cs="Arial"/>
                <w:b/>
                <w:color w:val="000000"/>
              </w:rPr>
              <w:t xml:space="preserve"> &amp; Reasons</w:t>
            </w:r>
            <w:r w:rsidR="00405694" w:rsidRPr="00AB1DC6">
              <w:rPr>
                <w:rFonts w:ascii="Book Antiqua" w:hAnsi="Book Antiqua" w:cs="Arial"/>
                <w:b/>
                <w:color w:val="000000"/>
              </w:rPr>
              <w:t xml:space="preserve"> Promulgated</w:t>
            </w:r>
          </w:p>
        </w:tc>
      </w:tr>
      <w:tr w:rsidR="00405694" w:rsidRPr="00AB1DC6" w:rsidTr="00692288">
        <w:tc>
          <w:tcPr>
            <w:tcW w:w="4503"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206725">
              <w:rPr>
                <w:rFonts w:ascii="Book Antiqua" w:hAnsi="Book Antiqua" w:cs="Arial"/>
                <w:b/>
              </w:rPr>
              <w:t>03 July 2018</w:t>
            </w:r>
          </w:p>
        </w:tc>
        <w:tc>
          <w:tcPr>
            <w:tcW w:w="5325" w:type="dxa"/>
            <w:shd w:val="clear" w:color="auto" w:fill="auto"/>
          </w:tcPr>
          <w:p w:rsidR="00405694" w:rsidRPr="00AB1DC6" w:rsidRDefault="00A57EB4" w:rsidP="00AB1DC6">
            <w:pPr>
              <w:jc w:val="both"/>
              <w:rPr>
                <w:rFonts w:ascii="Book Antiqua" w:hAnsi="Book Antiqua" w:cs="Arial"/>
                <w:b/>
              </w:rPr>
            </w:pPr>
            <w:r>
              <w:rPr>
                <w:rFonts w:ascii="Book Antiqua" w:hAnsi="Book Antiqua" w:cs="Arial"/>
                <w:b/>
              </w:rPr>
              <w:t xml:space="preserve">            </w:t>
            </w:r>
            <w:r w:rsidR="001D75C8">
              <w:rPr>
                <w:rFonts w:ascii="Book Antiqua" w:hAnsi="Book Antiqua" w:cs="Arial"/>
                <w:b/>
              </w:rPr>
              <w:t>On 12 September 2018</w:t>
            </w:r>
          </w:p>
        </w:tc>
      </w:tr>
      <w:tr w:rsidR="00405694" w:rsidRPr="00AB1DC6" w:rsidTr="00692288">
        <w:tc>
          <w:tcPr>
            <w:tcW w:w="4503" w:type="dxa"/>
            <w:shd w:val="clear" w:color="auto" w:fill="auto"/>
          </w:tcPr>
          <w:p w:rsidR="00405694" w:rsidRPr="00AB1DC6" w:rsidRDefault="00405694" w:rsidP="00AB1DC6">
            <w:pPr>
              <w:jc w:val="both"/>
              <w:rPr>
                <w:rFonts w:ascii="Book Antiqua" w:hAnsi="Book Antiqua" w:cs="Arial"/>
                <w:b/>
              </w:rPr>
            </w:pPr>
          </w:p>
        </w:tc>
        <w:tc>
          <w:tcPr>
            <w:tcW w:w="5325" w:type="dxa"/>
            <w:shd w:val="clear" w:color="auto" w:fill="auto"/>
          </w:tcPr>
          <w:p w:rsidR="00405694" w:rsidRPr="00AB1DC6" w:rsidRDefault="00405694" w:rsidP="00AB1DC6">
            <w:pPr>
              <w:jc w:val="both"/>
              <w:rPr>
                <w:rFonts w:ascii="Book Antiqua" w:hAnsi="Book Antiqua" w:cs="Arial"/>
                <w:b/>
              </w:rPr>
            </w:pPr>
          </w:p>
        </w:tc>
      </w:tr>
    </w:tbl>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294F41" w:rsidRDefault="00294F41" w:rsidP="00933B65">
      <w:pPr>
        <w:jc w:val="center"/>
        <w:rPr>
          <w:rFonts w:ascii="Book Antiqua" w:hAnsi="Book Antiqua" w:cs="Arial"/>
          <w:b/>
        </w:rPr>
      </w:pPr>
    </w:p>
    <w:p w:rsidR="00933B65" w:rsidRDefault="00206725" w:rsidP="00933B65">
      <w:pPr>
        <w:jc w:val="center"/>
        <w:rPr>
          <w:rFonts w:ascii="Book Antiqua" w:hAnsi="Book Antiqua" w:cs="Arial"/>
          <w:b/>
        </w:rPr>
      </w:pPr>
      <w:r>
        <w:rPr>
          <w:rFonts w:ascii="Book Antiqua" w:hAnsi="Book Antiqua" w:cs="Arial"/>
          <w:b/>
        </w:rPr>
        <w:t>THERESA OTENG BOUHENG</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294F41" w:rsidRPr="00F97703" w:rsidRDefault="00294F41" w:rsidP="00933B65">
      <w:pPr>
        <w:jc w:val="right"/>
        <w:rPr>
          <w:rFonts w:ascii="Book Antiqua" w:hAnsi="Book Antiqua" w:cs="Arial"/>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294F41" w:rsidRPr="00F97703" w:rsidRDefault="00A57EB4"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1A5BF0">
        <w:rPr>
          <w:rFonts w:ascii="Book Antiqua" w:hAnsi="Book Antiqua" w:cs="Arial"/>
        </w:rPr>
        <w:t>Ms G. Thomas, instructed by Irving &amp; Co. Solicitors</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1A5BF0">
        <w:rPr>
          <w:rFonts w:ascii="Book Antiqua" w:hAnsi="Book Antiqua" w:cs="Arial"/>
        </w:rPr>
        <w:t xml:space="preserve">Ms A. Everett, Senior Home Office Presenting Officer </w:t>
      </w:r>
    </w:p>
    <w:p w:rsidR="00405694" w:rsidRDefault="00405694" w:rsidP="00933B65">
      <w:pPr>
        <w:rPr>
          <w:rFonts w:ascii="Book Antiqua" w:hAnsi="Book Antiqua" w:cs="Arial"/>
        </w:rPr>
      </w:pPr>
    </w:p>
    <w:p w:rsidR="00405694" w:rsidRPr="00405694" w:rsidRDefault="00405694"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1A5BF0" w:rsidRDefault="001A5BF0" w:rsidP="001A5BF0">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 xml:space="preserve">The appellant appealed the respondent’s decision dated 25 January 2016 to refuse a human rights claim. </w:t>
      </w:r>
    </w:p>
    <w:p w:rsidR="00405694" w:rsidRDefault="00405694" w:rsidP="00933B65">
      <w:pPr>
        <w:tabs>
          <w:tab w:val="left" w:pos="567"/>
        </w:tabs>
        <w:jc w:val="both"/>
        <w:rPr>
          <w:rFonts w:ascii="Book Antiqua" w:hAnsi="Book Antiqua" w:cs="Arial"/>
        </w:rPr>
      </w:pPr>
    </w:p>
    <w:p w:rsidR="00405694" w:rsidRDefault="001A5BF0" w:rsidP="001A5BF0">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 xml:space="preserve">First-tier Tribunal Judge Talbot (“the judge”) dismissed the appeal in a decision promulgated on 30 November 2017. The judge heard evidence from the appellant, her daughter and her grandson. He considered the ties the appellant had established since her arrival on a visit visa in 2001. </w:t>
      </w:r>
      <w:r w:rsidR="00BE4535">
        <w:rPr>
          <w:rFonts w:ascii="Book Antiqua" w:hAnsi="Book Antiqua" w:cs="Arial"/>
        </w:rPr>
        <w:t xml:space="preserve">She overstayed the visa and did not seek to regularise her status until 2012. The judge also considered what remaining ties the appellant might have to Ghana. The judge concluded that there would not be ‘very significant obstacles’ to the appellant integrating in Ghana </w:t>
      </w:r>
      <w:proofErr w:type="gramStart"/>
      <w:r w:rsidR="00BE4535">
        <w:rPr>
          <w:rFonts w:ascii="Book Antiqua" w:hAnsi="Book Antiqua" w:cs="Arial"/>
        </w:rPr>
        <w:t>for the purpose of</w:t>
      </w:r>
      <w:proofErr w:type="gramEnd"/>
      <w:r w:rsidR="00BE4535">
        <w:rPr>
          <w:rFonts w:ascii="Book Antiqua" w:hAnsi="Book Antiqua" w:cs="Arial"/>
        </w:rPr>
        <w:t xml:space="preserve"> paragraph </w:t>
      </w:r>
      <w:r w:rsidR="00BE4535">
        <w:rPr>
          <w:rFonts w:ascii="Book Antiqua" w:hAnsi="Book Antiqua" w:cs="Arial"/>
        </w:rPr>
        <w:lastRenderedPageBreak/>
        <w:t xml:space="preserve">276ADE(1)(vi) of the immigration rules. The judge went on to make the following findings relating to Article 8 outside the immigration rules. </w:t>
      </w:r>
    </w:p>
    <w:p w:rsidR="00BE4535" w:rsidRDefault="00BE4535" w:rsidP="001A5BF0">
      <w:pPr>
        <w:tabs>
          <w:tab w:val="left" w:pos="567"/>
        </w:tabs>
        <w:ind w:left="564" w:hanging="564"/>
        <w:jc w:val="both"/>
        <w:rPr>
          <w:rFonts w:ascii="Book Antiqua" w:hAnsi="Book Antiqua" w:cs="Arial"/>
        </w:rPr>
      </w:pPr>
    </w:p>
    <w:p w:rsidR="00BE4535" w:rsidRPr="00285763" w:rsidRDefault="00BE4535" w:rsidP="00BE4535">
      <w:pPr>
        <w:tabs>
          <w:tab w:val="left" w:pos="567"/>
        </w:tabs>
        <w:ind w:left="1440" w:hanging="1440"/>
        <w:jc w:val="both"/>
        <w:rPr>
          <w:rFonts w:ascii="Book Antiqua" w:hAnsi="Book Antiqua" w:cs="Arial"/>
          <w:sz w:val="20"/>
          <w:szCs w:val="20"/>
        </w:rPr>
      </w:pPr>
      <w:r>
        <w:rPr>
          <w:rFonts w:ascii="Book Antiqua" w:hAnsi="Book Antiqua" w:cs="Arial"/>
        </w:rPr>
        <w:tab/>
      </w:r>
      <w:r w:rsidRPr="00285763">
        <w:rPr>
          <w:rFonts w:ascii="Book Antiqua" w:hAnsi="Book Antiqua" w:cs="Arial"/>
          <w:sz w:val="20"/>
          <w:szCs w:val="20"/>
        </w:rPr>
        <w:t>“20.</w:t>
      </w:r>
      <w:r w:rsidRPr="00285763">
        <w:rPr>
          <w:rFonts w:ascii="Book Antiqua" w:hAnsi="Book Antiqua" w:cs="Arial"/>
          <w:sz w:val="20"/>
          <w:szCs w:val="20"/>
        </w:rPr>
        <w:tab/>
        <w:t xml:space="preserve">As this appeal is on human rights grounds, the focus of my assessment must be on Article 8 itself. The Appellant is clearly very integrated into the family life of her daughter and grandchildren. One issue is whether this amounts to ‘family life’ within the ambit of Article 8. As established by the jurisprudence, family relationships, other than those between partners or between parents and minor children, must go beyond ‘normal emotional ties’ </w:t>
      </w:r>
      <w:proofErr w:type="gramStart"/>
      <w:r w:rsidRPr="00285763">
        <w:rPr>
          <w:rFonts w:ascii="Book Antiqua" w:hAnsi="Book Antiqua" w:cs="Arial"/>
          <w:sz w:val="20"/>
          <w:szCs w:val="20"/>
        </w:rPr>
        <w:t>in order to</w:t>
      </w:r>
      <w:proofErr w:type="gramEnd"/>
      <w:r w:rsidRPr="00285763">
        <w:rPr>
          <w:rFonts w:ascii="Book Antiqua" w:hAnsi="Book Antiqua" w:cs="Arial"/>
          <w:sz w:val="20"/>
          <w:szCs w:val="20"/>
        </w:rPr>
        <w:t xml:space="preserve"> meet the definition of ‘family life’. I accept that the Appellant in this case has played a very close role in the family life of the two elder children, the second of whom is only 17 years old (and thus still a minor). In these specific circumstances, I can accept that her involvement may cross the boundary into ‘family life’ under Article 8. In any event the Appellant’s role within the family would constitute the most important element of her private life in the UK. Other aspects of her private life include her activities with the church and the help that she provides for a friend’s disabled child. Given the length of time that the Appellant has lived in the UK, it is quite clear to me that her removal from the UK would constitute an interference with her Article 8 rights of sufficient severity as to engage the Convention. </w:t>
      </w:r>
    </w:p>
    <w:p w:rsidR="00BE4535" w:rsidRPr="00285763" w:rsidRDefault="00BE4535" w:rsidP="00BE4535">
      <w:pPr>
        <w:tabs>
          <w:tab w:val="left" w:pos="567"/>
        </w:tabs>
        <w:ind w:left="1440" w:hanging="1440"/>
        <w:jc w:val="both"/>
        <w:rPr>
          <w:rFonts w:ascii="Book Antiqua" w:hAnsi="Book Antiqua" w:cs="Arial"/>
          <w:sz w:val="20"/>
          <w:szCs w:val="20"/>
        </w:rPr>
      </w:pPr>
    </w:p>
    <w:p w:rsidR="00BE4535" w:rsidRPr="00285763" w:rsidRDefault="00BE4535" w:rsidP="00BE4535">
      <w:pPr>
        <w:tabs>
          <w:tab w:val="left" w:pos="567"/>
        </w:tabs>
        <w:ind w:left="1440" w:hanging="1440"/>
        <w:jc w:val="both"/>
        <w:rPr>
          <w:rFonts w:ascii="Book Antiqua" w:hAnsi="Book Antiqua" w:cs="Arial"/>
          <w:sz w:val="20"/>
          <w:szCs w:val="20"/>
        </w:rPr>
      </w:pPr>
      <w:r w:rsidRPr="00285763">
        <w:rPr>
          <w:rFonts w:ascii="Book Antiqua" w:hAnsi="Book Antiqua" w:cs="Arial"/>
          <w:sz w:val="20"/>
          <w:szCs w:val="20"/>
        </w:rPr>
        <w:tab/>
        <w:t>21.</w:t>
      </w:r>
      <w:r w:rsidRPr="00285763">
        <w:rPr>
          <w:rFonts w:ascii="Book Antiqua" w:hAnsi="Book Antiqua" w:cs="Arial"/>
          <w:sz w:val="20"/>
          <w:szCs w:val="20"/>
        </w:rPr>
        <w:tab/>
        <w:t xml:space="preserve">I turn to the issue of proportionality. In making this assessment, I must </w:t>
      </w:r>
      <w:proofErr w:type="gramStart"/>
      <w:r w:rsidRPr="00285763">
        <w:rPr>
          <w:rFonts w:ascii="Book Antiqua" w:hAnsi="Book Antiqua" w:cs="Arial"/>
          <w:sz w:val="20"/>
          <w:szCs w:val="20"/>
        </w:rPr>
        <w:t>take into account</w:t>
      </w:r>
      <w:proofErr w:type="gramEnd"/>
      <w:r w:rsidRPr="00285763">
        <w:rPr>
          <w:rFonts w:ascii="Book Antiqua" w:hAnsi="Book Antiqua" w:cs="Arial"/>
          <w:sz w:val="20"/>
          <w:szCs w:val="20"/>
        </w:rPr>
        <w:t xml:space="preserve"> Section 117B of the 2002 Act and in particular the fact that the Appellant’s private and family life in the UK has been established over a period when she has been living here unlawfully. The Respondent’s legitimate aim in the maintenance of effective immigration co</w:t>
      </w:r>
      <w:r w:rsidR="00285763" w:rsidRPr="00285763">
        <w:rPr>
          <w:rFonts w:ascii="Book Antiqua" w:hAnsi="Book Antiqua" w:cs="Arial"/>
          <w:sz w:val="20"/>
          <w:szCs w:val="20"/>
        </w:rPr>
        <w:t xml:space="preserve">ntrol is in the public interest and particularly so in a case when the Appellant entered the country in 2001 on a six-month visit visa but overstayed and did not even seek to regularise her stay until some eleven years later. I fully accept that the Appellant has established strong ties in the UK and most importantly within the family of her daughter and grandchildren. Her granddaughter [A] is still a minor (as is her baby grandchild [B]) and Section 55 of the 2009 Act must therefore come into consideration. It could be said that it would be in the best interest of both these children for their grandmother to remain in the family household. However, [A] is at an age where she will be becoming more independent as she nears adulthood. The baby’s primary bond at this stage is likely to be with her mother (although I accept that she may also have built up a significant bond with her grandmother). The mother, who is currently on maternity leave, will be returning to work part-time and it is not unreasonable to expect her to make appropriate arrangements for childcare (including possibly </w:t>
      </w:r>
      <w:proofErr w:type="gramStart"/>
      <w:r w:rsidR="00285763" w:rsidRPr="00285763">
        <w:rPr>
          <w:rFonts w:ascii="Book Antiqua" w:hAnsi="Book Antiqua" w:cs="Arial"/>
          <w:sz w:val="20"/>
          <w:szCs w:val="20"/>
        </w:rPr>
        <w:t>by the use of</w:t>
      </w:r>
      <w:proofErr w:type="gramEnd"/>
      <w:r w:rsidR="00285763" w:rsidRPr="00285763">
        <w:rPr>
          <w:rFonts w:ascii="Book Antiqua" w:hAnsi="Book Antiqua" w:cs="Arial"/>
          <w:sz w:val="20"/>
          <w:szCs w:val="20"/>
        </w:rPr>
        <w:t xml:space="preserve"> a workplace crèche). </w:t>
      </w:r>
      <w:proofErr w:type="gramStart"/>
      <w:r w:rsidR="00285763" w:rsidRPr="00285763">
        <w:rPr>
          <w:rFonts w:ascii="Book Antiqua" w:hAnsi="Book Antiqua" w:cs="Arial"/>
          <w:sz w:val="20"/>
          <w:szCs w:val="20"/>
        </w:rPr>
        <w:t>Taking into account</w:t>
      </w:r>
      <w:proofErr w:type="gramEnd"/>
      <w:r w:rsidR="00285763" w:rsidRPr="00285763">
        <w:rPr>
          <w:rFonts w:ascii="Book Antiqua" w:hAnsi="Book Antiqua" w:cs="Arial"/>
          <w:sz w:val="20"/>
          <w:szCs w:val="20"/>
        </w:rPr>
        <w:t xml:space="preserve"> these Section 55 considerations and the overall strength of the Appellant’s private and family life in the UK, I still have to conclude that they are outweighed in this case by the public interest represented by the Secretary of State in the maintenance of an effective immigration policy. I therefore conclude that the respondent’s decision does not violate her Article 8 rights.”</w:t>
      </w:r>
    </w:p>
    <w:p w:rsidR="00285763" w:rsidRDefault="00285763" w:rsidP="00933B65">
      <w:pPr>
        <w:tabs>
          <w:tab w:val="left" w:pos="567"/>
        </w:tabs>
        <w:jc w:val="both"/>
        <w:rPr>
          <w:rFonts w:ascii="Book Antiqua" w:hAnsi="Book Antiqua" w:cs="Arial"/>
        </w:rPr>
      </w:pPr>
    </w:p>
    <w:p w:rsidR="001370D4" w:rsidRDefault="001370D4" w:rsidP="001370D4">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 xml:space="preserve">The appellant appeals the First-tier Tribunal decision </w:t>
      </w:r>
      <w:proofErr w:type="gramStart"/>
      <w:r>
        <w:rPr>
          <w:rFonts w:ascii="Book Antiqua" w:hAnsi="Book Antiqua" w:cs="Arial"/>
        </w:rPr>
        <w:t>on the ground that</w:t>
      </w:r>
      <w:proofErr w:type="gramEnd"/>
      <w:r>
        <w:rPr>
          <w:rFonts w:ascii="Book Antiqua" w:hAnsi="Book Antiqua" w:cs="Arial"/>
        </w:rPr>
        <w:t xml:space="preserve"> (</w:t>
      </w:r>
      <w:proofErr w:type="spellStart"/>
      <w:r>
        <w:rPr>
          <w:rFonts w:ascii="Book Antiqua" w:hAnsi="Book Antiqua" w:cs="Arial"/>
        </w:rPr>
        <w:t>i</w:t>
      </w:r>
      <w:proofErr w:type="spellEnd"/>
      <w:r>
        <w:rPr>
          <w:rFonts w:ascii="Book Antiqua" w:hAnsi="Book Antiqua" w:cs="Arial"/>
        </w:rPr>
        <w:t xml:space="preserve">) the judge failed to give adequate reasons to explain what weight was placed on various factors when conducting the balancing exercise; and (ii) failed to take into account the effect on other family members: </w:t>
      </w:r>
      <w:proofErr w:type="spellStart"/>
      <w:r w:rsidRPr="001370D4">
        <w:rPr>
          <w:rFonts w:ascii="Book Antiqua" w:hAnsi="Book Antiqua" w:cs="Arial"/>
          <w:i/>
        </w:rPr>
        <w:t>Beoku</w:t>
      </w:r>
      <w:proofErr w:type="spellEnd"/>
      <w:r w:rsidRPr="001370D4">
        <w:rPr>
          <w:rFonts w:ascii="Book Antiqua" w:hAnsi="Book Antiqua" w:cs="Arial"/>
          <w:i/>
        </w:rPr>
        <w:t>-Betts v SSHD</w:t>
      </w:r>
      <w:r>
        <w:rPr>
          <w:rFonts w:ascii="Book Antiqua" w:hAnsi="Book Antiqua" w:cs="Arial"/>
        </w:rPr>
        <w:t xml:space="preserve"> [2008] UKHL referred. </w:t>
      </w:r>
    </w:p>
    <w:p w:rsidR="00405694" w:rsidRDefault="00405694" w:rsidP="00933B65">
      <w:pPr>
        <w:tabs>
          <w:tab w:val="left" w:pos="567"/>
        </w:tabs>
        <w:jc w:val="both"/>
        <w:rPr>
          <w:rFonts w:ascii="Book Antiqua" w:hAnsi="Book Antiqua" w:cs="Arial"/>
        </w:rPr>
      </w:pPr>
    </w:p>
    <w:p w:rsidR="001370D4" w:rsidRDefault="001370D4" w:rsidP="001370D4">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t>First-tier Tribunal Judge P.M.J. Hollingworth granted permission to appeal in the following terms:</w:t>
      </w:r>
    </w:p>
    <w:p w:rsidR="001370D4" w:rsidRDefault="001370D4" w:rsidP="001370D4">
      <w:pPr>
        <w:tabs>
          <w:tab w:val="left" w:pos="567"/>
        </w:tabs>
        <w:ind w:left="564" w:hanging="564"/>
        <w:jc w:val="both"/>
        <w:rPr>
          <w:rFonts w:ascii="Book Antiqua" w:hAnsi="Book Antiqua" w:cs="Arial"/>
        </w:rPr>
      </w:pPr>
    </w:p>
    <w:p w:rsidR="001370D4" w:rsidRPr="00BC715C" w:rsidRDefault="001370D4" w:rsidP="001370D4">
      <w:pPr>
        <w:tabs>
          <w:tab w:val="left" w:pos="567"/>
        </w:tabs>
        <w:ind w:left="1440" w:hanging="564"/>
        <w:jc w:val="both"/>
        <w:rPr>
          <w:rFonts w:ascii="Book Antiqua" w:hAnsi="Book Antiqua" w:cs="Arial"/>
          <w:sz w:val="20"/>
          <w:szCs w:val="20"/>
        </w:rPr>
      </w:pPr>
      <w:r>
        <w:rPr>
          <w:rFonts w:ascii="Book Antiqua" w:hAnsi="Book Antiqua" w:cs="Arial"/>
        </w:rPr>
        <w:tab/>
      </w:r>
      <w:r w:rsidRPr="00BC715C">
        <w:rPr>
          <w:rFonts w:ascii="Book Antiqua" w:hAnsi="Book Antiqua" w:cs="Arial"/>
          <w:sz w:val="20"/>
          <w:szCs w:val="20"/>
        </w:rPr>
        <w:t xml:space="preserve">“At paragraph 21 of the decision it appears that the Judge accepts that family life has been established. In relation to Section 55 the Judge states that it could be said that it would be in the best interests for both the children for their grandmother to remain in the family household. It appears that the Judge has concluded that in fact it would be in their best interests. It is unclear what conclusions the Judge has reached in the context specifically of the overall strength of the Appellant’s family life in the United Kingdom given the Judge’s reference at paragraph 21 of the decision to the overall strength of the Appellant’s private and </w:t>
      </w:r>
      <w:r w:rsidRPr="00BC715C">
        <w:rPr>
          <w:rFonts w:ascii="Book Antiqua" w:hAnsi="Book Antiqua" w:cs="Arial"/>
          <w:sz w:val="20"/>
          <w:szCs w:val="20"/>
        </w:rPr>
        <w:lastRenderedPageBreak/>
        <w:t>family life in the United Kingdom given the use of the language employed at paragraph 20 in the context of family life. It appears that the Judge has attributed strength to the family life of the Appellant</w:t>
      </w:r>
      <w:r w:rsidR="00BC715C" w:rsidRPr="00BC715C">
        <w:rPr>
          <w:rFonts w:ascii="Book Antiqua" w:hAnsi="Book Antiqua" w:cs="Arial"/>
          <w:sz w:val="20"/>
          <w:szCs w:val="20"/>
        </w:rPr>
        <w:t xml:space="preserve"> …… the Judge still had to conclude that the private and family life </w:t>
      </w:r>
      <w:proofErr w:type="gramStart"/>
      <w:r w:rsidR="00BC715C" w:rsidRPr="00BC715C">
        <w:rPr>
          <w:rFonts w:ascii="Book Antiqua" w:hAnsi="Book Antiqua" w:cs="Arial"/>
          <w:sz w:val="20"/>
          <w:szCs w:val="20"/>
        </w:rPr>
        <w:t>were</w:t>
      </w:r>
      <w:proofErr w:type="gramEnd"/>
      <w:r w:rsidR="00BC715C" w:rsidRPr="00BC715C">
        <w:rPr>
          <w:rFonts w:ascii="Book Antiqua" w:hAnsi="Book Antiqua" w:cs="Arial"/>
          <w:sz w:val="20"/>
          <w:szCs w:val="20"/>
        </w:rPr>
        <w:t xml:space="preserve"> outweighed by the public interest. The actual weight attached to the family life of the appellant remains unclear given the contrasting language employed at paragraph 20 and 21. In these circumstances the actual weight attached to the conclusion drawn from the application of Section 55 is unclear given the circumstances related by the Judge appertaining to the application of Section 55. It is arguable that in the matrix of factors the Judge has attached excessive weight to </w:t>
      </w:r>
      <w:proofErr w:type="gramStart"/>
      <w:r w:rsidR="00BC715C" w:rsidRPr="00BC715C">
        <w:rPr>
          <w:rFonts w:ascii="Book Antiqua" w:hAnsi="Book Antiqua" w:cs="Arial"/>
          <w:sz w:val="20"/>
          <w:szCs w:val="20"/>
        </w:rPr>
        <w:t>whether or not</w:t>
      </w:r>
      <w:proofErr w:type="gramEnd"/>
      <w:r w:rsidR="00BC715C" w:rsidRPr="00BC715C">
        <w:rPr>
          <w:rFonts w:ascii="Book Antiqua" w:hAnsi="Book Antiqua" w:cs="Arial"/>
          <w:sz w:val="20"/>
          <w:szCs w:val="20"/>
        </w:rPr>
        <w:t xml:space="preserve"> the Appellant would receive assistance if she were to return.”</w:t>
      </w:r>
    </w:p>
    <w:p w:rsidR="001370D4" w:rsidRDefault="001370D4" w:rsidP="00933B65">
      <w:pPr>
        <w:tabs>
          <w:tab w:val="left" w:pos="567"/>
        </w:tabs>
        <w:jc w:val="both"/>
        <w:rPr>
          <w:rFonts w:ascii="Book Antiqua" w:hAnsi="Book Antiqua" w:cs="Arial"/>
        </w:rPr>
      </w:pPr>
    </w:p>
    <w:p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rsidR="00405694" w:rsidRDefault="00405694" w:rsidP="00933B65">
      <w:pPr>
        <w:tabs>
          <w:tab w:val="left" w:pos="567"/>
        </w:tabs>
        <w:jc w:val="both"/>
        <w:rPr>
          <w:rFonts w:ascii="Book Antiqua" w:hAnsi="Book Antiqua" w:cs="Arial"/>
        </w:rPr>
      </w:pPr>
    </w:p>
    <w:p w:rsidR="009A1DDB" w:rsidRPr="009A1DDB" w:rsidRDefault="009A1DDB" w:rsidP="00933B65">
      <w:pPr>
        <w:tabs>
          <w:tab w:val="left" w:pos="567"/>
        </w:tabs>
        <w:jc w:val="both"/>
        <w:rPr>
          <w:rFonts w:ascii="Book Antiqua" w:hAnsi="Book Antiqua" w:cs="Arial"/>
          <w:i/>
        </w:rPr>
      </w:pPr>
      <w:r w:rsidRPr="009A1DDB">
        <w:rPr>
          <w:rFonts w:ascii="Book Antiqua" w:hAnsi="Book Antiqua" w:cs="Arial"/>
          <w:i/>
        </w:rPr>
        <w:t>Error of law decision</w:t>
      </w:r>
    </w:p>
    <w:p w:rsidR="009A1DDB" w:rsidRDefault="009A1DDB" w:rsidP="00933B65">
      <w:pPr>
        <w:tabs>
          <w:tab w:val="left" w:pos="567"/>
        </w:tabs>
        <w:jc w:val="both"/>
        <w:rPr>
          <w:rFonts w:ascii="Book Antiqua" w:hAnsi="Book Antiqua" w:cs="Arial"/>
        </w:rPr>
      </w:pPr>
    </w:p>
    <w:p w:rsidR="007831FC" w:rsidRDefault="006128AF" w:rsidP="006128AF">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r>
      <w:r>
        <w:rPr>
          <w:rFonts w:ascii="Book Antiqua" w:hAnsi="Book Antiqua" w:cs="Arial"/>
        </w:rPr>
        <w:tab/>
      </w:r>
      <w:r w:rsidR="002641B9">
        <w:rPr>
          <w:rFonts w:ascii="Book Antiqua" w:hAnsi="Book Antiqua" w:cs="Arial"/>
        </w:rPr>
        <w:t xml:space="preserve">There is </w:t>
      </w:r>
      <w:r w:rsidR="007831FC">
        <w:rPr>
          <w:rFonts w:ascii="Book Antiqua" w:hAnsi="Book Antiqua" w:cs="Arial"/>
        </w:rPr>
        <w:t xml:space="preserve">no challenge to the judge’s findings of fact or his conclusion that the appellant did not meet the private life requirements of paragraph 276ADE. The judge </w:t>
      </w:r>
      <w:r w:rsidR="005B2150">
        <w:rPr>
          <w:rFonts w:ascii="Book Antiqua" w:hAnsi="Book Antiqua" w:cs="Arial"/>
        </w:rPr>
        <w:t xml:space="preserve">heard evidence from the witnesses and </w:t>
      </w:r>
      <w:r w:rsidR="007831FC">
        <w:rPr>
          <w:rFonts w:ascii="Book Antiqua" w:hAnsi="Book Antiqua" w:cs="Arial"/>
        </w:rPr>
        <w:t xml:space="preserve">concluded that the appellant’s relationship with family members was sufficiently strong to amount to family life </w:t>
      </w:r>
      <w:proofErr w:type="gramStart"/>
      <w:r w:rsidR="007831FC">
        <w:rPr>
          <w:rFonts w:ascii="Book Antiqua" w:hAnsi="Book Antiqua" w:cs="Arial"/>
        </w:rPr>
        <w:t>for the purpose of</w:t>
      </w:r>
      <w:proofErr w:type="gramEnd"/>
      <w:r w:rsidR="007831FC">
        <w:rPr>
          <w:rFonts w:ascii="Book Antiqua" w:hAnsi="Book Antiqua" w:cs="Arial"/>
        </w:rPr>
        <w:t xml:space="preserve"> assessing Article 8(1) outside the rules. The only challenge is to the judge’s proportionality assessment under Article 8(2). </w:t>
      </w:r>
    </w:p>
    <w:p w:rsidR="007831FC" w:rsidRDefault="007831FC" w:rsidP="00933B65">
      <w:pPr>
        <w:tabs>
          <w:tab w:val="left" w:pos="567"/>
        </w:tabs>
        <w:jc w:val="both"/>
        <w:rPr>
          <w:rFonts w:ascii="Book Antiqua" w:hAnsi="Book Antiqua" w:cs="Arial"/>
        </w:rPr>
      </w:pPr>
    </w:p>
    <w:p w:rsidR="00527D3F" w:rsidRDefault="002641B9" w:rsidP="00527D3F">
      <w:pPr>
        <w:tabs>
          <w:tab w:val="left" w:pos="567"/>
        </w:tabs>
        <w:ind w:left="564" w:hanging="564"/>
        <w:jc w:val="both"/>
        <w:rPr>
          <w:rFonts w:ascii="Book Antiqua" w:hAnsi="Book Antiqua" w:cs="Arial"/>
        </w:rPr>
      </w:pPr>
      <w:r>
        <w:rPr>
          <w:rFonts w:ascii="Book Antiqua" w:hAnsi="Book Antiqua" w:cs="Arial"/>
        </w:rPr>
        <w:t>6</w:t>
      </w:r>
      <w:r w:rsidR="005B2150">
        <w:rPr>
          <w:rFonts w:ascii="Book Antiqua" w:hAnsi="Book Antiqua" w:cs="Arial"/>
        </w:rPr>
        <w:t>.</w:t>
      </w:r>
      <w:r w:rsidR="005B2150">
        <w:rPr>
          <w:rFonts w:ascii="Book Antiqua" w:hAnsi="Book Antiqua" w:cs="Arial"/>
        </w:rPr>
        <w:tab/>
      </w:r>
      <w:r w:rsidR="00230608">
        <w:rPr>
          <w:rFonts w:ascii="Book Antiqua" w:hAnsi="Book Antiqua" w:cs="Arial"/>
        </w:rPr>
        <w:t>The judge’s findings relating to the interests of the two children who</w:t>
      </w:r>
      <w:r w:rsidR="00911822">
        <w:rPr>
          <w:rFonts w:ascii="Book Antiqua" w:hAnsi="Book Antiqua" w:cs="Arial"/>
        </w:rPr>
        <w:t xml:space="preserve"> were</w:t>
      </w:r>
      <w:r w:rsidR="00230608">
        <w:rPr>
          <w:rFonts w:ascii="Book Antiqua" w:hAnsi="Book Antiqua" w:cs="Arial"/>
        </w:rPr>
        <w:t xml:space="preserve"> still minors are unclear. At [21] he found that the appellant had played an important part in the upbringing of her grandchildren. He went on to note: “It could be said that it would be in the interests of </w:t>
      </w:r>
      <w:proofErr w:type="gramStart"/>
      <w:r w:rsidR="00230608">
        <w:rPr>
          <w:rFonts w:ascii="Book Antiqua" w:hAnsi="Book Antiqua" w:cs="Arial"/>
        </w:rPr>
        <w:t>both of these</w:t>
      </w:r>
      <w:proofErr w:type="gramEnd"/>
      <w:r w:rsidR="00230608">
        <w:rPr>
          <w:rFonts w:ascii="Book Antiqua" w:hAnsi="Book Antiqua" w:cs="Arial"/>
        </w:rPr>
        <w:t xml:space="preserve"> children for their grandmother to remain in the family household.” However, he then went on to give reasons why the interests of the children might not be so affected. It is simply unclear whether the judge concluded that it was in the interests of the children for the appellant to remain part of the family in the UK or not. A clear finding needed to be made to then apportion correct weight to the interests of those children in the balancing exercise. If the judge </w:t>
      </w:r>
      <w:r w:rsidR="00527D3F">
        <w:rPr>
          <w:rFonts w:ascii="Book Antiqua" w:hAnsi="Book Antiqua" w:cs="Arial"/>
        </w:rPr>
        <w:t>concluded, as the judge who granted permission thought,</w:t>
      </w:r>
      <w:r w:rsidR="00230608">
        <w:rPr>
          <w:rFonts w:ascii="Book Antiqua" w:hAnsi="Book Antiqua" w:cs="Arial"/>
        </w:rPr>
        <w:t xml:space="preserve"> that it was in the best interests of the children for their grandmother to remain in the UK, their interests were a primary consideration that should have been given significant weight. Nothing in the judge’s findings at </w:t>
      </w:r>
      <w:r w:rsidR="00527D3F">
        <w:rPr>
          <w:rFonts w:ascii="Book Antiqua" w:hAnsi="Book Antiqua" w:cs="Arial"/>
        </w:rPr>
        <w:t xml:space="preserve">[21] indicates what his conclusion was regarding the interests of the children or what weight was given to their interests in the balancing exercise. </w:t>
      </w:r>
    </w:p>
    <w:p w:rsidR="002641B9" w:rsidRDefault="002641B9" w:rsidP="00527D3F">
      <w:pPr>
        <w:tabs>
          <w:tab w:val="left" w:pos="567"/>
        </w:tabs>
        <w:ind w:left="564" w:hanging="564"/>
        <w:jc w:val="both"/>
        <w:rPr>
          <w:rFonts w:ascii="Book Antiqua" w:hAnsi="Book Antiqua" w:cs="Arial"/>
        </w:rPr>
      </w:pPr>
    </w:p>
    <w:p w:rsidR="009A1DDB" w:rsidRDefault="002641B9" w:rsidP="00527D3F">
      <w:pPr>
        <w:tabs>
          <w:tab w:val="left" w:pos="567"/>
        </w:tabs>
        <w:ind w:left="564" w:hanging="564"/>
        <w:jc w:val="both"/>
        <w:rPr>
          <w:rFonts w:ascii="Book Antiqua" w:hAnsi="Book Antiqua" w:cs="Arial"/>
        </w:rPr>
      </w:pPr>
      <w:r>
        <w:rPr>
          <w:rFonts w:ascii="Book Antiqua" w:hAnsi="Book Antiqua" w:cs="Arial"/>
        </w:rPr>
        <w:t>7</w:t>
      </w:r>
      <w:r w:rsidR="00527D3F">
        <w:rPr>
          <w:rFonts w:ascii="Book Antiqua" w:hAnsi="Book Antiqua" w:cs="Arial"/>
        </w:rPr>
        <w:t>.</w:t>
      </w:r>
      <w:r w:rsidR="00527D3F">
        <w:rPr>
          <w:rFonts w:ascii="Book Antiqua" w:hAnsi="Book Antiqua" w:cs="Arial"/>
        </w:rPr>
        <w:tab/>
        <w:t>A</w:t>
      </w:r>
      <w:r w:rsidR="009A1DDB">
        <w:rPr>
          <w:rFonts w:ascii="Book Antiqua" w:hAnsi="Book Antiqua" w:cs="Arial"/>
        </w:rPr>
        <w:t>lthough the fact of overstaying for such a long period clearly is a public interest consideration, the findings in [21] do not explain why the appellant’s immigration history was sufficient serious to outweigh the best interests of the children, if that was in</w:t>
      </w:r>
      <w:r w:rsidR="00AB3522">
        <w:rPr>
          <w:rFonts w:ascii="Book Antiqua" w:hAnsi="Book Antiqua" w:cs="Arial"/>
        </w:rPr>
        <w:t xml:space="preserve"> fact what the judge had found. For these reasons, I conclude that the First-tier Tribunal decision involved the making of an error of law. That part of the decision that relates to </w:t>
      </w:r>
      <w:r w:rsidR="009E2A33">
        <w:rPr>
          <w:rFonts w:ascii="Book Antiqua" w:hAnsi="Book Antiqua" w:cs="Arial"/>
        </w:rPr>
        <w:t xml:space="preserve">the </w:t>
      </w:r>
      <w:r w:rsidR="00AB3522">
        <w:rPr>
          <w:rFonts w:ascii="Book Antiqua" w:hAnsi="Book Antiqua" w:cs="Arial"/>
        </w:rPr>
        <w:t xml:space="preserve">Article 8(2) </w:t>
      </w:r>
      <w:r w:rsidR="009E2A33">
        <w:rPr>
          <w:rFonts w:ascii="Book Antiqua" w:hAnsi="Book Antiqua" w:cs="Arial"/>
        </w:rPr>
        <w:t>assessment</w:t>
      </w:r>
      <w:r w:rsidR="00AB3522">
        <w:rPr>
          <w:rFonts w:ascii="Book Antiqua" w:hAnsi="Book Antiqua" w:cs="Arial"/>
        </w:rPr>
        <w:t xml:space="preserve"> is set aside. </w:t>
      </w:r>
    </w:p>
    <w:p w:rsidR="00405694" w:rsidRDefault="00405694" w:rsidP="00933B65">
      <w:pPr>
        <w:tabs>
          <w:tab w:val="left" w:pos="567"/>
        </w:tabs>
        <w:jc w:val="both"/>
        <w:rPr>
          <w:rFonts w:ascii="Book Antiqua" w:hAnsi="Book Antiqua" w:cs="Arial"/>
        </w:rPr>
      </w:pPr>
    </w:p>
    <w:p w:rsidR="00527D3F" w:rsidRPr="00AB3522" w:rsidRDefault="009A1DDB" w:rsidP="00933B65">
      <w:pPr>
        <w:tabs>
          <w:tab w:val="left" w:pos="567"/>
        </w:tabs>
        <w:jc w:val="both"/>
        <w:rPr>
          <w:rFonts w:ascii="Book Antiqua" w:hAnsi="Book Antiqua" w:cs="Arial"/>
          <w:i/>
        </w:rPr>
      </w:pPr>
      <w:r w:rsidRPr="009A1DDB">
        <w:rPr>
          <w:rFonts w:ascii="Book Antiqua" w:hAnsi="Book Antiqua" w:cs="Arial"/>
          <w:i/>
        </w:rPr>
        <w:t>Remaking</w:t>
      </w:r>
    </w:p>
    <w:p w:rsidR="00527D3F" w:rsidRDefault="00527D3F" w:rsidP="00933B65">
      <w:pPr>
        <w:tabs>
          <w:tab w:val="left" w:pos="567"/>
        </w:tabs>
        <w:jc w:val="both"/>
        <w:rPr>
          <w:rFonts w:ascii="Book Antiqua" w:hAnsi="Book Antiqua" w:cs="Arial"/>
        </w:rPr>
      </w:pPr>
    </w:p>
    <w:p w:rsidR="0076708D" w:rsidRDefault="002641B9" w:rsidP="00AB3522">
      <w:pPr>
        <w:tabs>
          <w:tab w:val="left" w:pos="567"/>
        </w:tabs>
        <w:ind w:left="564" w:hanging="564"/>
        <w:jc w:val="both"/>
        <w:rPr>
          <w:rFonts w:ascii="Book Antiqua" w:hAnsi="Book Antiqua" w:cs="Arial"/>
        </w:rPr>
      </w:pPr>
      <w:r>
        <w:rPr>
          <w:rFonts w:ascii="Book Antiqua" w:hAnsi="Book Antiqua" w:cs="Arial"/>
        </w:rPr>
        <w:t>8</w:t>
      </w:r>
      <w:r w:rsidR="00AB3522">
        <w:rPr>
          <w:rFonts w:ascii="Book Antiqua" w:hAnsi="Book Antiqua" w:cs="Arial"/>
        </w:rPr>
        <w:t>.</w:t>
      </w:r>
      <w:r w:rsidR="00AB3522">
        <w:rPr>
          <w:rFonts w:ascii="Book Antiqua" w:hAnsi="Book Antiqua" w:cs="Arial"/>
        </w:rPr>
        <w:tab/>
        <w:t xml:space="preserve">The appellant is a </w:t>
      </w:r>
      <w:r w:rsidR="000E13A3">
        <w:rPr>
          <w:rFonts w:ascii="Book Antiqua" w:hAnsi="Book Antiqua" w:cs="Arial"/>
        </w:rPr>
        <w:t>64</w:t>
      </w:r>
      <w:r w:rsidR="00AB3522">
        <w:rPr>
          <w:rFonts w:ascii="Book Antiqua" w:hAnsi="Book Antiqua" w:cs="Arial"/>
        </w:rPr>
        <w:t>-year-old woman w</w:t>
      </w:r>
      <w:r w:rsidR="0076708D">
        <w:rPr>
          <w:rFonts w:ascii="Book Antiqua" w:hAnsi="Book Antiqua" w:cs="Arial"/>
        </w:rPr>
        <w:t xml:space="preserve">ho has lived in the UK for a period of 17 </w:t>
      </w:r>
      <w:r w:rsidR="00AB3522">
        <w:rPr>
          <w:rFonts w:ascii="Book Antiqua" w:hAnsi="Book Antiqua" w:cs="Arial"/>
        </w:rPr>
        <w:t>years. The First-tier Tribunal judge</w:t>
      </w:r>
      <w:r w:rsidR="0076708D">
        <w:rPr>
          <w:rFonts w:ascii="Book Antiqua" w:hAnsi="Book Antiqua" w:cs="Arial"/>
        </w:rPr>
        <w:t xml:space="preserve"> found that she has established close ties with her family </w:t>
      </w:r>
      <w:r w:rsidR="0076708D">
        <w:rPr>
          <w:rFonts w:ascii="Book Antiqua" w:hAnsi="Book Antiqua" w:cs="Arial"/>
        </w:rPr>
        <w:lastRenderedPageBreak/>
        <w:t xml:space="preserve">and that removal would </w:t>
      </w:r>
      <w:r w:rsidR="00E62096">
        <w:rPr>
          <w:rFonts w:ascii="Book Antiqua" w:hAnsi="Book Antiqua" w:cs="Arial"/>
        </w:rPr>
        <w:t xml:space="preserve">have a sufficiently grave effect </w:t>
      </w:r>
      <w:r w:rsidR="00AB3522">
        <w:rPr>
          <w:rFonts w:ascii="Book Antiqua" w:hAnsi="Book Antiqua" w:cs="Arial"/>
        </w:rPr>
        <w:t xml:space="preserve">on her family and private life </w:t>
      </w:r>
      <w:r w:rsidR="00E62096">
        <w:rPr>
          <w:rFonts w:ascii="Book Antiqua" w:hAnsi="Book Antiqua" w:cs="Arial"/>
        </w:rPr>
        <w:t>to engag</w:t>
      </w:r>
      <w:r w:rsidR="00AB3522">
        <w:rPr>
          <w:rFonts w:ascii="Book Antiqua" w:hAnsi="Book Antiqua" w:cs="Arial"/>
        </w:rPr>
        <w:t>e the operation of Article 8(1).</w:t>
      </w:r>
    </w:p>
    <w:p w:rsidR="0031545E" w:rsidRDefault="0031545E" w:rsidP="00933B65">
      <w:pPr>
        <w:tabs>
          <w:tab w:val="left" w:pos="567"/>
        </w:tabs>
        <w:jc w:val="both"/>
        <w:rPr>
          <w:rFonts w:ascii="Book Antiqua" w:hAnsi="Book Antiqua" w:cs="Arial"/>
        </w:rPr>
      </w:pPr>
    </w:p>
    <w:p w:rsidR="00AB3522" w:rsidRDefault="002641B9" w:rsidP="00AB3522">
      <w:pPr>
        <w:tabs>
          <w:tab w:val="left" w:pos="567"/>
        </w:tabs>
        <w:ind w:left="564" w:hanging="564"/>
        <w:jc w:val="both"/>
        <w:rPr>
          <w:rFonts w:ascii="Book Antiqua" w:hAnsi="Book Antiqua" w:cs="Arial"/>
        </w:rPr>
      </w:pPr>
      <w:r>
        <w:rPr>
          <w:rFonts w:ascii="Book Antiqua" w:hAnsi="Book Antiqua" w:cs="Arial"/>
        </w:rPr>
        <w:t>9</w:t>
      </w:r>
      <w:r w:rsidR="00AB3522">
        <w:rPr>
          <w:rFonts w:ascii="Book Antiqua" w:hAnsi="Book Antiqua" w:cs="Arial"/>
        </w:rPr>
        <w:t>.</w:t>
      </w:r>
      <w:r w:rsidR="00AB3522">
        <w:rPr>
          <w:rFonts w:ascii="Book Antiqua" w:hAnsi="Book Antiqua" w:cs="Arial"/>
        </w:rPr>
        <w:tab/>
        <w:t xml:space="preserve">The appellant lives with her daughter and her three </w:t>
      </w:r>
      <w:r w:rsidR="000E13A3">
        <w:rPr>
          <w:rFonts w:ascii="Book Antiqua" w:hAnsi="Book Antiqua" w:cs="Arial"/>
        </w:rPr>
        <w:t>grand</w:t>
      </w:r>
      <w:r w:rsidR="00AB3522">
        <w:rPr>
          <w:rFonts w:ascii="Book Antiqua" w:hAnsi="Book Antiqua" w:cs="Arial"/>
        </w:rPr>
        <w:t>children. She was closely involved in helping her daughter to bring up the two older grandchildren. Her grandson is now 20 years old. He gave evidence at the First-tier Tribunal he</w:t>
      </w:r>
      <w:r w:rsidR="00DF00B0">
        <w:rPr>
          <w:rFonts w:ascii="Book Antiqua" w:hAnsi="Book Antiqua" w:cs="Arial"/>
        </w:rPr>
        <w:t>aring. His witness statement said</w:t>
      </w:r>
      <w:r w:rsidR="00AB3522">
        <w:rPr>
          <w:rFonts w:ascii="Book Antiqua" w:hAnsi="Book Antiqua" w:cs="Arial"/>
        </w:rPr>
        <w:t xml:space="preserve"> that his grandmother was closely involved in his upbringing. She has li</w:t>
      </w:r>
      <w:r w:rsidR="00DF00B0">
        <w:rPr>
          <w:rFonts w:ascii="Book Antiqua" w:hAnsi="Book Antiqua" w:cs="Arial"/>
        </w:rPr>
        <w:t xml:space="preserve">ved with the family since he was three years old. He describes the practical and emotional support his grandmother has </w:t>
      </w:r>
      <w:r w:rsidR="00BC6537">
        <w:rPr>
          <w:rFonts w:ascii="Book Antiqua" w:hAnsi="Book Antiqua" w:cs="Arial"/>
        </w:rPr>
        <w:t xml:space="preserve">given </w:t>
      </w:r>
      <w:r w:rsidR="00DF00B0">
        <w:rPr>
          <w:rFonts w:ascii="Book Antiqua" w:hAnsi="Book Antiqua" w:cs="Arial"/>
        </w:rPr>
        <w:t xml:space="preserve">him. He says that he would be devastated if she had to return to Ghana. She was firmly established with them in the UK. He saw her as a second mother. </w:t>
      </w:r>
    </w:p>
    <w:p w:rsidR="00DF00B0" w:rsidRDefault="00DF00B0" w:rsidP="00AB3522">
      <w:pPr>
        <w:tabs>
          <w:tab w:val="left" w:pos="567"/>
        </w:tabs>
        <w:ind w:left="564" w:hanging="564"/>
        <w:jc w:val="both"/>
        <w:rPr>
          <w:rFonts w:ascii="Book Antiqua" w:hAnsi="Book Antiqua" w:cs="Arial"/>
        </w:rPr>
      </w:pPr>
    </w:p>
    <w:p w:rsidR="00DF00B0" w:rsidRDefault="002641B9" w:rsidP="009D4AB3">
      <w:pPr>
        <w:tabs>
          <w:tab w:val="left" w:pos="567"/>
        </w:tabs>
        <w:ind w:left="564" w:hanging="564"/>
        <w:jc w:val="both"/>
        <w:rPr>
          <w:rFonts w:ascii="Book Antiqua" w:hAnsi="Book Antiqua" w:cs="Arial"/>
        </w:rPr>
      </w:pPr>
      <w:r>
        <w:rPr>
          <w:rFonts w:ascii="Book Antiqua" w:hAnsi="Book Antiqua" w:cs="Arial"/>
        </w:rPr>
        <w:t>10</w:t>
      </w:r>
      <w:r w:rsidR="00DF00B0">
        <w:rPr>
          <w:rFonts w:ascii="Book Antiqua" w:hAnsi="Book Antiqua" w:cs="Arial"/>
        </w:rPr>
        <w:t xml:space="preserve">. </w:t>
      </w:r>
      <w:r w:rsidR="00DF00B0">
        <w:rPr>
          <w:rFonts w:ascii="Book Antiqua" w:hAnsi="Book Antiqua" w:cs="Arial"/>
        </w:rPr>
        <w:tab/>
        <w:t>The appellant’s daughter said that she arrived in the UK in 1994 and is now a British citizen. She said that her father walked out when she was three years old and her mother raised</w:t>
      </w:r>
      <w:r w:rsidR="008E1FED">
        <w:rPr>
          <w:rFonts w:ascii="Book Antiqua" w:hAnsi="Book Antiqua" w:cs="Arial"/>
        </w:rPr>
        <w:t xml:space="preserve"> her as a single parent. She has</w:t>
      </w:r>
      <w:r w:rsidR="00DF00B0">
        <w:rPr>
          <w:rFonts w:ascii="Book Antiqua" w:hAnsi="Book Antiqua" w:cs="Arial"/>
        </w:rPr>
        <w:t xml:space="preserve"> three children. </w:t>
      </w:r>
      <w:r w:rsidR="00BB0052">
        <w:rPr>
          <w:rFonts w:ascii="Book Antiqua" w:hAnsi="Book Antiqua" w:cs="Arial"/>
        </w:rPr>
        <w:t>Little</w:t>
      </w:r>
      <w:r w:rsidR="009D4AB3">
        <w:rPr>
          <w:rFonts w:ascii="Book Antiqua" w:hAnsi="Book Antiqua" w:cs="Arial"/>
        </w:rPr>
        <w:t xml:space="preserve"> is said about the role that their fathers might play in their lives, if any, save for the appellant’s daughter saying that she has sole responsibility for the children. She brought the children up with the appellant’s assistance. </w:t>
      </w:r>
      <w:r w:rsidR="003430E3">
        <w:rPr>
          <w:rFonts w:ascii="Book Antiqua" w:hAnsi="Book Antiqua" w:cs="Arial"/>
        </w:rPr>
        <w:t xml:space="preserve">The appellant’s daughter says that her family would be “terribly affected” if the appellant returned to Ghana. Her mother was now settled in the UK and was an important part of their lives. </w:t>
      </w:r>
    </w:p>
    <w:p w:rsidR="009D4AB3" w:rsidRDefault="009D4AB3" w:rsidP="00AB3522">
      <w:pPr>
        <w:tabs>
          <w:tab w:val="left" w:pos="567"/>
        </w:tabs>
        <w:ind w:left="564" w:hanging="564"/>
        <w:jc w:val="both"/>
        <w:rPr>
          <w:rFonts w:ascii="Book Antiqua" w:hAnsi="Book Antiqua" w:cs="Arial"/>
        </w:rPr>
      </w:pPr>
    </w:p>
    <w:p w:rsidR="002C2A64" w:rsidRDefault="002641B9" w:rsidP="002C2A64">
      <w:pPr>
        <w:tabs>
          <w:tab w:val="left" w:pos="567"/>
        </w:tabs>
        <w:ind w:left="564" w:hanging="564"/>
        <w:jc w:val="both"/>
        <w:rPr>
          <w:rFonts w:ascii="Book Antiqua" w:hAnsi="Book Antiqua" w:cs="Arial"/>
        </w:rPr>
      </w:pPr>
      <w:r>
        <w:rPr>
          <w:rFonts w:ascii="Book Antiqua" w:hAnsi="Book Antiqua" w:cs="Arial"/>
        </w:rPr>
        <w:t>11</w:t>
      </w:r>
      <w:r w:rsidR="009D4AB3">
        <w:rPr>
          <w:rFonts w:ascii="Book Antiqua" w:hAnsi="Book Antiqua" w:cs="Arial"/>
        </w:rPr>
        <w:t>.</w:t>
      </w:r>
      <w:r w:rsidR="009D4AB3">
        <w:rPr>
          <w:rFonts w:ascii="Book Antiqua" w:hAnsi="Book Antiqua" w:cs="Arial"/>
        </w:rPr>
        <w:tab/>
        <w:t>The appellant’s first granddaughter has now turned 18 years old. She is no longer a child. I bear in mind that there is not a bright line between childhood and adulthood a</w:t>
      </w:r>
      <w:r w:rsidR="002C2A64">
        <w:rPr>
          <w:rFonts w:ascii="Book Antiqua" w:hAnsi="Book Antiqua" w:cs="Arial"/>
        </w:rPr>
        <w:t xml:space="preserve">nd that the substance of their relationship </w:t>
      </w:r>
      <w:r w:rsidR="000E13A3">
        <w:rPr>
          <w:rFonts w:ascii="Book Antiqua" w:hAnsi="Book Antiqua" w:cs="Arial"/>
        </w:rPr>
        <w:t>is not likely</w:t>
      </w:r>
      <w:r w:rsidR="002C2A64">
        <w:rPr>
          <w:rFonts w:ascii="Book Antiqua" w:hAnsi="Book Antiqua" w:cs="Arial"/>
        </w:rPr>
        <w:t xml:space="preserve"> to have changed in any significant way. One might expect older children to be moving to</w:t>
      </w:r>
      <w:r w:rsidR="000E13A3">
        <w:rPr>
          <w:rFonts w:ascii="Book Antiqua" w:hAnsi="Book Antiqua" w:cs="Arial"/>
        </w:rPr>
        <w:t>wards independence. I</w:t>
      </w:r>
      <w:r w:rsidR="002C2A64">
        <w:rPr>
          <w:rFonts w:ascii="Book Antiqua" w:hAnsi="Book Antiqua" w:cs="Arial"/>
        </w:rPr>
        <w:t xml:space="preserve">n this case both the oldest grandchildren would appear to still be living in the family home. There is no witness statement from the appellant’s granddaughter, but it is reasonable to infer that the impact </w:t>
      </w:r>
      <w:r w:rsidR="00796F30">
        <w:rPr>
          <w:rFonts w:ascii="Book Antiqua" w:hAnsi="Book Antiqua" w:cs="Arial"/>
        </w:rPr>
        <w:t xml:space="preserve">of removal </w:t>
      </w:r>
      <w:r w:rsidR="002C2A64">
        <w:rPr>
          <w:rFonts w:ascii="Book Antiqua" w:hAnsi="Book Antiqua" w:cs="Arial"/>
        </w:rPr>
        <w:t xml:space="preserve">is likely to be </w:t>
      </w:r>
      <w:proofErr w:type="gramStart"/>
      <w:r w:rsidR="002C2A64">
        <w:rPr>
          <w:rFonts w:ascii="Book Antiqua" w:hAnsi="Book Antiqua" w:cs="Arial"/>
        </w:rPr>
        <w:t>similar to</w:t>
      </w:r>
      <w:proofErr w:type="gramEnd"/>
      <w:r w:rsidR="002C2A64">
        <w:rPr>
          <w:rFonts w:ascii="Book Antiqua" w:hAnsi="Book Antiqua" w:cs="Arial"/>
        </w:rPr>
        <w:t xml:space="preserve"> that described by her brother. </w:t>
      </w:r>
    </w:p>
    <w:p w:rsidR="002C2A64" w:rsidRDefault="002C2A64" w:rsidP="002C2A64">
      <w:pPr>
        <w:tabs>
          <w:tab w:val="left" w:pos="567"/>
        </w:tabs>
        <w:ind w:left="564" w:hanging="564"/>
        <w:jc w:val="both"/>
        <w:rPr>
          <w:rFonts w:ascii="Book Antiqua" w:hAnsi="Book Antiqua" w:cs="Arial"/>
        </w:rPr>
      </w:pPr>
    </w:p>
    <w:p w:rsidR="00796F30" w:rsidRDefault="002C2A64" w:rsidP="003430E3">
      <w:pPr>
        <w:tabs>
          <w:tab w:val="left" w:pos="567"/>
        </w:tabs>
        <w:ind w:left="564" w:hanging="564"/>
        <w:jc w:val="both"/>
        <w:rPr>
          <w:rStyle w:val="apple-converted-space"/>
          <w:rFonts w:ascii="Book Antiqua" w:hAnsi="Book Antiqua"/>
          <w:color w:val="000000"/>
        </w:rPr>
      </w:pPr>
      <w:r>
        <w:rPr>
          <w:rFonts w:ascii="Book Antiqua" w:hAnsi="Book Antiqua" w:cs="Arial"/>
        </w:rPr>
        <w:t>12.</w:t>
      </w:r>
      <w:r>
        <w:rPr>
          <w:rFonts w:ascii="Book Antiqua" w:hAnsi="Book Antiqua" w:cs="Arial"/>
        </w:rPr>
        <w:tab/>
      </w:r>
      <w:r w:rsidR="00796F30" w:rsidRPr="005A7DFF">
        <w:rPr>
          <w:rFonts w:ascii="Book Antiqua" w:hAnsi="Book Antiqua"/>
          <w:color w:val="000000"/>
        </w:rPr>
        <w:t>In assessing th</w:t>
      </w:r>
      <w:r w:rsidR="00796F30">
        <w:rPr>
          <w:rFonts w:ascii="Book Antiqua" w:hAnsi="Book Antiqua"/>
          <w:color w:val="000000"/>
        </w:rPr>
        <w:t xml:space="preserve">e best interests of the </w:t>
      </w:r>
      <w:r w:rsidR="000E13A3">
        <w:rPr>
          <w:rFonts w:ascii="Book Antiqua" w:hAnsi="Book Antiqua"/>
          <w:color w:val="000000"/>
        </w:rPr>
        <w:t xml:space="preserve">youngest </w:t>
      </w:r>
      <w:r w:rsidR="00796F30">
        <w:rPr>
          <w:rFonts w:ascii="Book Antiqua" w:hAnsi="Book Antiqua"/>
          <w:color w:val="000000"/>
        </w:rPr>
        <w:t>child</w:t>
      </w:r>
      <w:r w:rsidR="00796F30" w:rsidRPr="005A7DFF">
        <w:rPr>
          <w:rFonts w:ascii="Book Antiqua" w:hAnsi="Book Antiqua"/>
          <w:color w:val="000000"/>
        </w:rPr>
        <w:t xml:space="preserve">, I have considered the </w:t>
      </w:r>
      <w:r w:rsidR="00796F30">
        <w:rPr>
          <w:rFonts w:ascii="Book Antiqua" w:hAnsi="Book Antiqua"/>
          <w:color w:val="000000"/>
        </w:rPr>
        <w:t>principles outlined</w:t>
      </w:r>
      <w:r w:rsidR="00796F30" w:rsidRPr="005A7DFF">
        <w:rPr>
          <w:rFonts w:ascii="Book Antiqua" w:hAnsi="Book Antiqua"/>
          <w:color w:val="000000"/>
        </w:rPr>
        <w:t xml:space="preserve"> in </w:t>
      </w:r>
      <w:r w:rsidR="000E13A3" w:rsidRPr="00F942E1">
        <w:rPr>
          <w:rFonts w:ascii="Book Antiqua" w:hAnsi="Book Antiqua"/>
          <w:i/>
          <w:color w:val="000000"/>
        </w:rPr>
        <w:t>ZH (Tanzania) v SSHD</w:t>
      </w:r>
      <w:r w:rsidR="000E13A3" w:rsidRPr="00F942E1">
        <w:rPr>
          <w:rFonts w:ascii="Book Antiqua" w:hAnsi="Book Antiqua"/>
          <w:color w:val="000000"/>
        </w:rPr>
        <w:t xml:space="preserve"> [2011] UKSC4, </w:t>
      </w:r>
      <w:proofErr w:type="spellStart"/>
      <w:r w:rsidR="000E13A3" w:rsidRPr="00F942E1">
        <w:rPr>
          <w:rFonts w:ascii="Book Antiqua" w:hAnsi="Book Antiqua"/>
          <w:i/>
          <w:color w:val="000000"/>
        </w:rPr>
        <w:t>Zoumbas</w:t>
      </w:r>
      <w:proofErr w:type="spellEnd"/>
      <w:r w:rsidR="000E13A3" w:rsidRPr="00F942E1">
        <w:rPr>
          <w:rFonts w:ascii="Book Antiqua" w:hAnsi="Book Antiqua"/>
          <w:i/>
          <w:color w:val="000000"/>
        </w:rPr>
        <w:t xml:space="preserve"> v SSHD</w:t>
      </w:r>
      <w:r w:rsidR="000E13A3" w:rsidRPr="00F942E1">
        <w:rPr>
          <w:rFonts w:ascii="Book Antiqua" w:hAnsi="Book Antiqua"/>
          <w:color w:val="000000"/>
        </w:rPr>
        <w:t xml:space="preserve"> [2013] UKSC 74 and </w:t>
      </w:r>
      <w:r w:rsidR="000E13A3" w:rsidRPr="00F942E1">
        <w:rPr>
          <w:rFonts w:ascii="Book Antiqua" w:hAnsi="Book Antiqua"/>
          <w:i/>
          <w:color w:val="000000"/>
        </w:rPr>
        <w:t>EV (Philippines) and others v SSHD</w:t>
      </w:r>
      <w:r w:rsidR="000E13A3" w:rsidRPr="00F942E1">
        <w:rPr>
          <w:rFonts w:ascii="Book Antiqua" w:hAnsi="Book Antiqua"/>
          <w:color w:val="000000"/>
        </w:rPr>
        <w:t xml:space="preserve"> [2014] EWCA Civ 874</w:t>
      </w:r>
      <w:r w:rsidR="00796F30" w:rsidRPr="005A7DFF">
        <w:rPr>
          <w:rFonts w:ascii="Book Antiqua" w:hAnsi="Book Antiqua"/>
          <w:color w:val="000000"/>
        </w:rPr>
        <w:t>. The best interests of the child are a primary consideration but</w:t>
      </w:r>
      <w:r w:rsidR="00796F30">
        <w:rPr>
          <w:rFonts w:ascii="Book Antiqua" w:hAnsi="Book Antiqua"/>
          <w:color w:val="000000"/>
        </w:rPr>
        <w:t xml:space="preserve"> might</w:t>
      </w:r>
      <w:r w:rsidR="00796F30" w:rsidRPr="005A7DFF">
        <w:rPr>
          <w:rFonts w:ascii="Book Antiqua" w:hAnsi="Book Antiqua"/>
          <w:color w:val="000000"/>
        </w:rPr>
        <w:t xml:space="preserve"> be outweighed by the cumulative effect of other matters that weigh in the public interest.</w:t>
      </w:r>
      <w:r w:rsidR="00796F30" w:rsidRPr="005A7DFF">
        <w:rPr>
          <w:rStyle w:val="apple-converted-space"/>
          <w:rFonts w:ascii="Book Antiqua" w:hAnsi="Book Antiqua"/>
          <w:color w:val="000000"/>
        </w:rPr>
        <w:t> </w:t>
      </w:r>
    </w:p>
    <w:p w:rsidR="00796F30" w:rsidRDefault="00796F30" w:rsidP="003430E3">
      <w:pPr>
        <w:tabs>
          <w:tab w:val="left" w:pos="567"/>
        </w:tabs>
        <w:ind w:left="564" w:hanging="564"/>
        <w:jc w:val="both"/>
        <w:rPr>
          <w:rStyle w:val="apple-converted-space"/>
          <w:rFonts w:ascii="Book Antiqua" w:hAnsi="Book Antiqua"/>
          <w:color w:val="000000"/>
        </w:rPr>
      </w:pPr>
    </w:p>
    <w:p w:rsidR="003430E3" w:rsidRDefault="00796F30" w:rsidP="003430E3">
      <w:pPr>
        <w:tabs>
          <w:tab w:val="left" w:pos="567"/>
        </w:tabs>
        <w:ind w:left="564" w:hanging="564"/>
        <w:jc w:val="both"/>
        <w:rPr>
          <w:rFonts w:ascii="Book Antiqua" w:hAnsi="Book Antiqua" w:cs="Arial"/>
        </w:rPr>
      </w:pPr>
      <w:r>
        <w:rPr>
          <w:rStyle w:val="apple-converted-space"/>
          <w:rFonts w:ascii="Book Antiqua" w:hAnsi="Book Antiqua"/>
          <w:color w:val="000000"/>
        </w:rPr>
        <w:t>13.</w:t>
      </w:r>
      <w:r>
        <w:rPr>
          <w:rStyle w:val="apple-converted-space"/>
          <w:rFonts w:ascii="Book Antiqua" w:hAnsi="Book Antiqua"/>
          <w:color w:val="000000"/>
        </w:rPr>
        <w:tab/>
      </w:r>
      <w:r w:rsidR="002C2A64">
        <w:rPr>
          <w:rFonts w:ascii="Book Antiqua" w:hAnsi="Book Antiqua" w:cs="Arial"/>
        </w:rPr>
        <w:t xml:space="preserve">The youngest child is only two years old. The appellant appears to be involved in the child’s upbringing in the same way she was with the older children. </w:t>
      </w:r>
      <w:r>
        <w:rPr>
          <w:rFonts w:ascii="Book Antiqua" w:hAnsi="Book Antiqua" w:cs="Arial"/>
        </w:rPr>
        <w:t>The</w:t>
      </w:r>
      <w:r w:rsidR="002C2A64">
        <w:rPr>
          <w:rFonts w:ascii="Book Antiqua" w:hAnsi="Book Antiqua" w:cs="Arial"/>
        </w:rPr>
        <w:t xml:space="preserve"> child’s primary bond is likely to be wit</w:t>
      </w:r>
      <w:r>
        <w:rPr>
          <w:rFonts w:ascii="Book Antiqua" w:hAnsi="Book Antiqua" w:cs="Arial"/>
        </w:rPr>
        <w:t>h her mother. However, i</w:t>
      </w:r>
      <w:r w:rsidR="003430E3">
        <w:rPr>
          <w:rFonts w:ascii="Book Antiqua" w:hAnsi="Book Antiqua" w:cs="Arial"/>
        </w:rPr>
        <w:t>t is reasonable to infer that the appellant is likely to have a close bond with her youngest grandchild if she is responsible for much of her day to day care while her daughter is at work. The importance of such a bond to a child of that age must be acknowledged</w:t>
      </w:r>
      <w:r w:rsidR="00BB0052">
        <w:rPr>
          <w:rFonts w:ascii="Book Antiqua" w:hAnsi="Book Antiqua" w:cs="Arial"/>
        </w:rPr>
        <w:t xml:space="preserve"> and given weight</w:t>
      </w:r>
      <w:r w:rsidR="003430E3">
        <w:rPr>
          <w:rFonts w:ascii="Book Antiqua" w:hAnsi="Book Antiqua" w:cs="Arial"/>
        </w:rPr>
        <w:t>. Although the youngest</w:t>
      </w:r>
      <w:r w:rsidR="00BB0052">
        <w:rPr>
          <w:rFonts w:ascii="Book Antiqua" w:hAnsi="Book Antiqua" w:cs="Arial"/>
        </w:rPr>
        <w:t xml:space="preserve"> child has not yet had the long-</w:t>
      </w:r>
      <w:r w:rsidR="003430E3">
        <w:rPr>
          <w:rFonts w:ascii="Book Antiqua" w:hAnsi="Book Antiqua" w:cs="Arial"/>
        </w:rPr>
        <w:t>standing relationship with the appellant that the older two children have clearly benefited from, I conclude that it is likely to be in the child’s in</w:t>
      </w:r>
      <w:r w:rsidR="00BB0052">
        <w:rPr>
          <w:rFonts w:ascii="Book Antiqua" w:hAnsi="Book Antiqua" w:cs="Arial"/>
        </w:rPr>
        <w:t xml:space="preserve">terests to maintain the continuity of a close family bond. Overall, it is in the child’s interests for the appellant to remain in the UK </w:t>
      </w:r>
      <w:r w:rsidR="00BB0052">
        <w:rPr>
          <w:rFonts w:ascii="Book Antiqua" w:hAnsi="Book Antiqua" w:cs="Arial"/>
        </w:rPr>
        <w:lastRenderedPageBreak/>
        <w:t xml:space="preserve">although her interests do not point strongly in that direction given that the appellant is the child’s grandmother and not her mother. </w:t>
      </w:r>
    </w:p>
    <w:p w:rsidR="003430E3" w:rsidRDefault="003430E3" w:rsidP="003430E3">
      <w:pPr>
        <w:tabs>
          <w:tab w:val="left" w:pos="567"/>
        </w:tabs>
        <w:ind w:left="564" w:hanging="564"/>
        <w:jc w:val="both"/>
        <w:rPr>
          <w:rFonts w:ascii="Book Antiqua" w:hAnsi="Book Antiqua" w:cs="Arial"/>
        </w:rPr>
      </w:pPr>
    </w:p>
    <w:p w:rsidR="00796F30" w:rsidRDefault="00796F30" w:rsidP="00796F30">
      <w:pPr>
        <w:tabs>
          <w:tab w:val="left" w:pos="567"/>
        </w:tabs>
        <w:ind w:left="564" w:hanging="564"/>
        <w:jc w:val="both"/>
        <w:rPr>
          <w:rFonts w:ascii="Book Antiqua" w:hAnsi="Book Antiqua" w:cs="Arial"/>
        </w:rPr>
      </w:pPr>
      <w:r>
        <w:rPr>
          <w:rFonts w:ascii="Book Antiqua" w:hAnsi="Book Antiqua" w:cs="Arial"/>
        </w:rPr>
        <w:t>14.</w:t>
      </w:r>
      <w:r>
        <w:rPr>
          <w:rFonts w:ascii="Book Antiqua" w:hAnsi="Book Antiqua" w:cs="Arial"/>
        </w:rPr>
        <w:tab/>
      </w:r>
      <w:r w:rsidR="00E62096">
        <w:rPr>
          <w:rFonts w:ascii="Book Antiqua" w:hAnsi="Book Antiqua" w:cs="Arial"/>
        </w:rPr>
        <w:t xml:space="preserve">In addition to close family ties there are numerous references to the appellant’s character and ties to the community. She </w:t>
      </w:r>
      <w:r w:rsidR="000E13A3">
        <w:rPr>
          <w:rFonts w:ascii="Book Antiqua" w:hAnsi="Book Antiqua" w:cs="Arial"/>
        </w:rPr>
        <w:t>works</w:t>
      </w:r>
      <w:r w:rsidR="00E62096">
        <w:rPr>
          <w:rFonts w:ascii="Book Antiqua" w:hAnsi="Book Antiqua" w:cs="Arial"/>
        </w:rPr>
        <w:t xml:space="preserve"> for the church and assists a frien</w:t>
      </w:r>
      <w:r w:rsidR="00AB3522">
        <w:rPr>
          <w:rFonts w:ascii="Book Antiqua" w:hAnsi="Book Antiqua" w:cs="Arial"/>
        </w:rPr>
        <w:t xml:space="preserve">d in caring for disabled child. </w:t>
      </w:r>
      <w:r>
        <w:rPr>
          <w:rFonts w:ascii="Book Antiqua" w:hAnsi="Book Antiqua" w:cs="Arial"/>
        </w:rPr>
        <w:t>The evidence shows that the appellant has established a close family life and a private life outside the family home since her arrival in the UK in 2001.</w:t>
      </w:r>
      <w:r w:rsidR="00E62096">
        <w:rPr>
          <w:rFonts w:ascii="Book Antiqua" w:hAnsi="Book Antiqua" w:cs="Arial"/>
        </w:rPr>
        <w:t xml:space="preserve"> </w:t>
      </w:r>
      <w:r w:rsidR="0094267D">
        <w:rPr>
          <w:rFonts w:ascii="Book Antiqua" w:hAnsi="Book Antiqua" w:cs="Arial"/>
        </w:rPr>
        <w:t xml:space="preserve"> </w:t>
      </w:r>
    </w:p>
    <w:p w:rsidR="00796F30" w:rsidRDefault="00796F30" w:rsidP="00796F30">
      <w:pPr>
        <w:tabs>
          <w:tab w:val="left" w:pos="567"/>
        </w:tabs>
        <w:ind w:left="564" w:hanging="564"/>
        <w:jc w:val="both"/>
        <w:rPr>
          <w:rFonts w:ascii="Book Antiqua" w:hAnsi="Book Antiqua" w:cs="Arial"/>
        </w:rPr>
      </w:pPr>
    </w:p>
    <w:p w:rsidR="0041324D" w:rsidRDefault="00796F30" w:rsidP="0041324D">
      <w:pPr>
        <w:tabs>
          <w:tab w:val="left" w:pos="567"/>
        </w:tabs>
        <w:ind w:left="564" w:hanging="564"/>
        <w:jc w:val="both"/>
        <w:rPr>
          <w:rFonts w:ascii="Book Antiqua" w:hAnsi="Book Antiqua"/>
        </w:rPr>
      </w:pPr>
      <w:r>
        <w:rPr>
          <w:rFonts w:ascii="Book Antiqua" w:hAnsi="Book Antiqua" w:cs="Arial"/>
        </w:rPr>
        <w:t>15.</w:t>
      </w:r>
      <w:r>
        <w:rPr>
          <w:rFonts w:ascii="Book Antiqua" w:hAnsi="Book Antiqua" w:cs="Arial"/>
        </w:rPr>
        <w:tab/>
      </w:r>
      <w:r>
        <w:rPr>
          <w:rFonts w:ascii="Book Antiqua" w:hAnsi="Book Antiqua"/>
        </w:rPr>
        <w:t>However, t</w:t>
      </w:r>
      <w:r w:rsidRPr="005A7DFF">
        <w:rPr>
          <w:rFonts w:ascii="Book Antiqua" w:hAnsi="Book Antiqua"/>
        </w:rPr>
        <w:t>he state can lawfully interfere with an appellant’s family</w:t>
      </w:r>
      <w:r>
        <w:rPr>
          <w:rFonts w:ascii="Book Antiqua" w:hAnsi="Book Antiqua"/>
        </w:rPr>
        <w:t xml:space="preserve"> and private</w:t>
      </w:r>
      <w:r w:rsidRPr="005A7DFF">
        <w:rPr>
          <w:rFonts w:ascii="Book Antiqua" w:hAnsi="Book Antiqua"/>
        </w:rPr>
        <w:t xml:space="preserve"> life if it is pursuing a legitimate aim and it is necessary and proportionate in all the circumstances of the case. In cases involving human rights issues under Article 8, the heart of the assessment is whether the decision strikes a fair balance between the due weight to be given to the public interest in maintaining an effective system of immigration control and the impact of the decision on the individual’s private or family life. In assessing whether the decision strikes a fair balance a court or tribunal should give appropriate weight to Parliament’s and the Secretary of State’s assessment of the strength of the </w:t>
      </w:r>
      <w:proofErr w:type="gramStart"/>
      <w:r w:rsidRPr="005A7DFF">
        <w:rPr>
          <w:rFonts w:ascii="Book Antiqua" w:hAnsi="Book Antiqua"/>
        </w:rPr>
        <w:t>general public</w:t>
      </w:r>
      <w:proofErr w:type="gramEnd"/>
      <w:r w:rsidRPr="005A7DFF">
        <w:rPr>
          <w:rFonts w:ascii="Book Antiqua" w:hAnsi="Book Antiqua"/>
        </w:rPr>
        <w:t xml:space="preserve"> interest as expressed in the relevant rules and statutes: see </w:t>
      </w:r>
      <w:r w:rsidRPr="005A7DFF">
        <w:rPr>
          <w:rFonts w:ascii="Book Antiqua" w:hAnsi="Book Antiqua"/>
          <w:i/>
          <w:iCs/>
        </w:rPr>
        <w:t xml:space="preserve">Hesham Ali v SSHD </w:t>
      </w:r>
      <w:r w:rsidRPr="005A7DFF">
        <w:rPr>
          <w:rFonts w:ascii="Book Antiqua" w:hAnsi="Book Antiqua"/>
        </w:rPr>
        <w:t xml:space="preserve">[2016] UKSC 60. </w:t>
      </w:r>
    </w:p>
    <w:p w:rsidR="0041324D" w:rsidRDefault="0041324D" w:rsidP="0041324D">
      <w:pPr>
        <w:tabs>
          <w:tab w:val="left" w:pos="567"/>
        </w:tabs>
        <w:ind w:left="564" w:hanging="564"/>
        <w:jc w:val="both"/>
        <w:rPr>
          <w:rFonts w:ascii="Book Antiqua" w:hAnsi="Book Antiqua"/>
        </w:rPr>
      </w:pPr>
    </w:p>
    <w:p w:rsidR="0041324D" w:rsidRDefault="0041324D" w:rsidP="0041324D">
      <w:pPr>
        <w:tabs>
          <w:tab w:val="left" w:pos="567"/>
        </w:tabs>
        <w:ind w:left="564" w:hanging="564"/>
        <w:jc w:val="both"/>
        <w:rPr>
          <w:rStyle w:val="apple-converted-space"/>
          <w:rFonts w:ascii="Book Antiqua" w:hAnsi="Book Antiqua"/>
          <w:color w:val="000000"/>
        </w:rPr>
      </w:pPr>
      <w:r>
        <w:rPr>
          <w:rFonts w:ascii="Book Antiqua" w:hAnsi="Book Antiqua"/>
        </w:rPr>
        <w:t>16.</w:t>
      </w:r>
      <w:r>
        <w:rPr>
          <w:rFonts w:ascii="Book Antiqua" w:hAnsi="Book Antiqua"/>
        </w:rPr>
        <w:tab/>
      </w:r>
      <w:r w:rsidR="00796F30" w:rsidRPr="005A7DFF">
        <w:rPr>
          <w:rFonts w:ascii="Book Antiqua" w:hAnsi="Book Antiqua"/>
          <w:color w:val="000000"/>
        </w:rPr>
        <w:t xml:space="preserve">Section 117B of the </w:t>
      </w:r>
      <w:r w:rsidR="00796F30">
        <w:rPr>
          <w:rFonts w:ascii="Book Antiqua" w:hAnsi="Book Antiqua"/>
          <w:color w:val="000000"/>
        </w:rPr>
        <w:t>Nationality, Immigration and Asylum Act</w:t>
      </w:r>
      <w:r w:rsidR="00796F30" w:rsidRPr="005A7DFF">
        <w:rPr>
          <w:rFonts w:ascii="Book Antiqua" w:hAnsi="Book Antiqua"/>
          <w:color w:val="000000"/>
        </w:rPr>
        <w:t xml:space="preserve"> 2002 sets out </w:t>
      </w:r>
      <w:r w:rsidR="00796F30">
        <w:rPr>
          <w:rFonts w:ascii="Book Antiqua" w:hAnsi="Book Antiqua"/>
          <w:color w:val="000000"/>
        </w:rPr>
        <w:t>several</w:t>
      </w:r>
      <w:r w:rsidR="00796F30" w:rsidRPr="005A7DFF">
        <w:rPr>
          <w:rFonts w:ascii="Book Antiqua" w:hAnsi="Book Antiqua"/>
          <w:color w:val="000000"/>
        </w:rPr>
        <w:t xml:space="preserve"> public interest considerations that a court or tribunal must </w:t>
      </w:r>
      <w:proofErr w:type="gramStart"/>
      <w:r w:rsidR="00796F30" w:rsidRPr="005A7DFF">
        <w:rPr>
          <w:rFonts w:ascii="Book Antiqua" w:hAnsi="Book Antiqua"/>
          <w:color w:val="000000"/>
        </w:rPr>
        <w:t>take into account</w:t>
      </w:r>
      <w:proofErr w:type="gramEnd"/>
      <w:r w:rsidR="00796F30" w:rsidRPr="005A7DFF">
        <w:rPr>
          <w:rFonts w:ascii="Book Antiqua" w:hAnsi="Book Antiqua"/>
          <w:color w:val="000000"/>
        </w:rPr>
        <w:t xml:space="preserve"> in assessing whether an interference with a person’s right to respect for private and family life is justified and proportionate. In </w:t>
      </w:r>
      <w:r w:rsidR="00796F30" w:rsidRPr="001D5D13">
        <w:rPr>
          <w:rFonts w:ascii="Book Antiqua" w:hAnsi="Book Antiqua"/>
          <w:i/>
          <w:color w:val="000000"/>
        </w:rPr>
        <w:t>AM (Section 117B) Malawi</w:t>
      </w:r>
      <w:r w:rsidR="00796F30" w:rsidRPr="005A7DFF">
        <w:rPr>
          <w:rFonts w:ascii="Book Antiqua" w:hAnsi="Book Antiqua"/>
          <w:color w:val="000000"/>
        </w:rPr>
        <w:t xml:space="preserve"> [2015] UKUT 260 the Upper Tribunal found that the duty to consider section 117B only extended to the provisions that were relevant to the facts of the case.</w:t>
      </w:r>
      <w:r w:rsidR="00796F30" w:rsidRPr="005A7DFF">
        <w:rPr>
          <w:rStyle w:val="apple-converted-space"/>
          <w:rFonts w:ascii="Book Antiqua" w:hAnsi="Book Antiqua"/>
          <w:color w:val="000000"/>
        </w:rPr>
        <w:t> </w:t>
      </w:r>
    </w:p>
    <w:p w:rsidR="0041324D" w:rsidRDefault="0041324D" w:rsidP="0041324D">
      <w:pPr>
        <w:tabs>
          <w:tab w:val="left" w:pos="567"/>
        </w:tabs>
        <w:ind w:left="564" w:hanging="564"/>
        <w:jc w:val="both"/>
        <w:rPr>
          <w:rStyle w:val="apple-converted-space"/>
          <w:rFonts w:ascii="Book Antiqua" w:hAnsi="Book Antiqua"/>
          <w:color w:val="000000"/>
        </w:rPr>
      </w:pPr>
    </w:p>
    <w:p w:rsidR="0041324D" w:rsidRDefault="0041324D" w:rsidP="008568EA">
      <w:pPr>
        <w:tabs>
          <w:tab w:val="left" w:pos="567"/>
        </w:tabs>
        <w:ind w:left="564" w:hanging="564"/>
        <w:jc w:val="both"/>
        <w:rPr>
          <w:rFonts w:ascii="Book Antiqua" w:hAnsi="Book Antiqua"/>
          <w:color w:val="000000"/>
        </w:rPr>
      </w:pPr>
      <w:r>
        <w:rPr>
          <w:rStyle w:val="apple-converted-space"/>
          <w:rFonts w:ascii="Book Antiqua" w:hAnsi="Book Antiqua"/>
          <w:color w:val="000000"/>
        </w:rPr>
        <w:t>17.</w:t>
      </w:r>
      <w:r>
        <w:rPr>
          <w:rStyle w:val="apple-converted-space"/>
          <w:rFonts w:ascii="Book Antiqua" w:hAnsi="Book Antiqua"/>
          <w:color w:val="000000"/>
        </w:rPr>
        <w:tab/>
      </w:r>
      <w:r>
        <w:rPr>
          <w:rFonts w:ascii="Book Antiqua" w:hAnsi="Book Antiqua"/>
          <w:color w:val="000000"/>
        </w:rPr>
        <w:t>The appellant entered the UK as a visitor and overstayed her visa. She established family and private life ties to the UK in the full knowledge that she had no leave to remain and could be asked to leave at any time.</w:t>
      </w:r>
      <w:r w:rsidR="00F24A8B">
        <w:rPr>
          <w:rFonts w:ascii="Book Antiqua" w:hAnsi="Book Antiqua"/>
          <w:color w:val="000000"/>
        </w:rPr>
        <w:t xml:space="preserve"> Little weight can be attributed to the appellant’s private life established at a time when she knew she was remaining in the UK unlawfully.</w:t>
      </w:r>
      <w:r>
        <w:rPr>
          <w:rFonts w:ascii="Book Antiqua" w:hAnsi="Book Antiqua"/>
          <w:color w:val="000000"/>
        </w:rPr>
        <w:t xml:space="preserve"> Aside from explaining that she remained in the UK to help her daughter bring up the children, nothing in the witness statement of the appellant or her daughter seeks to explain her poor immigration history. The appellant remained in the UK knowingly in breach of the immigration laws and appears to show no contrition for the fact. Her actions c</w:t>
      </w:r>
      <w:r w:rsidR="008568EA">
        <w:rPr>
          <w:rFonts w:ascii="Book Antiqua" w:hAnsi="Book Antiqua"/>
          <w:color w:val="000000"/>
        </w:rPr>
        <w:t xml:space="preserve">ast some doubt on the references from friends </w:t>
      </w:r>
      <w:r w:rsidR="00F24A8B">
        <w:rPr>
          <w:rFonts w:ascii="Book Antiqua" w:hAnsi="Book Antiqua"/>
          <w:color w:val="000000"/>
        </w:rPr>
        <w:t>who claim</w:t>
      </w:r>
      <w:r w:rsidR="008568EA">
        <w:rPr>
          <w:rFonts w:ascii="Book Antiqua" w:hAnsi="Book Antiqua"/>
          <w:color w:val="000000"/>
        </w:rPr>
        <w:t xml:space="preserve"> that she is an honest person</w:t>
      </w:r>
      <w:r>
        <w:rPr>
          <w:rFonts w:ascii="Book Antiqua" w:hAnsi="Book Antiqua"/>
          <w:color w:val="000000"/>
        </w:rPr>
        <w:t xml:space="preserve">. </w:t>
      </w:r>
      <w:r w:rsidR="00F24A8B">
        <w:rPr>
          <w:rFonts w:ascii="Book Antiqua" w:hAnsi="Book Antiqua"/>
          <w:color w:val="000000"/>
        </w:rPr>
        <w:t xml:space="preserve">However, I </w:t>
      </w:r>
      <w:proofErr w:type="gramStart"/>
      <w:r w:rsidR="00F24A8B">
        <w:rPr>
          <w:rFonts w:ascii="Book Antiqua" w:hAnsi="Book Antiqua"/>
          <w:color w:val="000000"/>
        </w:rPr>
        <w:t>take into account</w:t>
      </w:r>
      <w:proofErr w:type="gramEnd"/>
      <w:r w:rsidR="00F24A8B">
        <w:rPr>
          <w:rFonts w:ascii="Book Antiqua" w:hAnsi="Book Antiqua"/>
          <w:color w:val="000000"/>
        </w:rPr>
        <w:t xml:space="preserve"> the fact that there is no evidence to suggest breaches of immigration control at the more serious end of the scale e.g. fraud</w:t>
      </w:r>
      <w:r w:rsidR="002712DF">
        <w:rPr>
          <w:rFonts w:ascii="Book Antiqua" w:hAnsi="Book Antiqua"/>
          <w:color w:val="000000"/>
        </w:rPr>
        <w:t xml:space="preserve">, </w:t>
      </w:r>
      <w:r w:rsidR="00F24A8B">
        <w:rPr>
          <w:rFonts w:ascii="Book Antiqua" w:hAnsi="Book Antiqua"/>
          <w:color w:val="000000"/>
        </w:rPr>
        <w:t>deception</w:t>
      </w:r>
      <w:r w:rsidR="002712DF">
        <w:rPr>
          <w:rFonts w:ascii="Book Antiqua" w:hAnsi="Book Antiqua"/>
          <w:color w:val="000000"/>
        </w:rPr>
        <w:t xml:space="preserve"> or criminal offences</w:t>
      </w:r>
      <w:r w:rsidR="00F24A8B">
        <w:rPr>
          <w:rFonts w:ascii="Book Antiqua" w:hAnsi="Book Antiqua"/>
          <w:color w:val="000000"/>
        </w:rPr>
        <w:t>. The appellant speaks English and would appear to have been supported by her daughter.</w:t>
      </w:r>
      <w:r w:rsidR="002712DF">
        <w:rPr>
          <w:rFonts w:ascii="Book Antiqua" w:hAnsi="Book Antiqua"/>
          <w:color w:val="000000"/>
        </w:rPr>
        <w:t xml:space="preserve"> Those matters are neutral.</w:t>
      </w:r>
      <w:r w:rsidR="00F24A8B">
        <w:rPr>
          <w:rFonts w:ascii="Book Antiqua" w:hAnsi="Book Antiqua"/>
          <w:color w:val="000000"/>
        </w:rPr>
        <w:t xml:space="preserve"> However, there is evidence to indicate </w:t>
      </w:r>
      <w:r w:rsidR="000243D3">
        <w:rPr>
          <w:rFonts w:ascii="Book Antiqua" w:hAnsi="Book Antiqua"/>
          <w:color w:val="000000"/>
        </w:rPr>
        <w:t xml:space="preserve">that she has accessed healthcare at a cost to the public purse. Although the appellant has a close familial relationship with her grandchildren she does </w:t>
      </w:r>
      <w:r w:rsidR="00BD1249">
        <w:rPr>
          <w:rFonts w:ascii="Book Antiqua" w:hAnsi="Book Antiqua"/>
          <w:color w:val="000000"/>
        </w:rPr>
        <w:t xml:space="preserve">not </w:t>
      </w:r>
      <w:r w:rsidR="000243D3">
        <w:rPr>
          <w:rFonts w:ascii="Book Antiqua" w:hAnsi="Book Antiqua"/>
          <w:color w:val="000000"/>
        </w:rPr>
        <w:t>have a ‘genuine and subsisting parental relationship’ for the purpose of section 117</w:t>
      </w:r>
      <w:proofErr w:type="gramStart"/>
      <w:r w:rsidR="000243D3">
        <w:rPr>
          <w:rFonts w:ascii="Book Antiqua" w:hAnsi="Book Antiqua"/>
          <w:color w:val="000000"/>
        </w:rPr>
        <w:t>B(</w:t>
      </w:r>
      <w:proofErr w:type="gramEnd"/>
      <w:r w:rsidR="000243D3">
        <w:rPr>
          <w:rFonts w:ascii="Book Antiqua" w:hAnsi="Book Antiqua"/>
          <w:color w:val="000000"/>
        </w:rPr>
        <w:t>6) of the NIAA 2002. She has a genuine and subsisting grandparental relationship, but that does not meet the relevant requirement. For these reasons I conclude that t</w:t>
      </w:r>
      <w:r>
        <w:rPr>
          <w:rFonts w:ascii="Book Antiqua" w:hAnsi="Book Antiqua"/>
          <w:color w:val="000000"/>
        </w:rPr>
        <w:t xml:space="preserve">he public interest in maintaining an effective system of immigration control </w:t>
      </w:r>
      <w:r w:rsidR="000243D3">
        <w:rPr>
          <w:rFonts w:ascii="Book Antiqua" w:hAnsi="Book Antiqua"/>
          <w:color w:val="000000"/>
        </w:rPr>
        <w:t xml:space="preserve">must be given due weight. </w:t>
      </w:r>
    </w:p>
    <w:p w:rsidR="00F24A8B" w:rsidRDefault="00F24A8B" w:rsidP="008568EA">
      <w:pPr>
        <w:tabs>
          <w:tab w:val="left" w:pos="567"/>
        </w:tabs>
        <w:ind w:left="564" w:hanging="564"/>
        <w:jc w:val="both"/>
        <w:rPr>
          <w:rFonts w:ascii="Book Antiqua" w:hAnsi="Book Antiqua"/>
          <w:color w:val="000000"/>
        </w:rPr>
      </w:pPr>
    </w:p>
    <w:p w:rsidR="00A94C0D" w:rsidRDefault="00F24A8B" w:rsidP="008568EA">
      <w:pPr>
        <w:tabs>
          <w:tab w:val="left" w:pos="567"/>
        </w:tabs>
        <w:ind w:left="564" w:hanging="564"/>
        <w:jc w:val="both"/>
        <w:rPr>
          <w:rFonts w:ascii="Book Antiqua" w:hAnsi="Book Antiqua"/>
          <w:color w:val="000000"/>
        </w:rPr>
      </w:pPr>
      <w:r>
        <w:rPr>
          <w:rFonts w:ascii="Book Antiqua" w:hAnsi="Book Antiqua"/>
          <w:color w:val="000000"/>
        </w:rPr>
        <w:t>18.</w:t>
      </w:r>
      <w:r>
        <w:rPr>
          <w:rFonts w:ascii="Book Antiqua" w:hAnsi="Book Antiqua"/>
          <w:color w:val="000000"/>
        </w:rPr>
        <w:tab/>
      </w:r>
      <w:r w:rsidR="008568EA">
        <w:rPr>
          <w:rFonts w:ascii="Book Antiqua" w:hAnsi="Book Antiqua"/>
          <w:color w:val="000000"/>
        </w:rPr>
        <w:tab/>
      </w:r>
      <w:r w:rsidR="000243D3">
        <w:rPr>
          <w:rFonts w:ascii="Book Antiqua" w:hAnsi="Book Antiqua"/>
          <w:color w:val="000000"/>
        </w:rPr>
        <w:t xml:space="preserve">I have found that </w:t>
      </w:r>
      <w:r w:rsidR="00F2505C">
        <w:rPr>
          <w:rFonts w:ascii="Book Antiqua" w:hAnsi="Book Antiqua"/>
          <w:color w:val="000000"/>
        </w:rPr>
        <w:t>it is in the</w:t>
      </w:r>
      <w:r w:rsidR="000243D3">
        <w:rPr>
          <w:rFonts w:ascii="Book Antiqua" w:hAnsi="Book Antiqua"/>
          <w:color w:val="000000"/>
        </w:rPr>
        <w:t xml:space="preserve"> best interests of </w:t>
      </w:r>
      <w:r w:rsidR="00F2505C">
        <w:rPr>
          <w:rFonts w:ascii="Book Antiqua" w:hAnsi="Book Antiqua"/>
          <w:color w:val="000000"/>
        </w:rPr>
        <w:t>the appellant’s granddaughter</w:t>
      </w:r>
      <w:r w:rsidR="000243D3">
        <w:rPr>
          <w:rFonts w:ascii="Book Antiqua" w:hAnsi="Book Antiqua"/>
          <w:color w:val="000000"/>
        </w:rPr>
        <w:t xml:space="preserve"> for </w:t>
      </w:r>
      <w:r w:rsidR="002712DF">
        <w:rPr>
          <w:rFonts w:ascii="Book Antiqua" w:hAnsi="Book Antiqua"/>
          <w:color w:val="000000"/>
        </w:rPr>
        <w:t xml:space="preserve">the appellant </w:t>
      </w:r>
      <w:r w:rsidR="000243D3">
        <w:rPr>
          <w:rFonts w:ascii="Book Antiqua" w:hAnsi="Book Antiqua"/>
          <w:color w:val="000000"/>
        </w:rPr>
        <w:t xml:space="preserve">to remain in the UK. The child’s best interests are a primary consideration that should be given significant weight. On the appellant’s side of the balance, she has lived in the UK for a significant period albeit that little weight can be placed on any private life that she might have established given that she remained in the full knowledge that she had no right to do so. I have also </w:t>
      </w:r>
      <w:proofErr w:type="gramStart"/>
      <w:r w:rsidR="000243D3">
        <w:rPr>
          <w:rFonts w:ascii="Book Antiqua" w:hAnsi="Book Antiqua"/>
          <w:color w:val="000000"/>
        </w:rPr>
        <w:t>taken into account</w:t>
      </w:r>
      <w:proofErr w:type="gramEnd"/>
      <w:r w:rsidR="000243D3">
        <w:rPr>
          <w:rFonts w:ascii="Book Antiqua" w:hAnsi="Book Antiqua"/>
          <w:color w:val="000000"/>
        </w:rPr>
        <w:t xml:space="preserve"> the </w:t>
      </w:r>
      <w:r w:rsidR="00A94C0D">
        <w:rPr>
          <w:rFonts w:ascii="Book Antiqua" w:hAnsi="Book Antiqua"/>
          <w:color w:val="000000"/>
        </w:rPr>
        <w:t xml:space="preserve">effect that removal might have on the rest of the family. Although her older two </w:t>
      </w:r>
      <w:proofErr w:type="gramStart"/>
      <w:r w:rsidR="00A94C0D">
        <w:rPr>
          <w:rFonts w:ascii="Book Antiqua" w:hAnsi="Book Antiqua"/>
          <w:color w:val="000000"/>
        </w:rPr>
        <w:t>grandchild</w:t>
      </w:r>
      <w:proofErr w:type="gramEnd"/>
      <w:r w:rsidR="00A94C0D">
        <w:rPr>
          <w:rFonts w:ascii="Book Antiqua" w:hAnsi="Book Antiqua"/>
          <w:color w:val="000000"/>
        </w:rPr>
        <w:t xml:space="preserve"> are now young adults, it is clear that she has a long standing and close relationship with them. They continue to live with her in the family home. The impact of her removal on them might be somewhat lessened now that they are adults, but I have taken it into account as part of the overall balancing exercise. </w:t>
      </w:r>
    </w:p>
    <w:p w:rsidR="00A94C0D" w:rsidRDefault="00A94C0D" w:rsidP="008568EA">
      <w:pPr>
        <w:tabs>
          <w:tab w:val="left" w:pos="567"/>
        </w:tabs>
        <w:ind w:left="564" w:hanging="564"/>
        <w:jc w:val="both"/>
        <w:rPr>
          <w:rFonts w:ascii="Book Antiqua" w:hAnsi="Book Antiqua"/>
          <w:color w:val="000000"/>
        </w:rPr>
      </w:pPr>
    </w:p>
    <w:p w:rsidR="00837056" w:rsidRPr="007D038A" w:rsidRDefault="00A94C0D" w:rsidP="00A94C0D">
      <w:pPr>
        <w:tabs>
          <w:tab w:val="left" w:pos="567"/>
        </w:tabs>
        <w:ind w:left="564" w:hanging="564"/>
        <w:jc w:val="both"/>
        <w:rPr>
          <w:rFonts w:ascii="Book Antiqua" w:hAnsi="Book Antiqua" w:cs="Arial"/>
          <w:i/>
        </w:rPr>
      </w:pPr>
      <w:r>
        <w:rPr>
          <w:rFonts w:ascii="Book Antiqua" w:hAnsi="Book Antiqua"/>
          <w:color w:val="000000"/>
        </w:rPr>
        <w:t>19.</w:t>
      </w:r>
      <w:r>
        <w:rPr>
          <w:rFonts w:ascii="Book Antiqua" w:hAnsi="Book Antiqua"/>
          <w:color w:val="000000"/>
        </w:rPr>
        <w:tab/>
        <w:t xml:space="preserve">I also </w:t>
      </w:r>
      <w:proofErr w:type="gramStart"/>
      <w:r>
        <w:rPr>
          <w:rFonts w:ascii="Book Antiqua" w:hAnsi="Book Antiqua"/>
          <w:color w:val="000000"/>
        </w:rPr>
        <w:t>take into account</w:t>
      </w:r>
      <w:proofErr w:type="gramEnd"/>
      <w:r>
        <w:rPr>
          <w:rFonts w:ascii="Book Antiqua" w:hAnsi="Book Antiqua"/>
          <w:color w:val="000000"/>
        </w:rPr>
        <w:t xml:space="preserve"> the fact that the appellant is 64 years old and has been financially dependent on her daughter for the last 17 years. It is unclear how she would support herself if she returned to Ghana although it is reasonable to infer that her daughter might be able to provide her with some financial support. Nevertheless, the appellant is of retirement age and would return to Ghana with her ties there having diminished since her arrival in the UK. </w:t>
      </w:r>
      <w:r w:rsidR="002712DF">
        <w:rPr>
          <w:rFonts w:ascii="Book Antiqua" w:hAnsi="Book Antiqua"/>
          <w:color w:val="000000"/>
        </w:rPr>
        <w:t xml:space="preserve">She has little or no remaining family connections there and would return to </w:t>
      </w:r>
      <w:r w:rsidR="00CE587E">
        <w:rPr>
          <w:rFonts w:ascii="Book Antiqua" w:hAnsi="Book Antiqua"/>
          <w:color w:val="000000"/>
        </w:rPr>
        <w:t>an</w:t>
      </w:r>
      <w:r w:rsidR="002712DF">
        <w:rPr>
          <w:rFonts w:ascii="Book Antiqua" w:hAnsi="Book Antiqua"/>
          <w:color w:val="000000"/>
        </w:rPr>
        <w:t xml:space="preserve"> isolated situation. </w:t>
      </w:r>
      <w:r w:rsidR="0033290E">
        <w:rPr>
          <w:rFonts w:ascii="Book Antiqua" w:hAnsi="Book Antiqua"/>
          <w:color w:val="000000"/>
        </w:rPr>
        <w:t>The</w:t>
      </w:r>
      <w:r>
        <w:rPr>
          <w:rFonts w:ascii="Book Antiqua" w:hAnsi="Book Antiqua"/>
          <w:color w:val="000000"/>
        </w:rPr>
        <w:t xml:space="preserve"> </w:t>
      </w:r>
      <w:r w:rsidR="00837056">
        <w:rPr>
          <w:rFonts w:ascii="Book Antiqua" w:hAnsi="Book Antiqua" w:cs="Arial"/>
        </w:rPr>
        <w:t>guidance given by the House of Lords in</w:t>
      </w:r>
      <w:r w:rsidR="00837056" w:rsidRPr="0063713C">
        <w:rPr>
          <w:rFonts w:ascii="Book Antiqua" w:hAnsi="Book Antiqua" w:cs="Arial"/>
          <w:i/>
        </w:rPr>
        <w:t xml:space="preserve"> </w:t>
      </w:r>
      <w:r w:rsidR="00837056" w:rsidRPr="003F2919">
        <w:rPr>
          <w:rFonts w:ascii="Book Antiqua" w:hAnsi="Book Antiqua" w:cs="Arial"/>
          <w:i/>
        </w:rPr>
        <w:t>Huang v SSHD</w:t>
      </w:r>
      <w:r w:rsidR="00837056" w:rsidRPr="003F2919">
        <w:rPr>
          <w:rFonts w:ascii="Book Antiqua" w:hAnsi="Book Antiqua" w:cs="Arial"/>
        </w:rPr>
        <w:t xml:space="preserve"> [2007] UKHL 11 </w:t>
      </w:r>
      <w:r w:rsidR="00837056">
        <w:rPr>
          <w:rFonts w:ascii="Book Antiqua" w:hAnsi="Book Antiqua" w:cs="Arial"/>
        </w:rPr>
        <w:t xml:space="preserve">is of assistance: </w:t>
      </w:r>
    </w:p>
    <w:p w:rsidR="00837056" w:rsidRPr="003F2919" w:rsidRDefault="00837056" w:rsidP="00837056">
      <w:pPr>
        <w:jc w:val="both"/>
        <w:rPr>
          <w:rFonts w:ascii="Book Antiqua" w:hAnsi="Book Antiqua" w:cs="Arial"/>
        </w:rPr>
      </w:pPr>
    </w:p>
    <w:p w:rsidR="00837056" w:rsidRPr="004F2F4C" w:rsidRDefault="00837056" w:rsidP="00837056">
      <w:pPr>
        <w:autoSpaceDE w:val="0"/>
        <w:autoSpaceDN w:val="0"/>
        <w:adjustRightInd w:val="0"/>
        <w:ind w:left="1127"/>
        <w:jc w:val="both"/>
        <w:rPr>
          <w:rFonts w:ascii="Book Antiqua" w:hAnsi="Book Antiqua" w:cs="TimesNewRoman"/>
          <w:sz w:val="20"/>
          <w:szCs w:val="20"/>
        </w:rPr>
      </w:pPr>
      <w:r w:rsidRPr="004F2F4C">
        <w:rPr>
          <w:rFonts w:ascii="Book Antiqua" w:hAnsi="Book Antiqua" w:cs="TimesNewRoman"/>
          <w:sz w:val="20"/>
          <w:szCs w:val="20"/>
        </w:rPr>
        <w:t>“But the main importance of the case law is in illuminating the core value which article 8 exists to protect. This is not, perhaps, hard to recognise. Human beings are social animals. They depend on others. Their family, or extended family, is the group on which many people most heavily depend, socially, emotionally and often financially. There comes a point at which, for some, prolonged and unavoidable separation from this group seriously inhibits their ability to live full and fulfilling lives. Matters such as the age, health and vulnerability of the applicant, the closeness and previous history of the family, the applicant’s dependence on the financial and emotional support of the family, the prevailing cultural tradition and conditions in the country of origin and many other factors may all be relevant.”</w:t>
      </w:r>
    </w:p>
    <w:p w:rsidR="009A1DDB" w:rsidRDefault="009A1DDB" w:rsidP="00933B65">
      <w:pPr>
        <w:tabs>
          <w:tab w:val="left" w:pos="567"/>
        </w:tabs>
        <w:jc w:val="both"/>
        <w:rPr>
          <w:rFonts w:ascii="Book Antiqua" w:hAnsi="Book Antiqua" w:cs="Arial"/>
        </w:rPr>
      </w:pPr>
    </w:p>
    <w:p w:rsidR="002712DF" w:rsidRDefault="00A94C0D" w:rsidP="002712DF">
      <w:pPr>
        <w:tabs>
          <w:tab w:val="left" w:pos="567"/>
        </w:tabs>
        <w:ind w:left="564" w:hanging="564"/>
        <w:jc w:val="both"/>
        <w:rPr>
          <w:rFonts w:ascii="Book Antiqua" w:hAnsi="Book Antiqua"/>
        </w:rPr>
      </w:pPr>
      <w:r>
        <w:rPr>
          <w:rFonts w:ascii="Book Antiqua" w:hAnsi="Book Antiqua" w:cs="Arial"/>
        </w:rPr>
        <w:t>20.</w:t>
      </w:r>
      <w:r>
        <w:rPr>
          <w:rFonts w:ascii="Book Antiqua" w:hAnsi="Book Antiqua" w:cs="Arial"/>
        </w:rPr>
        <w:tab/>
        <w:t>T</w:t>
      </w:r>
      <w:r w:rsidR="00911822">
        <w:rPr>
          <w:rFonts w:ascii="Book Antiqua" w:hAnsi="Book Antiqua" w:cs="Arial"/>
        </w:rPr>
        <w:t>his is a borderline decision. T</w:t>
      </w:r>
      <w:r>
        <w:rPr>
          <w:rFonts w:ascii="Book Antiqua" w:hAnsi="Book Antiqua" w:cs="Arial"/>
        </w:rPr>
        <w:t>aking into account the cumulative effect of the factors relating to the appellant’s private and family life in the UK, including the weight that should be given to the interests of her grandchild, as well as the effect on other members of the f</w:t>
      </w:r>
      <w:r w:rsidR="00911822">
        <w:rPr>
          <w:rFonts w:ascii="Book Antiqua" w:hAnsi="Book Antiqua" w:cs="Arial"/>
        </w:rPr>
        <w:t>amily, I</w:t>
      </w:r>
      <w:r>
        <w:rPr>
          <w:rFonts w:ascii="Book Antiqua" w:hAnsi="Book Antiqua"/>
        </w:rPr>
        <w:t xml:space="preserve"> conclude that removal of the appellant in consequence of the decision would not strike a fair balance between the weight to be given to the public interest (as expressed in the relevant rules, statute and policy) and the impact on the individuals involved in this case (points (iv) &amp; (v) of Lord Bingham’s five stage approach in </w:t>
      </w:r>
      <w:proofErr w:type="spellStart"/>
      <w:r>
        <w:rPr>
          <w:rFonts w:ascii="Book Antiqua" w:hAnsi="Book Antiqua"/>
          <w:i/>
          <w:iCs/>
        </w:rPr>
        <w:t>Razgar</w:t>
      </w:r>
      <w:proofErr w:type="spellEnd"/>
      <w:r w:rsidR="002712DF">
        <w:rPr>
          <w:rFonts w:ascii="Book Antiqua" w:hAnsi="Book Antiqua"/>
        </w:rPr>
        <w:t xml:space="preserve">). The appellant’s immigration history, while poor, is not sufficiently poor to outweigh </w:t>
      </w:r>
      <w:r w:rsidR="0033290E">
        <w:rPr>
          <w:rFonts w:ascii="Book Antiqua" w:hAnsi="Book Antiqua"/>
        </w:rPr>
        <w:t xml:space="preserve">the </w:t>
      </w:r>
      <w:r w:rsidR="00041926">
        <w:rPr>
          <w:rFonts w:ascii="Book Antiqua" w:hAnsi="Book Antiqua"/>
        </w:rPr>
        <w:t xml:space="preserve">best interests of the child and the </w:t>
      </w:r>
      <w:r w:rsidR="0033290E">
        <w:rPr>
          <w:rFonts w:ascii="Book Antiqua" w:hAnsi="Book Antiqua"/>
        </w:rPr>
        <w:t xml:space="preserve">best interests of the child and </w:t>
      </w:r>
      <w:r w:rsidR="002712DF">
        <w:rPr>
          <w:rFonts w:ascii="Book Antiqua" w:hAnsi="Book Antiqua"/>
        </w:rPr>
        <w:t xml:space="preserve">the significant family ties she </w:t>
      </w:r>
      <w:r w:rsidR="00041926">
        <w:rPr>
          <w:rFonts w:ascii="Book Antiqua" w:hAnsi="Book Antiqua"/>
        </w:rPr>
        <w:t xml:space="preserve">now </w:t>
      </w:r>
      <w:r w:rsidR="002712DF">
        <w:rPr>
          <w:rFonts w:ascii="Book Antiqua" w:hAnsi="Book Antiqua"/>
        </w:rPr>
        <w:t xml:space="preserve">has in the UK. </w:t>
      </w:r>
    </w:p>
    <w:p w:rsidR="002712DF" w:rsidRDefault="002712DF" w:rsidP="002712DF">
      <w:pPr>
        <w:tabs>
          <w:tab w:val="left" w:pos="567"/>
        </w:tabs>
        <w:ind w:left="564" w:hanging="564"/>
        <w:jc w:val="both"/>
        <w:rPr>
          <w:rFonts w:ascii="Book Antiqua" w:hAnsi="Book Antiqua"/>
        </w:rPr>
      </w:pPr>
    </w:p>
    <w:p w:rsidR="00A94C0D" w:rsidRDefault="002712DF" w:rsidP="002712DF">
      <w:pPr>
        <w:tabs>
          <w:tab w:val="left" w:pos="567"/>
        </w:tabs>
        <w:ind w:left="564" w:hanging="564"/>
        <w:jc w:val="both"/>
        <w:rPr>
          <w:rFonts w:ascii="Book Antiqua" w:hAnsi="Book Antiqua"/>
        </w:rPr>
      </w:pPr>
      <w:r>
        <w:rPr>
          <w:rFonts w:ascii="Book Antiqua" w:hAnsi="Book Antiqua"/>
        </w:rPr>
        <w:t>21.</w:t>
      </w:r>
      <w:r>
        <w:rPr>
          <w:rFonts w:ascii="Book Antiqua" w:hAnsi="Book Antiqua"/>
        </w:rPr>
        <w:tab/>
      </w:r>
      <w:r w:rsidR="00A94C0D">
        <w:rPr>
          <w:rFonts w:ascii="Book Antiqua" w:hAnsi="Book Antiqua"/>
        </w:rPr>
        <w:t xml:space="preserve">The removal of the appellant from the UK would be unlawful under section 6 of the Human Rights Act 1998. </w:t>
      </w:r>
    </w:p>
    <w:p w:rsidR="00A94C0D" w:rsidRDefault="00A94C0D" w:rsidP="00933B65">
      <w:pPr>
        <w:tabs>
          <w:tab w:val="left" w:pos="567"/>
        </w:tabs>
        <w:jc w:val="both"/>
        <w:rPr>
          <w:rFonts w:ascii="Book Antiqua" w:hAnsi="Book Antiqua" w:cs="Arial"/>
        </w:rPr>
      </w:pPr>
    </w:p>
    <w:p w:rsidR="00837056" w:rsidRDefault="00837056" w:rsidP="00933B65">
      <w:pPr>
        <w:tabs>
          <w:tab w:val="left" w:pos="567"/>
        </w:tabs>
        <w:jc w:val="both"/>
        <w:rPr>
          <w:rFonts w:ascii="Book Antiqua" w:hAnsi="Book Antiqua" w:cs="Arial"/>
        </w:rPr>
      </w:pPr>
    </w:p>
    <w:p w:rsidR="009A1DDB" w:rsidRPr="009A1DDB" w:rsidRDefault="009A1DDB" w:rsidP="00933B65">
      <w:pPr>
        <w:tabs>
          <w:tab w:val="left" w:pos="567"/>
        </w:tabs>
        <w:jc w:val="both"/>
        <w:rPr>
          <w:rFonts w:ascii="Book Antiqua" w:hAnsi="Book Antiqua" w:cs="Arial"/>
          <w:u w:val="single"/>
        </w:rPr>
      </w:pPr>
      <w:r w:rsidRPr="009A1DDB">
        <w:rPr>
          <w:rFonts w:ascii="Book Antiqua" w:hAnsi="Book Antiqua" w:cs="Arial"/>
          <w:u w:val="single"/>
        </w:rPr>
        <w:t>DECISION</w:t>
      </w:r>
    </w:p>
    <w:p w:rsidR="009A1DDB" w:rsidRDefault="009A1DDB" w:rsidP="00933B65">
      <w:pPr>
        <w:tabs>
          <w:tab w:val="left" w:pos="567"/>
        </w:tabs>
        <w:jc w:val="both"/>
        <w:rPr>
          <w:rFonts w:ascii="Book Antiqua" w:hAnsi="Book Antiqua" w:cs="Arial"/>
        </w:rPr>
      </w:pPr>
    </w:p>
    <w:p w:rsidR="009A1DDB" w:rsidRDefault="002712DF" w:rsidP="00933B65">
      <w:pPr>
        <w:tabs>
          <w:tab w:val="left" w:pos="567"/>
        </w:tabs>
        <w:jc w:val="both"/>
        <w:rPr>
          <w:rFonts w:ascii="Book Antiqua" w:hAnsi="Book Antiqua" w:cs="Arial"/>
        </w:rPr>
      </w:pPr>
      <w:r>
        <w:rPr>
          <w:rFonts w:ascii="Book Antiqua" w:hAnsi="Book Antiqua" w:cs="Arial"/>
        </w:rPr>
        <w:lastRenderedPageBreak/>
        <w:t>The First-tier Tribunal decision involved the making of an error on a point of law</w:t>
      </w:r>
    </w:p>
    <w:p w:rsidR="002712DF" w:rsidRDefault="002712DF" w:rsidP="00933B65">
      <w:pPr>
        <w:tabs>
          <w:tab w:val="left" w:pos="567"/>
        </w:tabs>
        <w:jc w:val="both"/>
        <w:rPr>
          <w:rFonts w:ascii="Book Antiqua" w:hAnsi="Book Antiqua" w:cs="Arial"/>
        </w:rPr>
      </w:pPr>
    </w:p>
    <w:p w:rsidR="002712DF" w:rsidRDefault="002712DF" w:rsidP="00933B65">
      <w:pPr>
        <w:tabs>
          <w:tab w:val="left" w:pos="567"/>
        </w:tabs>
        <w:jc w:val="both"/>
        <w:rPr>
          <w:rFonts w:ascii="Book Antiqua" w:hAnsi="Book Antiqua" w:cs="Arial"/>
        </w:rPr>
      </w:pPr>
      <w:r>
        <w:rPr>
          <w:rFonts w:ascii="Book Antiqua" w:hAnsi="Book Antiqua" w:cs="Arial"/>
        </w:rPr>
        <w:t>The decision is set aside</w:t>
      </w:r>
    </w:p>
    <w:p w:rsidR="002712DF" w:rsidRDefault="002712DF" w:rsidP="00933B65">
      <w:pPr>
        <w:tabs>
          <w:tab w:val="left" w:pos="567"/>
        </w:tabs>
        <w:jc w:val="both"/>
        <w:rPr>
          <w:rFonts w:ascii="Book Antiqua" w:hAnsi="Book Antiqua" w:cs="Arial"/>
        </w:rPr>
      </w:pPr>
    </w:p>
    <w:p w:rsidR="002712DF" w:rsidRDefault="002712DF" w:rsidP="00933B65">
      <w:pPr>
        <w:tabs>
          <w:tab w:val="left" w:pos="567"/>
        </w:tabs>
        <w:jc w:val="both"/>
        <w:rPr>
          <w:rFonts w:ascii="Book Antiqua" w:hAnsi="Book Antiqua" w:cs="Arial"/>
        </w:rPr>
      </w:pPr>
      <w:r>
        <w:rPr>
          <w:rFonts w:ascii="Book Antiqua" w:hAnsi="Book Antiqua" w:cs="Arial"/>
        </w:rPr>
        <w:t>The decision is remade and the appeal is ALLOWED on human rights grounds</w:t>
      </w:r>
    </w:p>
    <w:p w:rsidR="002712DF" w:rsidRDefault="002712DF" w:rsidP="00933B65">
      <w:pPr>
        <w:tabs>
          <w:tab w:val="left" w:pos="567"/>
        </w:tabs>
        <w:jc w:val="both"/>
        <w:rPr>
          <w:rFonts w:ascii="Book Antiqua" w:hAnsi="Book Antiqua" w:cs="Arial"/>
        </w:rPr>
      </w:pPr>
    </w:p>
    <w:p w:rsidR="00405694" w:rsidRDefault="00405694"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1D75C8" w:rsidRPr="000A38E1">
        <w:rPr>
          <w:rFonts w:ascii="Book Antiqua" w:hAnsi="Book Antiqua" w:cs="Arial"/>
          <w:noProof/>
        </w:rPr>
        <w:drawing>
          <wp:inline distT="0" distB="0" distL="0" distR="0">
            <wp:extent cx="1386840" cy="3733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373380"/>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bookmarkStart w:id="0" w:name="_GoBack"/>
      <w:bookmarkEnd w:id="0"/>
      <w:r w:rsidR="00CE587E">
        <w:rPr>
          <w:rFonts w:ascii="Book Antiqua" w:hAnsi="Book Antiqua" w:cs="Arial"/>
        </w:rPr>
        <w:t>10 September 2018</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p w:rsidR="00BB40C3" w:rsidRDefault="00BB40C3" w:rsidP="00546523">
      <w:pPr>
        <w:tabs>
          <w:tab w:val="left" w:pos="567"/>
        </w:tabs>
        <w:jc w:val="both"/>
        <w:rPr>
          <w:rFonts w:ascii="Book Antiqua" w:hAnsi="Book Antiqua" w:cs="Arial"/>
          <w:u w:val="single"/>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A57EB4">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03F" w:rsidRDefault="0025103F">
      <w:r>
        <w:separator/>
      </w:r>
    </w:p>
  </w:endnote>
  <w:endnote w:type="continuationSeparator" w:id="0">
    <w:p w:rsidR="0025103F" w:rsidRDefault="0025103F">
      <w:r>
        <w:continuationSeparator/>
      </w:r>
    </w:p>
  </w:endnote>
  <w:endnote w:type="continuationNotice" w:id="1">
    <w:p w:rsidR="0025103F" w:rsidRDefault="002510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90E" w:rsidRPr="00A57EB4" w:rsidRDefault="0033290E" w:rsidP="00614E94">
    <w:pPr>
      <w:pStyle w:val="Footer"/>
      <w:jc w:val="center"/>
      <w:rPr>
        <w:rFonts w:ascii="Book Antiqua" w:hAnsi="Book Antiqua" w:cs="Arial"/>
      </w:rPr>
    </w:pPr>
    <w:r w:rsidRPr="00A57EB4">
      <w:rPr>
        <w:rStyle w:val="PageNumber"/>
        <w:rFonts w:ascii="Book Antiqua" w:hAnsi="Book Antiqua" w:cs="Arial"/>
      </w:rPr>
      <w:fldChar w:fldCharType="begin"/>
    </w:r>
    <w:r w:rsidRPr="00A57EB4">
      <w:rPr>
        <w:rStyle w:val="PageNumber"/>
        <w:rFonts w:ascii="Book Antiqua" w:hAnsi="Book Antiqua" w:cs="Arial"/>
      </w:rPr>
      <w:instrText xml:space="preserve"> PAGE </w:instrText>
    </w:r>
    <w:r w:rsidRPr="00A57EB4">
      <w:rPr>
        <w:rStyle w:val="PageNumber"/>
        <w:rFonts w:ascii="Book Antiqua" w:hAnsi="Book Antiqua" w:cs="Arial"/>
      </w:rPr>
      <w:fldChar w:fldCharType="separate"/>
    </w:r>
    <w:r w:rsidR="00931256">
      <w:rPr>
        <w:rStyle w:val="PageNumber"/>
        <w:rFonts w:ascii="Book Antiqua" w:hAnsi="Book Antiqua" w:cs="Arial"/>
        <w:noProof/>
      </w:rPr>
      <w:t>7</w:t>
    </w:r>
    <w:r w:rsidRPr="00A57EB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90E" w:rsidRPr="00A57EB4" w:rsidRDefault="0033290E" w:rsidP="00614E94">
    <w:pPr>
      <w:jc w:val="center"/>
      <w:rPr>
        <w:rFonts w:ascii="Book Antiqua" w:hAnsi="Book Antiqua" w:cs="Arial"/>
        <w:b/>
      </w:rPr>
    </w:pPr>
    <w:r w:rsidRPr="00A57EB4">
      <w:rPr>
        <w:rFonts w:ascii="Book Antiqua" w:hAnsi="Book Antiqua" w:cs="Arial"/>
        <w:b/>
        <w:spacing w:val="-6"/>
      </w:rPr>
      <w:t>©</w:t>
    </w:r>
    <w:r w:rsidRPr="00A57EB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03F" w:rsidRDefault="0025103F">
      <w:r>
        <w:separator/>
      </w:r>
    </w:p>
  </w:footnote>
  <w:footnote w:type="continuationSeparator" w:id="0">
    <w:p w:rsidR="0025103F" w:rsidRDefault="0025103F">
      <w:r>
        <w:continuationSeparator/>
      </w:r>
    </w:p>
  </w:footnote>
  <w:footnote w:type="continuationNotice" w:id="1">
    <w:p w:rsidR="0025103F" w:rsidRDefault="002510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90E" w:rsidRPr="00CF2453" w:rsidRDefault="0033290E" w:rsidP="00CF2453">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Pr>
        <w:rFonts w:ascii="Book Antiqua" w:hAnsi="Book Antiqua" w:cs="Arial"/>
        <w:sz w:val="16"/>
        <w:szCs w:val="16"/>
      </w:rPr>
      <w:t xml:space="preserve">: </w:t>
    </w:r>
    <w:r w:rsidRPr="001A5BF0">
      <w:rPr>
        <w:rFonts w:ascii="Book Antiqua" w:hAnsi="Book Antiqua" w:cs="Arial"/>
        <w:color w:val="000000"/>
        <w:sz w:val="16"/>
        <w:szCs w:val="16"/>
      </w:rPr>
      <w:t>IA/00753/2016</w:t>
    </w:r>
  </w:p>
  <w:p w:rsidR="0033290E" w:rsidRPr="001C2435" w:rsidRDefault="0033290E"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243D3"/>
    <w:rsid w:val="00041926"/>
    <w:rsid w:val="00047060"/>
    <w:rsid w:val="00056E7C"/>
    <w:rsid w:val="000644CE"/>
    <w:rsid w:val="000D0603"/>
    <w:rsid w:val="000E13A3"/>
    <w:rsid w:val="00115648"/>
    <w:rsid w:val="001370D4"/>
    <w:rsid w:val="00194FB4"/>
    <w:rsid w:val="001A14A2"/>
    <w:rsid w:val="001A373D"/>
    <w:rsid w:val="001A5BF0"/>
    <w:rsid w:val="001B1FF3"/>
    <w:rsid w:val="001C2435"/>
    <w:rsid w:val="001D75C8"/>
    <w:rsid w:val="00200671"/>
    <w:rsid w:val="00205444"/>
    <w:rsid w:val="00206725"/>
    <w:rsid w:val="00230608"/>
    <w:rsid w:val="0025103F"/>
    <w:rsid w:val="002641B9"/>
    <w:rsid w:val="00266FFE"/>
    <w:rsid w:val="00270D89"/>
    <w:rsid w:val="002712DF"/>
    <w:rsid w:val="00272712"/>
    <w:rsid w:val="00285763"/>
    <w:rsid w:val="00294F41"/>
    <w:rsid w:val="002C2A64"/>
    <w:rsid w:val="002E106E"/>
    <w:rsid w:val="002F6D78"/>
    <w:rsid w:val="003049FE"/>
    <w:rsid w:val="0031545E"/>
    <w:rsid w:val="0033290E"/>
    <w:rsid w:val="003430E3"/>
    <w:rsid w:val="00345182"/>
    <w:rsid w:val="00396F7B"/>
    <w:rsid w:val="003B36AE"/>
    <w:rsid w:val="004044E6"/>
    <w:rsid w:val="00405694"/>
    <w:rsid w:val="00407E66"/>
    <w:rsid w:val="0041324D"/>
    <w:rsid w:val="004171D0"/>
    <w:rsid w:val="00426F9F"/>
    <w:rsid w:val="00497CC7"/>
    <w:rsid w:val="004A012D"/>
    <w:rsid w:val="004F4BE7"/>
    <w:rsid w:val="00527D3F"/>
    <w:rsid w:val="00546523"/>
    <w:rsid w:val="00556A28"/>
    <w:rsid w:val="0057020B"/>
    <w:rsid w:val="005819E4"/>
    <w:rsid w:val="005907D8"/>
    <w:rsid w:val="005B2150"/>
    <w:rsid w:val="006128AF"/>
    <w:rsid w:val="00614E94"/>
    <w:rsid w:val="00631E34"/>
    <w:rsid w:val="00662048"/>
    <w:rsid w:val="0067336A"/>
    <w:rsid w:val="0068059E"/>
    <w:rsid w:val="00692288"/>
    <w:rsid w:val="006A364A"/>
    <w:rsid w:val="006A69B9"/>
    <w:rsid w:val="00710162"/>
    <w:rsid w:val="00731039"/>
    <w:rsid w:val="0073630A"/>
    <w:rsid w:val="0076708D"/>
    <w:rsid w:val="00772A12"/>
    <w:rsid w:val="007831FC"/>
    <w:rsid w:val="00796F30"/>
    <w:rsid w:val="007B09CD"/>
    <w:rsid w:val="00816668"/>
    <w:rsid w:val="00821972"/>
    <w:rsid w:val="00837056"/>
    <w:rsid w:val="008568EA"/>
    <w:rsid w:val="008832E8"/>
    <w:rsid w:val="008A3B24"/>
    <w:rsid w:val="008E01FB"/>
    <w:rsid w:val="008E1FED"/>
    <w:rsid w:val="008F0F73"/>
    <w:rsid w:val="00911822"/>
    <w:rsid w:val="00931256"/>
    <w:rsid w:val="00933B65"/>
    <w:rsid w:val="0094267D"/>
    <w:rsid w:val="0094479E"/>
    <w:rsid w:val="009701EB"/>
    <w:rsid w:val="0098314A"/>
    <w:rsid w:val="009942DD"/>
    <w:rsid w:val="009A1DDB"/>
    <w:rsid w:val="009B0FEB"/>
    <w:rsid w:val="009D4AB3"/>
    <w:rsid w:val="009D5EB6"/>
    <w:rsid w:val="009E2A33"/>
    <w:rsid w:val="00A03E4C"/>
    <w:rsid w:val="00A472B6"/>
    <w:rsid w:val="00A57676"/>
    <w:rsid w:val="00A57EB4"/>
    <w:rsid w:val="00A621AC"/>
    <w:rsid w:val="00A7051D"/>
    <w:rsid w:val="00A70F8E"/>
    <w:rsid w:val="00A86A8D"/>
    <w:rsid w:val="00A94C0D"/>
    <w:rsid w:val="00AB1DC6"/>
    <w:rsid w:val="00AB3522"/>
    <w:rsid w:val="00AB703E"/>
    <w:rsid w:val="00BB0052"/>
    <w:rsid w:val="00BB40C3"/>
    <w:rsid w:val="00BC6537"/>
    <w:rsid w:val="00BC715C"/>
    <w:rsid w:val="00BD1249"/>
    <w:rsid w:val="00BE4535"/>
    <w:rsid w:val="00C20D8E"/>
    <w:rsid w:val="00C56E05"/>
    <w:rsid w:val="00C61D30"/>
    <w:rsid w:val="00C91E16"/>
    <w:rsid w:val="00CE587E"/>
    <w:rsid w:val="00CE5C94"/>
    <w:rsid w:val="00CF2453"/>
    <w:rsid w:val="00D23997"/>
    <w:rsid w:val="00D25C76"/>
    <w:rsid w:val="00D3274C"/>
    <w:rsid w:val="00D36F32"/>
    <w:rsid w:val="00D40718"/>
    <w:rsid w:val="00DA52F3"/>
    <w:rsid w:val="00DE3D56"/>
    <w:rsid w:val="00DF00B0"/>
    <w:rsid w:val="00E15512"/>
    <w:rsid w:val="00E2527C"/>
    <w:rsid w:val="00E468D9"/>
    <w:rsid w:val="00E62096"/>
    <w:rsid w:val="00E63B55"/>
    <w:rsid w:val="00E96B33"/>
    <w:rsid w:val="00EB21B6"/>
    <w:rsid w:val="00ED1E61"/>
    <w:rsid w:val="00F24A8B"/>
    <w:rsid w:val="00F2505C"/>
    <w:rsid w:val="00F41CAA"/>
    <w:rsid w:val="00F648C0"/>
    <w:rsid w:val="00F66C52"/>
    <w:rsid w:val="00F75541"/>
    <w:rsid w:val="00F8752A"/>
    <w:rsid w:val="00FA0A2E"/>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E7A7F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paragraph" w:styleId="NormalWeb">
    <w:name w:val="Normal (Web)"/>
    <w:basedOn w:val="Normal"/>
    <w:uiPriority w:val="99"/>
    <w:rsid w:val="003430E3"/>
    <w:pPr>
      <w:spacing w:beforeLines="1" w:afterLines="1"/>
    </w:pPr>
    <w:rPr>
      <w:rFonts w:ascii="Times" w:eastAsia="Cambria" w:hAnsi="Times"/>
      <w:sz w:val="20"/>
      <w:szCs w:val="20"/>
      <w:lang w:eastAsia="en-US"/>
    </w:rPr>
  </w:style>
  <w:style w:type="character" w:customStyle="1" w:styleId="apple-converted-space">
    <w:name w:val="apple-converted-space"/>
    <w:rsid w:val="00343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3271</Words>
  <Characters>15993</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2018-10-05T15:07:00Z</dcterms:created>
  <dcterms:modified xsi:type="dcterms:W3CDTF">2018-10-05T15:08:00Z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