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7C93" w14:textId="77777777" w:rsidR="00C321B5" w:rsidRPr="0024088E" w:rsidRDefault="009D644E" w:rsidP="00C321B5">
      <w:pPr>
        <w:jc w:val="center"/>
        <w:rPr>
          <w:rFonts w:ascii="Book Antiqua" w:hAnsi="Book Antiqua" w:cs="Arial"/>
          <w:sz w:val="16"/>
          <w:szCs w:val="16"/>
        </w:rPr>
      </w:pPr>
      <w:r w:rsidRPr="0024088E">
        <w:rPr>
          <w:noProof/>
          <w:sz w:val="16"/>
          <w:szCs w:val="16"/>
        </w:rPr>
        <w:drawing>
          <wp:inline distT="0" distB="0" distL="0" distR="0" wp14:anchorId="4FDF195E" wp14:editId="3CDD0357">
            <wp:extent cx="1046480" cy="90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9320"/>
                    </a:xfrm>
                    <a:prstGeom prst="rect">
                      <a:avLst/>
                    </a:prstGeom>
                    <a:noFill/>
                    <a:ln>
                      <a:noFill/>
                    </a:ln>
                  </pic:spPr>
                </pic:pic>
              </a:graphicData>
            </a:graphic>
          </wp:inline>
        </w:drawing>
      </w:r>
    </w:p>
    <w:p w14:paraId="1E915890" w14:textId="77777777" w:rsidR="00D94AFC" w:rsidRPr="0024088E" w:rsidRDefault="00D94AFC">
      <w:pPr>
        <w:rPr>
          <w:rFonts w:ascii="Book Antiqua" w:hAnsi="Book Antiqua" w:cs="Arial"/>
          <w:sz w:val="16"/>
          <w:szCs w:val="16"/>
        </w:rPr>
      </w:pPr>
    </w:p>
    <w:p w14:paraId="48FF4C27" w14:textId="77777777" w:rsidR="00C321B5" w:rsidRPr="00D83253" w:rsidRDefault="001A1E2C" w:rsidP="00B626FA">
      <w:pPr>
        <w:tabs>
          <w:tab w:val="right" w:pos="9639"/>
        </w:tabs>
        <w:rPr>
          <w:rFonts w:ascii="Book Antiqua" w:hAnsi="Book Antiqua" w:cs="Arial"/>
          <w:b/>
        </w:rPr>
      </w:pPr>
      <w:r w:rsidRPr="00D83253">
        <w:rPr>
          <w:rFonts w:ascii="Book Antiqua" w:hAnsi="Book Antiqua" w:cs="Arial"/>
          <w:b/>
        </w:rPr>
        <w:t xml:space="preserve">Upper </w:t>
      </w:r>
      <w:r w:rsidR="00C321B5" w:rsidRPr="00D83253">
        <w:rPr>
          <w:rFonts w:ascii="Book Antiqua" w:hAnsi="Book Antiqua" w:cs="Arial"/>
          <w:b/>
        </w:rPr>
        <w:t xml:space="preserve">Tribunal </w:t>
      </w:r>
    </w:p>
    <w:p w14:paraId="051944B8" w14:textId="77777777" w:rsidR="007B0824" w:rsidRPr="00D83253" w:rsidRDefault="00C321B5" w:rsidP="00B626FA">
      <w:pPr>
        <w:tabs>
          <w:tab w:val="right" w:pos="9639"/>
        </w:tabs>
        <w:rPr>
          <w:rFonts w:ascii="Book Antiqua" w:hAnsi="Book Antiqua" w:cs="Arial"/>
          <w:caps/>
        </w:rPr>
      </w:pPr>
      <w:r w:rsidRPr="00D83253">
        <w:rPr>
          <w:rFonts w:ascii="Book Antiqua" w:hAnsi="Book Antiqua" w:cs="Arial"/>
          <w:b/>
        </w:rPr>
        <w:t>(Immigration and Asylum Chamber)</w:t>
      </w:r>
      <w:r w:rsidR="00B626FA" w:rsidRPr="00D83253">
        <w:rPr>
          <w:rFonts w:ascii="Book Antiqua" w:hAnsi="Book Antiqua" w:cs="Arial"/>
          <w:b/>
        </w:rPr>
        <w:tab/>
      </w:r>
      <w:r w:rsidR="00B3524D" w:rsidRPr="00D83253">
        <w:rPr>
          <w:rFonts w:ascii="Book Antiqua" w:hAnsi="Book Antiqua" w:cs="Arial"/>
        </w:rPr>
        <w:t>Appeal Number</w:t>
      </w:r>
      <w:r w:rsidR="009D644E" w:rsidRPr="00D83253">
        <w:rPr>
          <w:rFonts w:ascii="Book Antiqua" w:hAnsi="Book Antiqua" w:cs="Arial"/>
        </w:rPr>
        <w:t>s</w:t>
      </w:r>
      <w:r w:rsidR="00D53769" w:rsidRPr="00D83253">
        <w:rPr>
          <w:rFonts w:ascii="Book Antiqua" w:hAnsi="Book Antiqua" w:cs="Arial"/>
        </w:rPr>
        <w:t>:</w:t>
      </w:r>
      <w:r w:rsidR="00B3524D" w:rsidRPr="00D83253">
        <w:rPr>
          <w:rFonts w:ascii="Book Antiqua" w:hAnsi="Book Antiqua" w:cs="Arial"/>
        </w:rPr>
        <w:t xml:space="preserve"> </w:t>
      </w:r>
      <w:bookmarkStart w:id="0" w:name="_GoBack"/>
      <w:bookmarkEnd w:id="0"/>
      <w:r w:rsidR="009D644E" w:rsidRPr="00D83253">
        <w:rPr>
          <w:rFonts w:ascii="Book Antiqua" w:hAnsi="Book Antiqua" w:cs="Arial"/>
          <w:caps/>
        </w:rPr>
        <w:t xml:space="preserve">IA/00859/2016  </w:t>
      </w:r>
    </w:p>
    <w:p w14:paraId="356E0470" w14:textId="77777777" w:rsidR="009D644E" w:rsidRPr="00D83253" w:rsidRDefault="009D644E" w:rsidP="00B626FA">
      <w:pPr>
        <w:tabs>
          <w:tab w:val="right" w:pos="9639"/>
        </w:tabs>
        <w:rPr>
          <w:rFonts w:ascii="Book Antiqua" w:hAnsi="Book Antiqua" w:cs="Arial"/>
        </w:rPr>
      </w:pPr>
      <w:r w:rsidRPr="00D83253">
        <w:rPr>
          <w:rFonts w:ascii="Book Antiqua" w:hAnsi="Book Antiqua" w:cs="Arial"/>
          <w:caps/>
        </w:rPr>
        <w:tab/>
        <w:t xml:space="preserve">IA/00860/2016  </w:t>
      </w:r>
    </w:p>
    <w:p w14:paraId="58ACFC00" w14:textId="77777777" w:rsidR="00C345E1" w:rsidRPr="00D83253" w:rsidRDefault="00C345E1" w:rsidP="00C345E1">
      <w:pPr>
        <w:jc w:val="center"/>
        <w:rPr>
          <w:rFonts w:ascii="Book Antiqua" w:hAnsi="Book Antiqua" w:cs="Arial"/>
        </w:rPr>
      </w:pPr>
    </w:p>
    <w:p w14:paraId="7F4C787E" w14:textId="77777777" w:rsidR="00C345E1" w:rsidRPr="00D83253" w:rsidRDefault="00C345E1" w:rsidP="00C345E1">
      <w:pPr>
        <w:jc w:val="center"/>
        <w:rPr>
          <w:rFonts w:ascii="Book Antiqua" w:hAnsi="Book Antiqua" w:cs="Arial"/>
        </w:rPr>
      </w:pPr>
    </w:p>
    <w:p w14:paraId="33B77A94" w14:textId="77777777" w:rsidR="00C345E1" w:rsidRPr="00D83253" w:rsidRDefault="00C345E1" w:rsidP="00C345E1">
      <w:pPr>
        <w:jc w:val="center"/>
        <w:rPr>
          <w:rFonts w:ascii="Book Antiqua" w:hAnsi="Book Antiqua" w:cs="Arial"/>
          <w:b/>
          <w:u w:val="single"/>
        </w:rPr>
      </w:pPr>
      <w:r w:rsidRPr="00D83253">
        <w:rPr>
          <w:rFonts w:ascii="Book Antiqua" w:hAnsi="Book Antiqua" w:cs="Arial"/>
          <w:b/>
          <w:u w:val="single"/>
        </w:rPr>
        <w:t>THE IMMIGRATION ACTS</w:t>
      </w:r>
    </w:p>
    <w:p w14:paraId="20E63C89" w14:textId="77777777" w:rsidR="00C345E1" w:rsidRPr="00D83253" w:rsidRDefault="00C345E1" w:rsidP="00C345E1">
      <w:pPr>
        <w:jc w:val="center"/>
        <w:rPr>
          <w:rFonts w:ascii="Book Antiqua" w:hAnsi="Book Antiqua" w:cs="Arial"/>
          <w:b/>
          <w:u w:val="single"/>
        </w:rPr>
      </w:pPr>
    </w:p>
    <w:p w14:paraId="3BAD1329" w14:textId="77777777" w:rsidR="00C345E1" w:rsidRPr="00D8325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815"/>
        <w:gridCol w:w="1233"/>
        <w:gridCol w:w="3960"/>
      </w:tblGrid>
      <w:tr w:rsidR="00D22636" w:rsidRPr="00D83253" w14:paraId="278A6813" w14:textId="77777777" w:rsidTr="00594D61">
        <w:tc>
          <w:tcPr>
            <w:tcW w:w="4815" w:type="dxa"/>
            <w:shd w:val="clear" w:color="auto" w:fill="auto"/>
          </w:tcPr>
          <w:p w14:paraId="79C4D8FE" w14:textId="77777777" w:rsidR="00D22636" w:rsidRPr="00D83253" w:rsidRDefault="00D22636" w:rsidP="00E249AA">
            <w:pPr>
              <w:jc w:val="both"/>
              <w:rPr>
                <w:rFonts w:ascii="Book Antiqua" w:hAnsi="Book Antiqua" w:cs="Arial"/>
                <w:b/>
              </w:rPr>
            </w:pPr>
            <w:r w:rsidRPr="00D83253">
              <w:rPr>
                <w:rFonts w:ascii="Book Antiqua" w:hAnsi="Book Antiqua" w:cs="Arial"/>
                <w:b/>
              </w:rPr>
              <w:t xml:space="preserve">Heard at </w:t>
            </w:r>
            <w:r w:rsidR="00791618" w:rsidRPr="00D83253">
              <w:rPr>
                <w:rFonts w:ascii="Book Antiqua" w:hAnsi="Book Antiqua" w:cs="Arial"/>
                <w:b/>
              </w:rPr>
              <w:t xml:space="preserve">Field House </w:t>
            </w:r>
          </w:p>
        </w:tc>
        <w:tc>
          <w:tcPr>
            <w:tcW w:w="5193" w:type="dxa"/>
            <w:gridSpan w:val="2"/>
            <w:shd w:val="clear" w:color="auto" w:fill="auto"/>
          </w:tcPr>
          <w:p w14:paraId="0FC584F5" w14:textId="77777777" w:rsidR="00D22636" w:rsidRPr="00D83253" w:rsidRDefault="003405B7" w:rsidP="00E249AA">
            <w:pPr>
              <w:jc w:val="both"/>
              <w:rPr>
                <w:rFonts w:ascii="Book Antiqua" w:hAnsi="Book Antiqua" w:cs="Arial"/>
                <w:b/>
              </w:rPr>
            </w:pPr>
            <w:r w:rsidRPr="00D83253">
              <w:rPr>
                <w:rFonts w:ascii="Book Antiqua" w:hAnsi="Book Antiqua" w:cs="Arial"/>
                <w:b/>
              </w:rPr>
              <w:t>Decision &amp; Reasons</w:t>
            </w:r>
            <w:r w:rsidR="00283659" w:rsidRPr="00D83253">
              <w:rPr>
                <w:rFonts w:ascii="Book Antiqua" w:hAnsi="Book Antiqua" w:cs="Arial"/>
                <w:b/>
              </w:rPr>
              <w:t xml:space="preserve"> Promulgated</w:t>
            </w:r>
          </w:p>
        </w:tc>
      </w:tr>
      <w:tr w:rsidR="00D22636" w:rsidRPr="00D83253" w14:paraId="7F3A45F4" w14:textId="77777777" w:rsidTr="00594D61">
        <w:tc>
          <w:tcPr>
            <w:tcW w:w="4815" w:type="dxa"/>
            <w:shd w:val="clear" w:color="auto" w:fill="auto"/>
          </w:tcPr>
          <w:p w14:paraId="03C755CE" w14:textId="77777777" w:rsidR="00D22636" w:rsidRPr="00D83253" w:rsidRDefault="00D22636" w:rsidP="00E249AA">
            <w:pPr>
              <w:jc w:val="both"/>
              <w:rPr>
                <w:rFonts w:ascii="Book Antiqua" w:hAnsi="Book Antiqua" w:cs="Arial"/>
                <w:b/>
              </w:rPr>
            </w:pPr>
            <w:r w:rsidRPr="00D83253">
              <w:rPr>
                <w:rFonts w:ascii="Book Antiqua" w:hAnsi="Book Antiqua" w:cs="Arial"/>
                <w:b/>
              </w:rPr>
              <w:t xml:space="preserve">On </w:t>
            </w:r>
            <w:r w:rsidR="00791618" w:rsidRPr="00D83253">
              <w:rPr>
                <w:rFonts w:ascii="Book Antiqua" w:hAnsi="Book Antiqua" w:cs="Arial"/>
                <w:b/>
              </w:rPr>
              <w:t>11</w:t>
            </w:r>
            <w:r w:rsidR="00791618" w:rsidRPr="00D83253">
              <w:rPr>
                <w:rFonts w:ascii="Book Antiqua" w:hAnsi="Book Antiqua" w:cs="Arial"/>
                <w:b/>
                <w:vertAlign w:val="superscript"/>
              </w:rPr>
              <w:t>th</w:t>
            </w:r>
            <w:r w:rsidR="00791618" w:rsidRPr="00D83253">
              <w:rPr>
                <w:rFonts w:ascii="Book Antiqua" w:hAnsi="Book Antiqua" w:cs="Arial"/>
                <w:b/>
              </w:rPr>
              <w:t xml:space="preserve"> April 2018 </w:t>
            </w:r>
          </w:p>
        </w:tc>
        <w:tc>
          <w:tcPr>
            <w:tcW w:w="5193" w:type="dxa"/>
            <w:gridSpan w:val="2"/>
            <w:shd w:val="clear" w:color="auto" w:fill="auto"/>
          </w:tcPr>
          <w:p w14:paraId="11337C75" w14:textId="0CA78B76" w:rsidR="00D22636" w:rsidRPr="00D83253" w:rsidRDefault="00D107D9" w:rsidP="00E249AA">
            <w:pPr>
              <w:jc w:val="both"/>
              <w:rPr>
                <w:rFonts w:ascii="Book Antiqua" w:hAnsi="Book Antiqua" w:cs="Arial"/>
                <w:b/>
              </w:rPr>
            </w:pPr>
            <w:r>
              <w:rPr>
                <w:rFonts w:ascii="Book Antiqua" w:hAnsi="Book Antiqua" w:cs="Arial"/>
                <w:b/>
              </w:rPr>
              <w:t xml:space="preserve">On 15 May 2018 </w:t>
            </w:r>
          </w:p>
        </w:tc>
      </w:tr>
      <w:tr w:rsidR="00D107D9" w:rsidRPr="00D83253" w14:paraId="196425FA" w14:textId="77777777" w:rsidTr="00E249AA">
        <w:trPr>
          <w:gridAfter w:val="1"/>
          <w:wAfter w:w="3960" w:type="dxa"/>
        </w:trPr>
        <w:tc>
          <w:tcPr>
            <w:tcW w:w="6048" w:type="dxa"/>
            <w:gridSpan w:val="2"/>
            <w:shd w:val="clear" w:color="auto" w:fill="auto"/>
          </w:tcPr>
          <w:p w14:paraId="799A9D58" w14:textId="77777777" w:rsidR="00D107D9" w:rsidRPr="00D83253" w:rsidRDefault="00D107D9" w:rsidP="00E249AA">
            <w:pPr>
              <w:jc w:val="both"/>
              <w:rPr>
                <w:rFonts w:ascii="Book Antiqua" w:hAnsi="Book Antiqua" w:cs="Arial"/>
                <w:b/>
              </w:rPr>
            </w:pPr>
          </w:p>
        </w:tc>
      </w:tr>
    </w:tbl>
    <w:p w14:paraId="3211A26A" w14:textId="77777777" w:rsidR="00A15234" w:rsidRPr="00D83253" w:rsidRDefault="00A15234" w:rsidP="00A15234">
      <w:pPr>
        <w:jc w:val="center"/>
        <w:rPr>
          <w:rFonts w:ascii="Book Antiqua" w:hAnsi="Book Antiqua" w:cs="Arial"/>
        </w:rPr>
      </w:pPr>
    </w:p>
    <w:p w14:paraId="699097FE" w14:textId="77777777" w:rsidR="00A15234" w:rsidRPr="00D83253" w:rsidRDefault="00207617" w:rsidP="00A15234">
      <w:pPr>
        <w:jc w:val="center"/>
        <w:rPr>
          <w:rFonts w:ascii="Book Antiqua" w:hAnsi="Book Antiqua" w:cs="Arial"/>
          <w:b/>
        </w:rPr>
      </w:pPr>
      <w:r w:rsidRPr="00D83253">
        <w:rPr>
          <w:rFonts w:ascii="Book Antiqua" w:hAnsi="Book Antiqua" w:cs="Arial"/>
          <w:b/>
        </w:rPr>
        <w:t>Befo</w:t>
      </w:r>
      <w:r w:rsidR="00A15234" w:rsidRPr="00D83253">
        <w:rPr>
          <w:rFonts w:ascii="Book Antiqua" w:hAnsi="Book Antiqua" w:cs="Arial"/>
          <w:b/>
        </w:rPr>
        <w:t>re</w:t>
      </w:r>
    </w:p>
    <w:p w14:paraId="6B23E328" w14:textId="77777777" w:rsidR="00A15234" w:rsidRPr="00D83253" w:rsidRDefault="00A15234" w:rsidP="00A15234">
      <w:pPr>
        <w:jc w:val="center"/>
        <w:rPr>
          <w:rFonts w:ascii="Book Antiqua" w:hAnsi="Book Antiqua" w:cs="Arial"/>
          <w:b/>
        </w:rPr>
      </w:pPr>
    </w:p>
    <w:p w14:paraId="5ACE6759" w14:textId="344DBDC6" w:rsidR="001A1E2C" w:rsidRPr="00D83253" w:rsidRDefault="00255071" w:rsidP="00A15234">
      <w:pPr>
        <w:jc w:val="center"/>
        <w:rPr>
          <w:rFonts w:ascii="Book Antiqua" w:hAnsi="Book Antiqua" w:cs="Arial"/>
          <w:b/>
        </w:rPr>
      </w:pPr>
      <w:r w:rsidRPr="00D83253">
        <w:rPr>
          <w:rFonts w:ascii="Book Antiqua" w:hAnsi="Book Antiqua" w:cs="Arial"/>
          <w:b/>
        </w:rPr>
        <w:t>DEPUTY UPPER TRIBUNAL</w:t>
      </w:r>
      <w:r w:rsidR="00707DB1" w:rsidRPr="00D83253">
        <w:rPr>
          <w:rFonts w:ascii="Book Antiqua" w:hAnsi="Book Antiqua" w:cs="Arial"/>
          <w:b/>
        </w:rPr>
        <w:t xml:space="preserve"> </w:t>
      </w:r>
      <w:r w:rsidR="00B24F3B" w:rsidRPr="00D83253">
        <w:rPr>
          <w:rFonts w:ascii="Book Antiqua" w:hAnsi="Book Antiqua" w:cs="Arial"/>
          <w:b/>
        </w:rPr>
        <w:t>JUDGE D N HARRIS</w:t>
      </w:r>
      <w:r w:rsidR="00D107D9">
        <w:rPr>
          <w:rFonts w:ascii="Book Antiqua" w:hAnsi="Book Antiqua" w:cs="Arial"/>
          <w:b/>
        </w:rPr>
        <w:t xml:space="preserve"> </w:t>
      </w:r>
    </w:p>
    <w:p w14:paraId="3B5F97E0" w14:textId="150AF45A" w:rsidR="00B16F58" w:rsidRDefault="00B16F58" w:rsidP="00A15234">
      <w:pPr>
        <w:jc w:val="center"/>
        <w:rPr>
          <w:rFonts w:ascii="Book Antiqua" w:hAnsi="Book Antiqua" w:cs="Arial"/>
          <w:b/>
        </w:rPr>
      </w:pPr>
    </w:p>
    <w:p w14:paraId="604CD8AA" w14:textId="77777777" w:rsidR="0024088E" w:rsidRPr="00D83253" w:rsidRDefault="0024088E" w:rsidP="00A15234">
      <w:pPr>
        <w:jc w:val="center"/>
        <w:rPr>
          <w:rFonts w:ascii="Book Antiqua" w:hAnsi="Book Antiqua" w:cs="Arial"/>
          <w:b/>
        </w:rPr>
      </w:pPr>
    </w:p>
    <w:p w14:paraId="5D523E58" w14:textId="77777777" w:rsidR="00A845DC" w:rsidRPr="00D83253" w:rsidRDefault="00A845DC" w:rsidP="00A15234">
      <w:pPr>
        <w:jc w:val="center"/>
        <w:rPr>
          <w:rFonts w:ascii="Book Antiqua" w:hAnsi="Book Antiqua" w:cs="Arial"/>
          <w:b/>
        </w:rPr>
      </w:pPr>
      <w:r w:rsidRPr="00D83253">
        <w:rPr>
          <w:rFonts w:ascii="Book Antiqua" w:hAnsi="Book Antiqua" w:cs="Arial"/>
          <w:b/>
        </w:rPr>
        <w:t>Between</w:t>
      </w:r>
    </w:p>
    <w:p w14:paraId="372EAB3B" w14:textId="77777777" w:rsidR="00A845DC" w:rsidRPr="00D83253" w:rsidRDefault="00A845DC" w:rsidP="00A15234">
      <w:pPr>
        <w:jc w:val="center"/>
        <w:rPr>
          <w:rFonts w:ascii="Book Antiqua" w:hAnsi="Book Antiqua" w:cs="Arial"/>
          <w:b/>
        </w:rPr>
      </w:pPr>
    </w:p>
    <w:p w14:paraId="146BDA8A" w14:textId="77777777" w:rsidR="00742A8D" w:rsidRPr="00D83253" w:rsidRDefault="00791618" w:rsidP="00742A8D">
      <w:pPr>
        <w:jc w:val="center"/>
        <w:rPr>
          <w:rFonts w:ascii="Book Antiqua" w:hAnsi="Book Antiqua" w:cs="Arial"/>
          <w:b/>
          <w:caps/>
        </w:rPr>
      </w:pPr>
      <w:r w:rsidRPr="00D83253">
        <w:rPr>
          <w:rFonts w:ascii="Book Antiqua" w:hAnsi="Book Antiqua" w:cs="Arial"/>
          <w:b/>
          <w:caps/>
        </w:rPr>
        <w:t xml:space="preserve">ms BF (1)  </w:t>
      </w:r>
    </w:p>
    <w:p w14:paraId="08ABAD63" w14:textId="77777777" w:rsidR="00791618" w:rsidRPr="00D83253" w:rsidRDefault="00791618" w:rsidP="00742A8D">
      <w:pPr>
        <w:jc w:val="center"/>
        <w:rPr>
          <w:rFonts w:ascii="Book Antiqua" w:hAnsi="Book Antiqua" w:cs="Arial"/>
          <w:b/>
          <w:caps/>
        </w:rPr>
      </w:pPr>
      <w:r w:rsidRPr="00D83253">
        <w:rPr>
          <w:rFonts w:ascii="Book Antiqua" w:hAnsi="Book Antiqua" w:cs="Arial"/>
          <w:b/>
          <w:caps/>
        </w:rPr>
        <w:t xml:space="preserve">miss LOF – a minor </w:t>
      </w:r>
      <w:r w:rsidRPr="00D83253">
        <w:rPr>
          <w:rFonts w:ascii="Book Antiqua" w:hAnsi="Book Antiqua" w:cs="Arial"/>
          <w:b/>
        </w:rPr>
        <w:t xml:space="preserve">– </w:t>
      </w:r>
      <w:r w:rsidRPr="00D83253">
        <w:rPr>
          <w:rFonts w:ascii="Book Antiqua" w:hAnsi="Book Antiqua" w:cs="Arial"/>
          <w:b/>
          <w:caps/>
        </w:rPr>
        <w:t xml:space="preserve">(2)  </w:t>
      </w:r>
    </w:p>
    <w:p w14:paraId="3D276CDB" w14:textId="77777777" w:rsidR="003405B7" w:rsidRPr="00D83253" w:rsidRDefault="003405B7" w:rsidP="003405B7">
      <w:pPr>
        <w:jc w:val="center"/>
        <w:rPr>
          <w:rFonts w:ascii="Book Antiqua" w:hAnsi="Book Antiqua" w:cs="Arial"/>
          <w:b/>
          <w:caps/>
        </w:rPr>
      </w:pPr>
      <w:r w:rsidRPr="00D83253">
        <w:rPr>
          <w:rFonts w:ascii="Book Antiqua" w:hAnsi="Book Antiqua" w:cs="Arial"/>
          <w:b/>
          <w:caps/>
        </w:rPr>
        <w:t xml:space="preserve">(ANONYMITY DIRECTION </w:t>
      </w:r>
      <w:bookmarkStart w:id="1" w:name="Text21"/>
      <w:r w:rsidRPr="00D83253">
        <w:rPr>
          <w:rFonts w:ascii="Book Antiqua" w:hAnsi="Book Antiqua" w:cs="Arial"/>
          <w:b/>
          <w:caps/>
          <w:noProof/>
        </w:rPr>
        <w:t>MADE</w:t>
      </w:r>
      <w:bookmarkEnd w:id="1"/>
      <w:r w:rsidRPr="00D83253">
        <w:rPr>
          <w:rFonts w:ascii="Book Antiqua" w:hAnsi="Book Antiqua" w:cs="Arial"/>
          <w:b/>
          <w:caps/>
        </w:rPr>
        <w:t>)</w:t>
      </w:r>
      <w:r w:rsidR="00791618" w:rsidRPr="00D83253">
        <w:rPr>
          <w:rFonts w:ascii="Book Antiqua" w:hAnsi="Book Antiqua" w:cs="Arial"/>
          <w:b/>
          <w:caps/>
        </w:rPr>
        <w:t xml:space="preserve">  </w:t>
      </w:r>
    </w:p>
    <w:p w14:paraId="2C87E8BF" w14:textId="77777777" w:rsidR="00704B61" w:rsidRPr="00D83253" w:rsidRDefault="00704B61" w:rsidP="00704B61">
      <w:pPr>
        <w:jc w:val="right"/>
        <w:rPr>
          <w:rFonts w:ascii="Book Antiqua" w:hAnsi="Book Antiqua" w:cs="Arial"/>
          <w:u w:val="single"/>
        </w:rPr>
      </w:pPr>
      <w:r w:rsidRPr="00D83253">
        <w:rPr>
          <w:rFonts w:ascii="Book Antiqua" w:hAnsi="Book Antiqua" w:cs="Arial"/>
          <w:u w:val="single"/>
        </w:rPr>
        <w:t>Appellant</w:t>
      </w:r>
      <w:r w:rsidR="009D644E" w:rsidRPr="00D83253">
        <w:rPr>
          <w:rFonts w:ascii="Book Antiqua" w:hAnsi="Book Antiqua" w:cs="Arial"/>
          <w:u w:val="single"/>
        </w:rPr>
        <w:t>s</w:t>
      </w:r>
    </w:p>
    <w:p w14:paraId="74F8C365" w14:textId="77777777" w:rsidR="00704B61" w:rsidRPr="00D83253" w:rsidRDefault="00DD5071" w:rsidP="00704B61">
      <w:pPr>
        <w:jc w:val="center"/>
        <w:rPr>
          <w:rFonts w:ascii="Book Antiqua" w:hAnsi="Book Antiqua" w:cs="Arial"/>
          <w:b/>
        </w:rPr>
      </w:pPr>
      <w:r w:rsidRPr="00D83253">
        <w:rPr>
          <w:rFonts w:ascii="Book Antiqua" w:hAnsi="Book Antiqua" w:cs="Arial"/>
          <w:b/>
        </w:rPr>
        <w:t>and</w:t>
      </w:r>
    </w:p>
    <w:p w14:paraId="066CFBFF" w14:textId="77777777" w:rsidR="00DD5071" w:rsidRPr="00D83253" w:rsidRDefault="00DD5071" w:rsidP="00704B61">
      <w:pPr>
        <w:jc w:val="center"/>
        <w:rPr>
          <w:rFonts w:ascii="Book Antiqua" w:hAnsi="Book Antiqua" w:cs="Arial"/>
          <w:b/>
        </w:rPr>
      </w:pPr>
    </w:p>
    <w:p w14:paraId="1E0C1452" w14:textId="77777777" w:rsidR="00DD5071" w:rsidRPr="00D83253" w:rsidRDefault="00DD5071" w:rsidP="00704B61">
      <w:pPr>
        <w:jc w:val="center"/>
        <w:rPr>
          <w:rFonts w:ascii="Book Antiqua" w:hAnsi="Book Antiqua" w:cs="Arial"/>
          <w:b/>
          <w:caps/>
        </w:rPr>
      </w:pPr>
      <w:bookmarkStart w:id="2" w:name="Text7"/>
      <w:r w:rsidRPr="00D83253">
        <w:rPr>
          <w:rFonts w:ascii="Book Antiqua" w:hAnsi="Book Antiqua" w:cs="Arial"/>
          <w:b/>
          <w:caps/>
          <w:noProof/>
        </w:rPr>
        <w:t>THE SECRETARY OF STATE FOR THE HOME DEPARTMENT</w:t>
      </w:r>
      <w:bookmarkEnd w:id="2"/>
      <w:r w:rsidR="00791618" w:rsidRPr="00D83253">
        <w:rPr>
          <w:rFonts w:ascii="Book Antiqua" w:hAnsi="Book Antiqua" w:cs="Arial"/>
          <w:b/>
          <w:caps/>
          <w:noProof/>
        </w:rPr>
        <w:t xml:space="preserve">  </w:t>
      </w:r>
    </w:p>
    <w:p w14:paraId="5074477C" w14:textId="77777777" w:rsidR="00DD5071" w:rsidRPr="00D83253" w:rsidRDefault="00DD5071" w:rsidP="00DD5071">
      <w:pPr>
        <w:jc w:val="right"/>
        <w:rPr>
          <w:rFonts w:ascii="Book Antiqua" w:hAnsi="Book Antiqua" w:cs="Arial"/>
          <w:u w:val="single"/>
        </w:rPr>
      </w:pPr>
      <w:r w:rsidRPr="00D83253">
        <w:rPr>
          <w:rFonts w:ascii="Book Antiqua" w:hAnsi="Book Antiqua" w:cs="Arial"/>
          <w:u w:val="single"/>
        </w:rPr>
        <w:t>Respondent</w:t>
      </w:r>
      <w:r w:rsidR="00791618" w:rsidRPr="00D83253">
        <w:rPr>
          <w:rFonts w:ascii="Book Antiqua" w:hAnsi="Book Antiqua" w:cs="Arial"/>
          <w:u w:val="single"/>
        </w:rPr>
        <w:t xml:space="preserve">  </w:t>
      </w:r>
    </w:p>
    <w:p w14:paraId="17E734A5" w14:textId="65549EA4" w:rsidR="00DD5071" w:rsidRDefault="00DD5071" w:rsidP="00DD5071">
      <w:pPr>
        <w:rPr>
          <w:rFonts w:ascii="Book Antiqua" w:hAnsi="Book Antiqua" w:cs="Arial"/>
          <w:u w:val="single"/>
        </w:rPr>
      </w:pPr>
    </w:p>
    <w:p w14:paraId="7A56EA44" w14:textId="77777777" w:rsidR="0024088E" w:rsidRPr="00D83253" w:rsidRDefault="0024088E" w:rsidP="00DD5071">
      <w:pPr>
        <w:rPr>
          <w:rFonts w:ascii="Book Antiqua" w:hAnsi="Book Antiqua" w:cs="Arial"/>
          <w:u w:val="single"/>
        </w:rPr>
      </w:pPr>
    </w:p>
    <w:p w14:paraId="1BDB5431" w14:textId="77777777" w:rsidR="00DD5071" w:rsidRPr="00D83253" w:rsidRDefault="00DE7DB7" w:rsidP="00DD5071">
      <w:pPr>
        <w:rPr>
          <w:rFonts w:ascii="Book Antiqua" w:hAnsi="Book Antiqua" w:cs="Arial"/>
        </w:rPr>
      </w:pPr>
      <w:r w:rsidRPr="00D83253">
        <w:rPr>
          <w:rFonts w:ascii="Book Antiqua" w:hAnsi="Book Antiqua" w:cs="Arial"/>
          <w:b/>
          <w:u w:val="single"/>
        </w:rPr>
        <w:t>Representation</w:t>
      </w:r>
      <w:r w:rsidRPr="00D83253">
        <w:rPr>
          <w:rFonts w:ascii="Book Antiqua" w:hAnsi="Book Antiqua" w:cs="Arial"/>
          <w:b/>
        </w:rPr>
        <w:t>:</w:t>
      </w:r>
    </w:p>
    <w:p w14:paraId="6625C6D7" w14:textId="77777777" w:rsidR="00DE7DB7" w:rsidRPr="00D83253" w:rsidRDefault="00DE7DB7" w:rsidP="00DE7DB7">
      <w:pPr>
        <w:tabs>
          <w:tab w:val="left" w:pos="2520"/>
        </w:tabs>
        <w:rPr>
          <w:rFonts w:ascii="Book Antiqua" w:hAnsi="Book Antiqua" w:cs="Arial"/>
        </w:rPr>
      </w:pPr>
      <w:r w:rsidRPr="00D83253">
        <w:rPr>
          <w:rFonts w:ascii="Book Antiqua" w:hAnsi="Book Antiqua" w:cs="Arial"/>
        </w:rPr>
        <w:t>For the Appellant</w:t>
      </w:r>
      <w:r w:rsidR="009D644E" w:rsidRPr="00D83253">
        <w:rPr>
          <w:rFonts w:ascii="Book Antiqua" w:hAnsi="Book Antiqua" w:cs="Arial"/>
        </w:rPr>
        <w:t>s</w:t>
      </w:r>
      <w:r w:rsidRPr="00D83253">
        <w:rPr>
          <w:rFonts w:ascii="Book Antiqua" w:hAnsi="Book Antiqua" w:cs="Arial"/>
        </w:rPr>
        <w:t>:</w:t>
      </w:r>
      <w:r w:rsidRPr="00D83253">
        <w:rPr>
          <w:rFonts w:ascii="Book Antiqua" w:hAnsi="Book Antiqua" w:cs="Arial"/>
        </w:rPr>
        <w:tab/>
      </w:r>
      <w:r w:rsidR="00791618" w:rsidRPr="00D83253">
        <w:rPr>
          <w:rFonts w:ascii="Book Antiqua" w:hAnsi="Book Antiqua" w:cs="Arial"/>
        </w:rPr>
        <w:t xml:space="preserve">Mr J Dhanji, Counsel  </w:t>
      </w:r>
    </w:p>
    <w:p w14:paraId="524A0231" w14:textId="77777777" w:rsidR="00DE7DB7" w:rsidRPr="00D83253" w:rsidRDefault="00DE7DB7" w:rsidP="00DE7DB7">
      <w:pPr>
        <w:tabs>
          <w:tab w:val="left" w:pos="2520"/>
        </w:tabs>
        <w:rPr>
          <w:rFonts w:ascii="Book Antiqua" w:hAnsi="Book Antiqua" w:cs="Arial"/>
        </w:rPr>
      </w:pPr>
      <w:r w:rsidRPr="00D83253">
        <w:rPr>
          <w:rFonts w:ascii="Book Antiqua" w:hAnsi="Book Antiqua" w:cs="Arial"/>
        </w:rPr>
        <w:t>For the Respondent:</w:t>
      </w:r>
      <w:r w:rsidRPr="00D83253">
        <w:rPr>
          <w:rFonts w:ascii="Book Antiqua" w:hAnsi="Book Antiqua" w:cs="Arial"/>
        </w:rPr>
        <w:tab/>
      </w:r>
      <w:r w:rsidR="00791618" w:rsidRPr="00D83253">
        <w:rPr>
          <w:rFonts w:ascii="Book Antiqua" w:hAnsi="Book Antiqua" w:cs="Arial"/>
        </w:rPr>
        <w:t xml:space="preserve">Mr D Clarke, Home Office Presenting Officer   </w:t>
      </w:r>
    </w:p>
    <w:p w14:paraId="7C42F4B4" w14:textId="77777777" w:rsidR="00DE7DB7" w:rsidRPr="00D83253" w:rsidRDefault="00DE7DB7" w:rsidP="00402B9E">
      <w:pPr>
        <w:tabs>
          <w:tab w:val="left" w:pos="2520"/>
        </w:tabs>
        <w:jc w:val="center"/>
        <w:rPr>
          <w:rFonts w:ascii="Book Antiqua" w:hAnsi="Book Antiqua" w:cs="Arial"/>
        </w:rPr>
      </w:pPr>
    </w:p>
    <w:p w14:paraId="2FB2949A" w14:textId="77777777" w:rsidR="00DE7DB7" w:rsidRPr="00D83253" w:rsidRDefault="00DE7DB7" w:rsidP="00402B9E">
      <w:pPr>
        <w:tabs>
          <w:tab w:val="left" w:pos="2520"/>
        </w:tabs>
        <w:jc w:val="center"/>
        <w:rPr>
          <w:rFonts w:ascii="Book Antiqua" w:hAnsi="Book Antiqua" w:cs="Arial"/>
        </w:rPr>
      </w:pPr>
    </w:p>
    <w:p w14:paraId="70FBB17B" w14:textId="77777777" w:rsidR="00DE7DB7" w:rsidRPr="00D83253" w:rsidRDefault="003405B7" w:rsidP="00402B9E">
      <w:pPr>
        <w:tabs>
          <w:tab w:val="left" w:pos="2520"/>
        </w:tabs>
        <w:jc w:val="center"/>
        <w:rPr>
          <w:rFonts w:ascii="Book Antiqua" w:hAnsi="Book Antiqua" w:cs="Arial"/>
          <w:u w:val="single"/>
        </w:rPr>
      </w:pPr>
      <w:r w:rsidRPr="00D83253">
        <w:rPr>
          <w:rFonts w:ascii="Book Antiqua" w:hAnsi="Book Antiqua" w:cs="Arial"/>
          <w:b/>
          <w:u w:val="single"/>
        </w:rPr>
        <w:t xml:space="preserve">DECISION </w:t>
      </w:r>
      <w:r w:rsidR="00402B9E" w:rsidRPr="00D83253">
        <w:rPr>
          <w:rFonts w:ascii="Book Antiqua" w:hAnsi="Book Antiqua" w:cs="Arial"/>
          <w:b/>
          <w:u w:val="single"/>
        </w:rPr>
        <w:t>AND REASONS</w:t>
      </w:r>
    </w:p>
    <w:p w14:paraId="3691E147" w14:textId="758C9413" w:rsidR="009D644E" w:rsidRPr="00D83253" w:rsidRDefault="003C7983" w:rsidP="00AF533C">
      <w:pPr>
        <w:numPr>
          <w:ilvl w:val="0"/>
          <w:numId w:val="3"/>
        </w:numPr>
        <w:spacing w:before="240"/>
        <w:jc w:val="both"/>
        <w:rPr>
          <w:rFonts w:ascii="Book Antiqua" w:hAnsi="Book Antiqua" w:cs="Arial"/>
        </w:rPr>
      </w:pPr>
      <w:r w:rsidRPr="00D83253">
        <w:rPr>
          <w:rFonts w:ascii="Book Antiqua" w:hAnsi="Book Antiqua" w:cs="Arial"/>
        </w:rPr>
        <w:t>The Appellants are respectively mother and minor daughter born on 1</w:t>
      </w:r>
      <w:r w:rsidRPr="00D83253">
        <w:rPr>
          <w:rFonts w:ascii="Book Antiqua" w:hAnsi="Book Antiqua" w:cs="Arial"/>
          <w:vertAlign w:val="superscript"/>
        </w:rPr>
        <w:t>st</w:t>
      </w:r>
      <w:r w:rsidRPr="00D83253">
        <w:rPr>
          <w:rFonts w:ascii="Book Antiqua" w:hAnsi="Book Antiqua" w:cs="Arial"/>
        </w:rPr>
        <w:t xml:space="preserve"> December 1973 and 4</w:t>
      </w:r>
      <w:r w:rsidRPr="00D83253">
        <w:rPr>
          <w:rFonts w:ascii="Book Antiqua" w:hAnsi="Book Antiqua" w:cs="Arial"/>
          <w:vertAlign w:val="superscript"/>
        </w:rPr>
        <w:t>th</w:t>
      </w:r>
      <w:r w:rsidRPr="00D83253">
        <w:rPr>
          <w:rFonts w:ascii="Book Antiqua" w:hAnsi="Book Antiqua" w:cs="Arial"/>
        </w:rPr>
        <w:t xml:space="preserve"> June 2007.  They are citizens of South Africa.  The first Appellant </w:t>
      </w:r>
      <w:r w:rsidR="00192071">
        <w:rPr>
          <w:rFonts w:ascii="Book Antiqua" w:hAnsi="Book Antiqua" w:cs="Arial"/>
        </w:rPr>
        <w:t xml:space="preserve">arrived </w:t>
      </w:r>
      <w:r w:rsidRPr="00D83253">
        <w:rPr>
          <w:rFonts w:ascii="Book Antiqua" w:hAnsi="Book Antiqua" w:cs="Arial"/>
        </w:rPr>
        <w:t>in the United Kingdom on 30</w:t>
      </w:r>
      <w:r w:rsidRPr="00D83253">
        <w:rPr>
          <w:rFonts w:ascii="Book Antiqua" w:hAnsi="Book Antiqua" w:cs="Arial"/>
          <w:vertAlign w:val="superscript"/>
        </w:rPr>
        <w:t>th</w:t>
      </w:r>
      <w:r w:rsidRPr="00D83253">
        <w:rPr>
          <w:rFonts w:ascii="Book Antiqua" w:hAnsi="Book Antiqua" w:cs="Arial"/>
        </w:rPr>
        <w:t xml:space="preserve"> July 2003 with leave to enter as a visitor valid to 30</w:t>
      </w:r>
      <w:r w:rsidRPr="00D83253">
        <w:rPr>
          <w:rFonts w:ascii="Book Antiqua" w:hAnsi="Book Antiqua" w:cs="Arial"/>
          <w:vertAlign w:val="superscript"/>
        </w:rPr>
        <w:t>th</w:t>
      </w:r>
      <w:r w:rsidRPr="00D83253">
        <w:rPr>
          <w:rFonts w:ascii="Book Antiqua" w:hAnsi="Book Antiqua" w:cs="Arial"/>
        </w:rPr>
        <w:t> January 2004.  On 6</w:t>
      </w:r>
      <w:r w:rsidRPr="00D83253">
        <w:rPr>
          <w:rFonts w:ascii="Book Antiqua" w:hAnsi="Book Antiqua" w:cs="Arial"/>
          <w:vertAlign w:val="superscript"/>
        </w:rPr>
        <w:t>th</w:t>
      </w:r>
      <w:r w:rsidRPr="00D83253">
        <w:rPr>
          <w:rFonts w:ascii="Book Antiqua" w:hAnsi="Book Antiqua" w:cs="Arial"/>
        </w:rPr>
        <w:t xml:space="preserve"> March 2009 she was refused leave to remain outside the Immigration Rules.  </w:t>
      </w:r>
      <w:r w:rsidR="00AD35F9" w:rsidRPr="00D83253">
        <w:rPr>
          <w:rFonts w:ascii="Book Antiqua" w:hAnsi="Book Antiqua" w:cs="Arial"/>
        </w:rPr>
        <w:t>On 31</w:t>
      </w:r>
      <w:r w:rsidR="00AD35F9" w:rsidRPr="00D83253">
        <w:rPr>
          <w:rFonts w:ascii="Book Antiqua" w:hAnsi="Book Antiqua" w:cs="Arial"/>
          <w:vertAlign w:val="superscript"/>
        </w:rPr>
        <w:t>st</w:t>
      </w:r>
      <w:r w:rsidR="00AD35F9" w:rsidRPr="00D83253">
        <w:rPr>
          <w:rFonts w:ascii="Book Antiqua" w:hAnsi="Book Antiqua" w:cs="Arial"/>
        </w:rPr>
        <w:t xml:space="preserve"> March 2015 she applied for leave to remain based on her family and private life.  The second Appellant was born on 4</w:t>
      </w:r>
      <w:r w:rsidR="00AD35F9" w:rsidRPr="00D83253">
        <w:rPr>
          <w:rFonts w:ascii="Book Antiqua" w:hAnsi="Book Antiqua" w:cs="Arial"/>
          <w:vertAlign w:val="superscript"/>
        </w:rPr>
        <w:t>th</w:t>
      </w:r>
      <w:r w:rsidR="00AD35F9" w:rsidRPr="00D83253">
        <w:rPr>
          <w:rFonts w:ascii="Book Antiqua" w:hAnsi="Book Antiqua" w:cs="Arial"/>
        </w:rPr>
        <w:t xml:space="preserve"> June 2007 and has never </w:t>
      </w:r>
      <w:r w:rsidR="00AD35F9" w:rsidRPr="00D83253">
        <w:rPr>
          <w:rFonts w:ascii="Book Antiqua" w:hAnsi="Book Antiqua" w:cs="Arial"/>
        </w:rPr>
        <w:lastRenderedPageBreak/>
        <w:t>had any leave to enter the United Kingdom.  The Appellants’ applications for leave to remain were refused by Notice of Refusal dated 19</w:t>
      </w:r>
      <w:r w:rsidR="00AD35F9" w:rsidRPr="00D83253">
        <w:rPr>
          <w:rFonts w:ascii="Book Antiqua" w:hAnsi="Book Antiqua" w:cs="Arial"/>
          <w:vertAlign w:val="superscript"/>
        </w:rPr>
        <w:t>th</w:t>
      </w:r>
      <w:r w:rsidR="00AD35F9" w:rsidRPr="00D83253">
        <w:rPr>
          <w:rFonts w:ascii="Book Antiqua" w:hAnsi="Book Antiqua" w:cs="Arial"/>
        </w:rPr>
        <w:t xml:space="preserve"> May 2015.  </w:t>
      </w:r>
    </w:p>
    <w:p w14:paraId="157C3B76" w14:textId="77777777" w:rsidR="00AD35F9" w:rsidRPr="00D83253" w:rsidRDefault="00AD35F9" w:rsidP="00AF533C">
      <w:pPr>
        <w:numPr>
          <w:ilvl w:val="0"/>
          <w:numId w:val="3"/>
        </w:numPr>
        <w:spacing w:before="240"/>
        <w:jc w:val="both"/>
        <w:rPr>
          <w:rFonts w:ascii="Book Antiqua" w:hAnsi="Book Antiqua" w:cs="Arial"/>
        </w:rPr>
      </w:pPr>
      <w:r w:rsidRPr="00D83253">
        <w:rPr>
          <w:rFonts w:ascii="Book Antiqua" w:hAnsi="Book Antiqua" w:cs="Arial"/>
        </w:rPr>
        <w:t>The Appellants appealed and the appeals came before Judge of the First-tier Tribunal Lodge sitting at Birmingham on 19</w:t>
      </w:r>
      <w:r w:rsidRPr="00D83253">
        <w:rPr>
          <w:rFonts w:ascii="Book Antiqua" w:hAnsi="Book Antiqua" w:cs="Arial"/>
          <w:vertAlign w:val="superscript"/>
        </w:rPr>
        <w:t>th</w:t>
      </w:r>
      <w:r w:rsidRPr="00D83253">
        <w:rPr>
          <w:rFonts w:ascii="Book Antiqua" w:hAnsi="Book Antiqua" w:cs="Arial"/>
        </w:rPr>
        <w:t xml:space="preserve"> October 2017.</w:t>
      </w:r>
      <w:r w:rsidR="00736613" w:rsidRPr="00D83253">
        <w:rPr>
          <w:rFonts w:ascii="Book Antiqua" w:hAnsi="Book Antiqua" w:cs="Arial"/>
        </w:rPr>
        <w:t xml:space="preserve">  In a decision and reasons promulgated on 25</w:t>
      </w:r>
      <w:r w:rsidR="00736613" w:rsidRPr="00D83253">
        <w:rPr>
          <w:rFonts w:ascii="Book Antiqua" w:hAnsi="Book Antiqua" w:cs="Arial"/>
          <w:vertAlign w:val="superscript"/>
        </w:rPr>
        <w:t>th</w:t>
      </w:r>
      <w:r w:rsidR="00736613" w:rsidRPr="00D83253">
        <w:rPr>
          <w:rFonts w:ascii="Book Antiqua" w:hAnsi="Book Antiqua" w:cs="Arial"/>
        </w:rPr>
        <w:t xml:space="preserve"> October 2017 their appeals were dismissed.  </w:t>
      </w:r>
    </w:p>
    <w:p w14:paraId="5A01E01A" w14:textId="77777777" w:rsidR="00736613" w:rsidRPr="00D83253" w:rsidRDefault="00736613" w:rsidP="00AF533C">
      <w:pPr>
        <w:numPr>
          <w:ilvl w:val="0"/>
          <w:numId w:val="3"/>
        </w:numPr>
        <w:spacing w:before="240"/>
        <w:jc w:val="both"/>
        <w:rPr>
          <w:rFonts w:ascii="Book Antiqua" w:hAnsi="Book Antiqua" w:cs="Arial"/>
        </w:rPr>
      </w:pPr>
      <w:r w:rsidRPr="00D83253">
        <w:rPr>
          <w:rFonts w:ascii="Book Antiqua" w:hAnsi="Book Antiqua" w:cs="Arial"/>
        </w:rPr>
        <w:t>On 6</w:t>
      </w:r>
      <w:r w:rsidRPr="00D83253">
        <w:rPr>
          <w:rFonts w:ascii="Book Antiqua" w:hAnsi="Book Antiqua" w:cs="Arial"/>
          <w:vertAlign w:val="superscript"/>
        </w:rPr>
        <w:t>th</w:t>
      </w:r>
      <w:r w:rsidRPr="00D83253">
        <w:rPr>
          <w:rFonts w:ascii="Book Antiqua" w:hAnsi="Book Antiqua" w:cs="Arial"/>
        </w:rPr>
        <w:t xml:space="preserve"> November 2017 Grounds of Appeal were lodged to the Upper Tribunal.  On 12</w:t>
      </w:r>
      <w:r w:rsidRPr="00D83253">
        <w:rPr>
          <w:rFonts w:ascii="Book Antiqua" w:hAnsi="Book Antiqua" w:cs="Arial"/>
          <w:vertAlign w:val="superscript"/>
        </w:rPr>
        <w:t>th</w:t>
      </w:r>
      <w:r w:rsidRPr="00D83253">
        <w:rPr>
          <w:rFonts w:ascii="Book Antiqua" w:hAnsi="Book Antiqua" w:cs="Arial"/>
        </w:rPr>
        <w:t> February 2018 Judge of the First-tier Tribunal Mailer</w:t>
      </w:r>
      <w:r w:rsidR="009816A6" w:rsidRPr="00D83253">
        <w:rPr>
          <w:rFonts w:ascii="Book Antiqua" w:hAnsi="Book Antiqua" w:cs="Arial"/>
        </w:rPr>
        <w:t xml:space="preserve"> granted permission to appeal.  Judge Mailer noted that the grounds contended that the First-tier Tribunal Judge had failed to determine the appeal of the child – a qualifying child – under the Respondent’s policy.  Further he had failed to identify strong reasons why the child should now leave the UK and had erred in his approach in assessing the best interests of the child</w:t>
      </w:r>
      <w:r w:rsidR="00906AEC" w:rsidRPr="00D83253">
        <w:rPr>
          <w:rFonts w:ascii="Book Antiqua" w:hAnsi="Book Antiqua" w:cs="Arial"/>
        </w:rPr>
        <w:t>,</w:t>
      </w:r>
      <w:r w:rsidR="009816A6" w:rsidRPr="00D83253">
        <w:rPr>
          <w:rFonts w:ascii="Book Antiqua" w:hAnsi="Book Antiqua" w:cs="Arial"/>
        </w:rPr>
        <w:t xml:space="preserve"> treating the immigration status of her mother and their removal as a basis for answering the question of what was in the child’s best interests.  Judge Mailer considered that it was arguable that there may have been shortcomings in the judge’s assessment of the child’s best interests.  </w:t>
      </w:r>
    </w:p>
    <w:p w14:paraId="14FF352B" w14:textId="77777777" w:rsidR="00B65977" w:rsidRPr="00D83253" w:rsidRDefault="009816A6" w:rsidP="00B65977">
      <w:pPr>
        <w:numPr>
          <w:ilvl w:val="0"/>
          <w:numId w:val="3"/>
        </w:numPr>
        <w:spacing w:before="240"/>
        <w:jc w:val="both"/>
        <w:rPr>
          <w:rFonts w:ascii="Book Antiqua" w:hAnsi="Book Antiqua" w:cs="Arial"/>
        </w:rPr>
      </w:pPr>
      <w:r w:rsidRPr="00D83253">
        <w:rPr>
          <w:rFonts w:ascii="Book Antiqua" w:hAnsi="Book Antiqua" w:cs="Arial"/>
        </w:rPr>
        <w:t xml:space="preserve">It is on that basis that the appeal comes before me to determine whether or not there is a material error of law in the decision of the First-tier Tribunal Judge.  </w:t>
      </w:r>
      <w:r w:rsidR="008120BE" w:rsidRPr="00D83253">
        <w:rPr>
          <w:rFonts w:ascii="Book Antiqua" w:hAnsi="Book Antiqua" w:cs="Arial"/>
        </w:rPr>
        <w:t xml:space="preserve">The Appellants appear by their instructed Counsel, Mr Dhanji.  The Secretary of State appears by her Home Office Presenting Officer, Mr Clarke.  The First-tier Tribunal </w:t>
      </w:r>
      <w:r w:rsidR="00B65977" w:rsidRPr="00D83253">
        <w:rPr>
          <w:rFonts w:ascii="Book Antiqua" w:hAnsi="Book Antiqua" w:cs="Arial"/>
        </w:rPr>
        <w:t xml:space="preserve">Judge made an anonymity direction.  No application is made to vary that order and it remains in place.  </w:t>
      </w:r>
    </w:p>
    <w:p w14:paraId="1DA75F6E" w14:textId="77777777" w:rsidR="00B65977" w:rsidRPr="00D83253" w:rsidRDefault="00B65977" w:rsidP="00B65977">
      <w:pPr>
        <w:spacing w:before="240"/>
        <w:jc w:val="both"/>
        <w:rPr>
          <w:rFonts w:ascii="Book Antiqua" w:hAnsi="Book Antiqua" w:cs="Arial"/>
        </w:rPr>
      </w:pPr>
      <w:r w:rsidRPr="00D83253">
        <w:rPr>
          <w:rFonts w:ascii="Book Antiqua" w:hAnsi="Book Antiqua" w:cstheme="minorHAnsi"/>
          <w:b/>
        </w:rPr>
        <w:t xml:space="preserve">Submission/Discussions  </w:t>
      </w:r>
    </w:p>
    <w:p w14:paraId="3904CA44" w14:textId="77777777" w:rsidR="00B65977" w:rsidRPr="00D83253" w:rsidRDefault="00B65977" w:rsidP="00AF533C">
      <w:pPr>
        <w:numPr>
          <w:ilvl w:val="0"/>
          <w:numId w:val="3"/>
        </w:numPr>
        <w:spacing w:before="240"/>
        <w:jc w:val="both"/>
        <w:rPr>
          <w:rFonts w:ascii="Book Antiqua" w:hAnsi="Book Antiqua" w:cs="Arial"/>
        </w:rPr>
      </w:pPr>
      <w:r w:rsidRPr="00D83253">
        <w:rPr>
          <w:rFonts w:ascii="Book Antiqua" w:hAnsi="Book Antiqua" w:cs="Arial"/>
        </w:rPr>
        <w:t>Mr Dhanji</w:t>
      </w:r>
      <w:r w:rsidR="006107BB" w:rsidRPr="00D83253">
        <w:rPr>
          <w:rFonts w:ascii="Book Antiqua" w:hAnsi="Book Antiqua" w:cs="Arial"/>
        </w:rPr>
        <w:t xml:space="preserve"> starts by reminding me that the first Appellant is the mother of the second Appellant and the application was based on the fact that the Appellants and importantly the second Appellant had accumulated over seven years’ continuous residence in the UK and therefore the second Appellant was a </w:t>
      </w:r>
      <w:r w:rsidR="003B64F2" w:rsidRPr="00D83253">
        <w:rPr>
          <w:rFonts w:ascii="Book Antiqua" w:hAnsi="Book Antiqua" w:cs="Arial"/>
        </w:rPr>
        <w:t>“</w:t>
      </w:r>
      <w:r w:rsidR="006107BB" w:rsidRPr="00D83253">
        <w:rPr>
          <w:rFonts w:ascii="Book Antiqua" w:hAnsi="Book Antiqua" w:cs="Arial"/>
        </w:rPr>
        <w:t>qualifying child</w:t>
      </w:r>
      <w:r w:rsidR="003B64F2" w:rsidRPr="00D83253">
        <w:rPr>
          <w:rFonts w:ascii="Book Antiqua" w:hAnsi="Book Antiqua" w:cs="Arial"/>
        </w:rPr>
        <w:t>”</w:t>
      </w:r>
      <w:r w:rsidR="006B365F" w:rsidRPr="00D83253">
        <w:rPr>
          <w:rFonts w:ascii="Book Antiqua" w:hAnsi="Book Antiqua" w:cs="Arial"/>
        </w:rPr>
        <w:t xml:space="preserve">.   </w:t>
      </w:r>
      <w:r w:rsidR="006B365F" w:rsidRPr="00D83253">
        <w:rPr>
          <w:rFonts w:ascii="Book Antiqua" w:hAnsi="Book Antiqua" w:cstheme="minorHAnsi"/>
          <w:noProof/>
        </w:rPr>
        <w:t xml:space="preserve">     </w:t>
      </w:r>
      <w:r w:rsidR="006B365F" w:rsidRPr="00D83253">
        <w:rPr>
          <w:rFonts w:ascii="Book Antiqua" w:hAnsi="Book Antiqua" w:cstheme="minorHAnsi"/>
        </w:rPr>
        <w:t xml:space="preserve"> </w:t>
      </w:r>
    </w:p>
    <w:p w14:paraId="07D05B3D" w14:textId="77777777" w:rsidR="00967C0F" w:rsidRPr="00D83253" w:rsidRDefault="00967C0F" w:rsidP="00967C0F">
      <w:pPr>
        <w:spacing w:before="240"/>
        <w:jc w:val="both"/>
        <w:rPr>
          <w:rFonts w:ascii="Book Antiqua" w:hAnsi="Book Antiqua" w:cstheme="minorHAnsi"/>
          <w:b/>
        </w:rPr>
      </w:pPr>
      <w:r w:rsidRPr="00D83253">
        <w:rPr>
          <w:rFonts w:ascii="Book Antiqua" w:hAnsi="Book Antiqua" w:cstheme="minorHAnsi"/>
          <w:b/>
        </w:rPr>
        <w:t xml:space="preserve">Submission/Discussion  </w:t>
      </w:r>
    </w:p>
    <w:p w14:paraId="5F48E00A" w14:textId="45A901A8" w:rsidR="00967C0F" w:rsidRPr="00D83253" w:rsidRDefault="006B365F" w:rsidP="00AF533C">
      <w:pPr>
        <w:numPr>
          <w:ilvl w:val="0"/>
          <w:numId w:val="3"/>
        </w:numPr>
        <w:spacing w:before="240"/>
        <w:jc w:val="both"/>
        <w:rPr>
          <w:rFonts w:ascii="Book Antiqua" w:hAnsi="Book Antiqua" w:cs="Arial"/>
        </w:rPr>
      </w:pPr>
      <w:r w:rsidRPr="00D83253">
        <w:rPr>
          <w:rFonts w:ascii="Book Antiqua" w:hAnsi="Book Antiqua" w:cs="Arial"/>
        </w:rPr>
        <w:t xml:space="preserve">Mr Dhanji takes me to paragraph 12 of the determination which is where the judge starts to address the best interests of the child.  He considers it is manifestly in the child’s best interest to be with her mother.  I doubt if this is an issue that is contentious.  However he submits that the judge has adopted an inappropriate approach and refers me to paragraph 46 of </w:t>
      </w:r>
      <w:r w:rsidRPr="00D83253">
        <w:rPr>
          <w:rFonts w:ascii="Book Antiqua" w:hAnsi="Book Antiqua" w:cs="Arial"/>
          <w:i/>
        </w:rPr>
        <w:t>The Queen on the application of MA (Pakistan) and Others [2016] EWCA Civ 705</w:t>
      </w:r>
      <w:r w:rsidRPr="00D83253">
        <w:rPr>
          <w:rFonts w:ascii="Book Antiqua" w:hAnsi="Book Antiqua" w:cs="Arial"/>
        </w:rPr>
        <w:t xml:space="preserve"> where the Court of Appeal indicated that once the seven year residence requirement was satisfied </w:t>
      </w:r>
      <w:r w:rsidR="00496526" w:rsidRPr="00D83253">
        <w:rPr>
          <w:rFonts w:ascii="Book Antiqua" w:hAnsi="Book Antiqua" w:cs="Arial"/>
        </w:rPr>
        <w:t xml:space="preserve">there would need to be strong reasons for refusing leave and that there would be a strong expectation that the child’s best interests would be to remain in the UK with his parents as part of a family unit and that must rank as a primary consideration in the proportionality assessment.  </w:t>
      </w:r>
    </w:p>
    <w:p w14:paraId="09C7D845" w14:textId="77777777" w:rsidR="00496526" w:rsidRPr="00D83253" w:rsidRDefault="00496526" w:rsidP="00AF533C">
      <w:pPr>
        <w:numPr>
          <w:ilvl w:val="0"/>
          <w:numId w:val="3"/>
        </w:numPr>
        <w:spacing w:before="240"/>
        <w:jc w:val="both"/>
        <w:rPr>
          <w:rFonts w:ascii="Book Antiqua" w:hAnsi="Book Antiqua" w:cs="Arial"/>
        </w:rPr>
      </w:pPr>
      <w:r w:rsidRPr="00D83253">
        <w:rPr>
          <w:rFonts w:ascii="Book Antiqua" w:hAnsi="Book Antiqua" w:cs="Arial"/>
        </w:rPr>
        <w:t xml:space="preserve">Mr Dhanji submits that the judge has considered the matter the other way round and in the wrong context of best interest.  He submits his consideration has been very brief.  He submits that bearing in mind paragraph 11 of the decision where the judge has </w:t>
      </w:r>
      <w:r w:rsidRPr="00D83253">
        <w:rPr>
          <w:rFonts w:ascii="Book Antiqua" w:hAnsi="Book Antiqua" w:cs="Arial"/>
        </w:rPr>
        <w:lastRenderedPageBreak/>
        <w:t xml:space="preserve">started from the premise that having been </w:t>
      </w:r>
      <w:r w:rsidR="00792CD4" w:rsidRPr="00D83253">
        <w:rPr>
          <w:rFonts w:ascii="Book Antiqua" w:hAnsi="Book Antiqua" w:cs="Arial"/>
        </w:rPr>
        <w:t>in the UK for seven years and this must be given significant weight in the proportionality assessment</w:t>
      </w:r>
      <w:r w:rsidR="00964A41" w:rsidRPr="00D83253">
        <w:rPr>
          <w:rFonts w:ascii="Book Antiqua" w:hAnsi="Book Antiqua" w:cs="Arial"/>
        </w:rPr>
        <w:t>,</w:t>
      </w:r>
      <w:r w:rsidR="00792CD4" w:rsidRPr="00D83253">
        <w:rPr>
          <w:rFonts w:ascii="Book Antiqua" w:hAnsi="Book Antiqua" w:cs="Arial"/>
        </w:rPr>
        <w:t xml:space="preserve"> that it is strange to have come to the findings that the judge has done.  He further takes me to paragraph 49 of </w:t>
      </w:r>
      <w:r w:rsidR="00792CD4" w:rsidRPr="00D83253">
        <w:rPr>
          <w:rFonts w:ascii="Book Antiqua" w:hAnsi="Book Antiqua" w:cs="Arial"/>
          <w:i/>
        </w:rPr>
        <w:t xml:space="preserve">MA </w:t>
      </w:r>
      <w:r w:rsidR="00B51FD2" w:rsidRPr="00D83253">
        <w:rPr>
          <w:rFonts w:ascii="Book Antiqua" w:hAnsi="Book Antiqua" w:cs="Arial"/>
          <w:i/>
        </w:rPr>
        <w:t>(</w:t>
      </w:r>
      <w:r w:rsidR="00792CD4" w:rsidRPr="00D83253">
        <w:rPr>
          <w:rFonts w:ascii="Book Antiqua" w:hAnsi="Book Antiqua" w:cs="Arial"/>
          <w:i/>
        </w:rPr>
        <w:t>Pakistan</w:t>
      </w:r>
      <w:r w:rsidR="00B51FD2" w:rsidRPr="00D83253">
        <w:rPr>
          <w:rFonts w:ascii="Book Antiqua" w:hAnsi="Book Antiqua" w:cs="Arial"/>
          <w:i/>
        </w:rPr>
        <w:t>)</w:t>
      </w:r>
      <w:r w:rsidR="00792CD4" w:rsidRPr="00D83253">
        <w:rPr>
          <w:rFonts w:ascii="Book Antiqua" w:hAnsi="Book Antiqua" w:cs="Arial"/>
        </w:rPr>
        <w:t xml:space="preserve"> and the emphasis of the Court of Appeal that as a starting point leave should be granted unless there are powerful reasons to the contrary and he submits that the judge has failed to take this premise into account.  </w:t>
      </w:r>
    </w:p>
    <w:p w14:paraId="52C0937A" w14:textId="77777777" w:rsidR="00792CD4" w:rsidRPr="00D83253" w:rsidRDefault="00792CD4" w:rsidP="00AF533C">
      <w:pPr>
        <w:numPr>
          <w:ilvl w:val="0"/>
          <w:numId w:val="3"/>
        </w:numPr>
        <w:spacing w:before="240"/>
        <w:jc w:val="both"/>
        <w:rPr>
          <w:rFonts w:ascii="Book Antiqua" w:hAnsi="Book Antiqua" w:cs="Arial"/>
        </w:rPr>
      </w:pPr>
      <w:r w:rsidRPr="00D83253">
        <w:rPr>
          <w:rFonts w:ascii="Book Antiqua" w:hAnsi="Book Antiqua" w:cs="Arial"/>
        </w:rPr>
        <w:t xml:space="preserve">In response Mr Clarke submits that there has been a textbook approach to </w:t>
      </w:r>
      <w:r w:rsidRPr="00D83253">
        <w:rPr>
          <w:rFonts w:ascii="Book Antiqua" w:hAnsi="Book Antiqua" w:cs="Arial"/>
          <w:i/>
        </w:rPr>
        <w:t xml:space="preserve">MA </w:t>
      </w:r>
      <w:r w:rsidR="00B51FD2" w:rsidRPr="00D83253">
        <w:rPr>
          <w:rFonts w:ascii="Book Antiqua" w:hAnsi="Book Antiqua" w:cs="Arial"/>
          <w:i/>
        </w:rPr>
        <w:t>(</w:t>
      </w:r>
      <w:r w:rsidRPr="00D83253">
        <w:rPr>
          <w:rFonts w:ascii="Book Antiqua" w:hAnsi="Book Antiqua" w:cs="Arial"/>
          <w:i/>
        </w:rPr>
        <w:t>Pakistan</w:t>
      </w:r>
      <w:r w:rsidR="00B51FD2" w:rsidRPr="00D83253">
        <w:rPr>
          <w:rFonts w:ascii="Book Antiqua" w:hAnsi="Book Antiqua" w:cs="Arial"/>
          <w:i/>
        </w:rPr>
        <w:t>)</w:t>
      </w:r>
      <w:r w:rsidRPr="00D83253">
        <w:rPr>
          <w:rFonts w:ascii="Book Antiqua" w:hAnsi="Book Antiqua" w:cs="Arial"/>
        </w:rPr>
        <w:t>.  And</w:t>
      </w:r>
      <w:r w:rsidR="00DF3718" w:rsidRPr="00D83253">
        <w:rPr>
          <w:rFonts w:ascii="Book Antiqua" w:hAnsi="Book Antiqua" w:cs="Arial"/>
        </w:rPr>
        <w:t xml:space="preserve"> </w:t>
      </w:r>
      <w:r w:rsidRPr="00D83253">
        <w:rPr>
          <w:rFonts w:ascii="Book Antiqua" w:hAnsi="Book Antiqua" w:cstheme="minorHAnsi"/>
        </w:rPr>
        <w:t xml:space="preserve">that the judge has embraced paragraph 46 of </w:t>
      </w:r>
      <w:r w:rsidRPr="00D83253">
        <w:rPr>
          <w:rFonts w:ascii="Book Antiqua" w:hAnsi="Book Antiqua" w:cstheme="minorHAnsi"/>
          <w:i/>
        </w:rPr>
        <w:t>MA</w:t>
      </w:r>
      <w:r w:rsidRPr="00D83253">
        <w:rPr>
          <w:rFonts w:ascii="Book Antiqua" w:hAnsi="Book Antiqua" w:cstheme="minorHAnsi"/>
        </w:rPr>
        <w:t xml:space="preserve"> and then set out the reasonableness requirements at paragraph 10 of his decision and has noted the jurisprudence at paragraph 11.  He has addressed the issue of best interests between paragraphs 12 and 20 and then at 21 has given due consideration to the wider public interest.  </w:t>
      </w:r>
      <w:r w:rsidR="00834013" w:rsidRPr="00D83253">
        <w:rPr>
          <w:rFonts w:ascii="Book Antiqua" w:hAnsi="Book Antiqua" w:cstheme="minorHAnsi"/>
        </w:rPr>
        <w:t xml:space="preserve">He takes me to the factors set out in </w:t>
      </w:r>
      <w:r w:rsidR="00834013" w:rsidRPr="00D83253">
        <w:rPr>
          <w:rFonts w:ascii="Book Antiqua" w:hAnsi="Book Antiqua" w:cstheme="minorHAnsi"/>
          <w:i/>
        </w:rPr>
        <w:t xml:space="preserve">EV </w:t>
      </w:r>
      <w:r w:rsidR="00A639E8" w:rsidRPr="00D83253">
        <w:rPr>
          <w:rFonts w:ascii="Book Antiqua" w:hAnsi="Book Antiqua" w:cstheme="minorHAnsi"/>
          <w:i/>
        </w:rPr>
        <w:t>(</w:t>
      </w:r>
      <w:r w:rsidR="00834013" w:rsidRPr="00D83253">
        <w:rPr>
          <w:rFonts w:ascii="Book Antiqua" w:hAnsi="Book Antiqua" w:cstheme="minorHAnsi"/>
          <w:i/>
        </w:rPr>
        <w:t>Philippines</w:t>
      </w:r>
      <w:r w:rsidR="00A639E8" w:rsidRPr="00D83253">
        <w:rPr>
          <w:rFonts w:ascii="Book Antiqua" w:hAnsi="Book Antiqua" w:cstheme="minorHAnsi"/>
          <w:i/>
        </w:rPr>
        <w:t>)</w:t>
      </w:r>
      <w:r w:rsidR="00834013" w:rsidRPr="00D83253">
        <w:rPr>
          <w:rFonts w:ascii="Book Antiqua" w:hAnsi="Book Antiqua" w:cstheme="minorHAnsi"/>
          <w:i/>
        </w:rPr>
        <w:t xml:space="preserve"> and Others [2014] EWCA Civ 874</w:t>
      </w:r>
      <w:r w:rsidR="00834013" w:rsidRPr="00D83253">
        <w:rPr>
          <w:rFonts w:ascii="Book Antiqua" w:hAnsi="Book Antiqua" w:cstheme="minorHAnsi"/>
        </w:rPr>
        <w:t xml:space="preserve">, referring me to paragraph 35 which sets out the factors upon which the best interests of children will depend and to the assessment of the best interests that is recited thereinafter at paragraph 58.  </w:t>
      </w:r>
    </w:p>
    <w:p w14:paraId="40E682F1" w14:textId="77777777" w:rsidR="00834013" w:rsidRPr="00D83253" w:rsidRDefault="00834013" w:rsidP="00AF533C">
      <w:pPr>
        <w:numPr>
          <w:ilvl w:val="0"/>
          <w:numId w:val="3"/>
        </w:numPr>
        <w:spacing w:before="240"/>
        <w:jc w:val="both"/>
        <w:rPr>
          <w:rFonts w:ascii="Book Antiqua" w:hAnsi="Book Antiqua" w:cs="Arial"/>
        </w:rPr>
      </w:pPr>
      <w:r w:rsidRPr="00D83253">
        <w:rPr>
          <w:rFonts w:ascii="Book Antiqua" w:hAnsi="Book Antiqua" w:cstheme="minorHAnsi"/>
        </w:rPr>
        <w:t xml:space="preserve">He then takes me to the reasoning of the judge.  He recites the issues that the judge has considered  </w:t>
      </w:r>
    </w:p>
    <w:p w14:paraId="663A264C" w14:textId="77777777" w:rsidR="00415E3C" w:rsidRPr="00D83253" w:rsidRDefault="000B131E"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11, the basic premise;       </w:t>
      </w:r>
    </w:p>
    <w:p w14:paraId="5FDC2E23" w14:textId="77777777" w:rsidR="000B131E" w:rsidRPr="00D83253" w:rsidRDefault="000B131E"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12, the health of the child;       </w:t>
      </w:r>
    </w:p>
    <w:p w14:paraId="1CE2F093" w14:textId="74E4FF4C" w:rsidR="000B131E" w:rsidRPr="00D83253" w:rsidRDefault="000B131E"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13, the father figure.  </w:t>
      </w:r>
      <w:r w:rsidR="00402833" w:rsidRPr="00D83253">
        <w:rPr>
          <w:rFonts w:ascii="Book Antiqua" w:hAnsi="Book Antiqua" w:cstheme="minorHAnsi"/>
        </w:rPr>
        <w:t xml:space="preserve">The </w:t>
      </w:r>
      <w:r w:rsidRPr="00D83253">
        <w:rPr>
          <w:rFonts w:ascii="Book Antiqua" w:hAnsi="Book Antiqua" w:cstheme="minorHAnsi"/>
        </w:rPr>
        <w:t>judge</w:t>
      </w:r>
      <w:r w:rsidR="00192071">
        <w:rPr>
          <w:rFonts w:ascii="Book Antiqua" w:hAnsi="Book Antiqua" w:cstheme="minorHAnsi"/>
        </w:rPr>
        <w:t>,</w:t>
      </w:r>
      <w:r w:rsidRPr="00D83253">
        <w:rPr>
          <w:rFonts w:ascii="Book Antiqua" w:hAnsi="Book Antiqua" w:cstheme="minorHAnsi"/>
        </w:rPr>
        <w:t xml:space="preserve"> he contends</w:t>
      </w:r>
      <w:r w:rsidR="00192071">
        <w:rPr>
          <w:rFonts w:ascii="Book Antiqua" w:hAnsi="Book Antiqua" w:cstheme="minorHAnsi"/>
        </w:rPr>
        <w:t>,</w:t>
      </w:r>
      <w:r w:rsidRPr="00D83253">
        <w:rPr>
          <w:rFonts w:ascii="Book Antiqua" w:hAnsi="Book Antiqua" w:cstheme="minorHAnsi"/>
        </w:rPr>
        <w:t xml:space="preserve"> was correct to give little weight to him in his absence</w:t>
      </w:r>
      <w:r w:rsidR="000C6D68" w:rsidRPr="00D83253">
        <w:rPr>
          <w:rFonts w:ascii="Book Antiqua" w:hAnsi="Book Antiqua" w:cstheme="minorHAnsi"/>
        </w:rPr>
        <w:t xml:space="preserve">;            </w:t>
      </w:r>
    </w:p>
    <w:p w14:paraId="4933F48B" w14:textId="77777777" w:rsidR="000C6D68" w:rsidRPr="00D83253" w:rsidRDefault="000C6D68"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14, the capacity to integrate;         </w:t>
      </w:r>
    </w:p>
    <w:p w14:paraId="69395ABA" w14:textId="77777777" w:rsidR="000C6D68" w:rsidRPr="00D83253" w:rsidRDefault="000C6D68"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15, family members in South Africa;           </w:t>
      </w:r>
    </w:p>
    <w:p w14:paraId="585A706E" w14:textId="77777777" w:rsidR="000C6D68" w:rsidRPr="00D83253" w:rsidRDefault="000C6D68"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16, support in South Africa;       </w:t>
      </w:r>
    </w:p>
    <w:p w14:paraId="20980427" w14:textId="77777777" w:rsidR="000C6D68" w:rsidRPr="00D83253" w:rsidRDefault="000C6D68"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17, cultural ties;          </w:t>
      </w:r>
    </w:p>
    <w:p w14:paraId="02E41DFE" w14:textId="77777777" w:rsidR="000C6D68" w:rsidRPr="00D83253" w:rsidRDefault="000C6D68"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18, education;         </w:t>
      </w:r>
    </w:p>
    <w:p w14:paraId="045F5A3E" w14:textId="77777777" w:rsidR="000C6D68" w:rsidRPr="00D83253" w:rsidRDefault="000C6D68"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19, </w:t>
      </w:r>
      <w:r w:rsidR="009567C3" w:rsidRPr="00D83253">
        <w:rPr>
          <w:rFonts w:ascii="Book Antiqua" w:hAnsi="Book Antiqua" w:cstheme="minorHAnsi"/>
        </w:rPr>
        <w:t xml:space="preserve">stage of development/education and an acceptance that the child is fully integrated in the UK;      </w:t>
      </w:r>
    </w:p>
    <w:p w14:paraId="59159C25" w14:textId="77777777" w:rsidR="009567C3" w:rsidRPr="00D83253" w:rsidRDefault="009567C3"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20, are there additional factors that would assist the Appellant;           </w:t>
      </w:r>
    </w:p>
    <w:p w14:paraId="2D141AF0" w14:textId="77777777" w:rsidR="009567C3" w:rsidRPr="00D83253" w:rsidRDefault="009567C3" w:rsidP="0024088E">
      <w:pPr>
        <w:numPr>
          <w:ilvl w:val="0"/>
          <w:numId w:val="23"/>
        </w:numPr>
        <w:spacing w:before="120"/>
        <w:ind w:left="1134" w:hanging="567"/>
        <w:jc w:val="both"/>
        <w:rPr>
          <w:rFonts w:ascii="Book Antiqua" w:hAnsi="Book Antiqua" w:cstheme="minorHAnsi"/>
        </w:rPr>
      </w:pPr>
      <w:r w:rsidRPr="00D83253">
        <w:rPr>
          <w:rFonts w:ascii="Book Antiqua" w:hAnsi="Book Antiqua" w:cstheme="minorHAnsi"/>
        </w:rPr>
        <w:t xml:space="preserve">paragraph 21, countervailing public interest issues and then on balance says it is reasonable for the Appellants to leave.  </w:t>
      </w:r>
    </w:p>
    <w:p w14:paraId="775A3C21" w14:textId="372D6C85" w:rsidR="00B23ED5" w:rsidRPr="00D83253" w:rsidRDefault="009567C3" w:rsidP="00AF533C">
      <w:pPr>
        <w:numPr>
          <w:ilvl w:val="0"/>
          <w:numId w:val="3"/>
        </w:numPr>
        <w:spacing w:before="240"/>
        <w:jc w:val="both"/>
        <w:rPr>
          <w:rFonts w:ascii="Book Antiqua" w:hAnsi="Book Antiqua" w:cs="Arial"/>
        </w:rPr>
      </w:pPr>
      <w:r w:rsidRPr="00D83253">
        <w:rPr>
          <w:rFonts w:ascii="Book Antiqua" w:hAnsi="Book Antiqua" w:cs="Arial"/>
        </w:rPr>
        <w:t>He submits it is reasonable for the First-tier Judge to give such weight as he considers appropriate to all factors.  He submits that there has been a textbook approach</w:t>
      </w:r>
      <w:r w:rsidR="000F31DB" w:rsidRPr="00D83253">
        <w:rPr>
          <w:rFonts w:ascii="Book Antiqua" w:hAnsi="Book Antiqua" w:cs="Arial"/>
        </w:rPr>
        <w:t xml:space="preserve"> </w:t>
      </w:r>
      <w:r w:rsidR="00F23A38">
        <w:rPr>
          <w:rFonts w:ascii="Book Antiqua" w:hAnsi="Book Antiqua" w:cstheme="minorHAnsi"/>
          <w:noProof/>
        </w:rPr>
        <w:t>towards an assessment of</w:t>
      </w:r>
      <w:r w:rsidR="000F31DB" w:rsidRPr="00D83253">
        <w:rPr>
          <w:rFonts w:ascii="Book Antiqua" w:hAnsi="Book Antiqua" w:cs="Arial"/>
        </w:rPr>
        <w:t xml:space="preserve"> </w:t>
      </w:r>
      <w:r w:rsidRPr="00D83253">
        <w:rPr>
          <w:rFonts w:ascii="Book Antiqua" w:hAnsi="Book Antiqua" w:cstheme="minorHAnsi"/>
        </w:rPr>
        <w:t xml:space="preserve">reasonableness and the decision is not irrational.  He acknowledges that the primary force is to be found with the first Appellant who had substantially overstayed her visa and that the judge had given due and proper weight to all factors and concluded that they outweighed any suggestion that the best interests of the child were to remain in the UK.  </w:t>
      </w:r>
    </w:p>
    <w:p w14:paraId="5BC1C11D" w14:textId="77777777" w:rsidR="006944D2" w:rsidRPr="00D83253" w:rsidRDefault="006944D2" w:rsidP="00AF533C">
      <w:pPr>
        <w:numPr>
          <w:ilvl w:val="0"/>
          <w:numId w:val="3"/>
        </w:numPr>
        <w:spacing w:before="240"/>
        <w:jc w:val="both"/>
        <w:rPr>
          <w:rFonts w:ascii="Book Antiqua" w:hAnsi="Book Antiqua" w:cs="Arial"/>
        </w:rPr>
      </w:pPr>
      <w:r w:rsidRPr="00D83253">
        <w:rPr>
          <w:rFonts w:ascii="Book Antiqua" w:hAnsi="Book Antiqua" w:cstheme="minorHAnsi"/>
        </w:rPr>
        <w:lastRenderedPageBreak/>
        <w:t>In brief response Mr Dhanji submits that best interests should be considered in a vacuum and submits that this has not taken place and that the question should have been asked</w:t>
      </w:r>
      <w:r w:rsidR="00603258" w:rsidRPr="00D83253">
        <w:rPr>
          <w:rFonts w:ascii="Book Antiqua" w:hAnsi="Book Antiqua" w:cstheme="minorHAnsi"/>
        </w:rPr>
        <w:t>,</w:t>
      </w:r>
      <w:r w:rsidRPr="00D83253">
        <w:rPr>
          <w:rFonts w:ascii="Book Antiqua" w:hAnsi="Book Antiqua" w:cstheme="minorHAnsi"/>
        </w:rPr>
        <w:t xml:space="preserve"> what is in the second Appellant’s best interest and that the starting point should have been that she has been here for ten years and that it is an erroneous approach to say that if the mother is returned</w:t>
      </w:r>
      <w:r w:rsidR="00032452" w:rsidRPr="00D83253">
        <w:rPr>
          <w:rFonts w:ascii="Book Antiqua" w:hAnsi="Book Antiqua" w:cstheme="minorHAnsi"/>
        </w:rPr>
        <w:t>,</w:t>
      </w:r>
      <w:r w:rsidRPr="00D83253">
        <w:rPr>
          <w:rFonts w:ascii="Book Antiqua" w:hAnsi="Book Antiqua" w:cstheme="minorHAnsi"/>
        </w:rPr>
        <w:t xml:space="preserve"> the child should accompany her.  He asked me to find errors of law and to set aside the decision.  </w:t>
      </w:r>
    </w:p>
    <w:p w14:paraId="331A4A94" w14:textId="77777777" w:rsidR="009D644E" w:rsidRPr="00D83253" w:rsidRDefault="009D644E" w:rsidP="009D644E">
      <w:pPr>
        <w:spacing w:before="240"/>
        <w:jc w:val="both"/>
        <w:rPr>
          <w:rFonts w:ascii="Book Antiqua" w:hAnsi="Book Antiqua"/>
          <w:b/>
        </w:rPr>
      </w:pPr>
      <w:r w:rsidRPr="00D83253">
        <w:rPr>
          <w:rFonts w:ascii="Book Antiqua" w:hAnsi="Book Antiqua"/>
          <w:b/>
        </w:rPr>
        <w:t>The Law</w:t>
      </w:r>
      <w:r w:rsidR="00054E0D" w:rsidRPr="00D83253">
        <w:rPr>
          <w:rFonts w:ascii="Book Antiqua" w:hAnsi="Book Antiqua"/>
          <w:b/>
        </w:rPr>
        <w:t xml:space="preserve">  </w:t>
      </w:r>
    </w:p>
    <w:p w14:paraId="12ABEFD4" w14:textId="77777777" w:rsidR="009D644E" w:rsidRPr="00D83253" w:rsidRDefault="009D644E" w:rsidP="009D644E">
      <w:pPr>
        <w:numPr>
          <w:ilvl w:val="0"/>
          <w:numId w:val="3"/>
        </w:numPr>
        <w:spacing w:before="240"/>
        <w:jc w:val="both"/>
        <w:rPr>
          <w:rFonts w:ascii="Book Antiqua" w:hAnsi="Book Antiqua"/>
        </w:rPr>
      </w:pPr>
      <w:r w:rsidRPr="00D83253">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691C463F" w14:textId="77777777" w:rsidR="009D644E" w:rsidRPr="00D83253" w:rsidRDefault="009D644E" w:rsidP="009D644E">
      <w:pPr>
        <w:numPr>
          <w:ilvl w:val="0"/>
          <w:numId w:val="3"/>
        </w:numPr>
        <w:spacing w:before="240"/>
        <w:jc w:val="both"/>
        <w:rPr>
          <w:rFonts w:ascii="Book Antiqua" w:hAnsi="Book Antiqua"/>
        </w:rPr>
      </w:pPr>
      <w:r w:rsidRPr="00D83253">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7CBFBB7F" w14:textId="77777777" w:rsidR="009D644E" w:rsidRPr="00D83253" w:rsidRDefault="00054E0D" w:rsidP="00054E0D">
      <w:pPr>
        <w:spacing w:before="240"/>
        <w:jc w:val="both"/>
        <w:rPr>
          <w:rFonts w:ascii="Book Antiqua" w:hAnsi="Book Antiqua" w:cs="Arial"/>
          <w:b/>
        </w:rPr>
      </w:pPr>
      <w:r w:rsidRPr="00D83253">
        <w:rPr>
          <w:rFonts w:ascii="Book Antiqua" w:hAnsi="Book Antiqua" w:cs="Arial"/>
          <w:b/>
        </w:rPr>
        <w:t xml:space="preserve">Relevant Case Law  </w:t>
      </w:r>
    </w:p>
    <w:p w14:paraId="6288E475" w14:textId="77777777" w:rsidR="00054E0D" w:rsidRPr="00D83253" w:rsidRDefault="005F422B" w:rsidP="003B7DFE">
      <w:pPr>
        <w:numPr>
          <w:ilvl w:val="0"/>
          <w:numId w:val="3"/>
        </w:numPr>
        <w:spacing w:before="240"/>
        <w:rPr>
          <w:rFonts w:ascii="Book Antiqua" w:hAnsi="Book Antiqua" w:cs="Arial"/>
        </w:rPr>
      </w:pPr>
      <w:r w:rsidRPr="00D83253">
        <w:rPr>
          <w:rFonts w:ascii="Book Antiqua" w:hAnsi="Book Antiqua" w:cs="Arial"/>
        </w:rPr>
        <w:t xml:space="preserve">It is appropriate to set out herein the relevant paragraphs from the two principle authorities that have been recited.  </w:t>
      </w:r>
      <w:r w:rsidRPr="00D83253">
        <w:rPr>
          <w:rFonts w:ascii="Book Antiqua" w:hAnsi="Book Antiqua" w:cs="Arial"/>
          <w:i/>
        </w:rPr>
        <w:t xml:space="preserve">MA </w:t>
      </w:r>
      <w:r w:rsidR="00A56930" w:rsidRPr="00D83253">
        <w:rPr>
          <w:rFonts w:ascii="Book Antiqua" w:hAnsi="Book Antiqua" w:cs="Arial"/>
          <w:i/>
        </w:rPr>
        <w:t>(</w:t>
      </w:r>
      <w:r w:rsidRPr="00D83253">
        <w:rPr>
          <w:rFonts w:ascii="Book Antiqua" w:hAnsi="Book Antiqua" w:cs="Arial"/>
          <w:i/>
        </w:rPr>
        <w:t>Pakistan</w:t>
      </w:r>
      <w:r w:rsidR="00A56930" w:rsidRPr="00D83253">
        <w:rPr>
          <w:rFonts w:ascii="Book Antiqua" w:hAnsi="Book Antiqua" w:cs="Arial"/>
          <w:i/>
        </w:rPr>
        <w:t>)</w:t>
      </w:r>
      <w:r w:rsidRPr="00D83253">
        <w:rPr>
          <w:rFonts w:ascii="Book Antiqua" w:hAnsi="Book Antiqua" w:cs="Arial"/>
          <w:i/>
        </w:rPr>
        <w:t xml:space="preserve"> [2016] EWCA Civ 70</w:t>
      </w:r>
      <w:r w:rsidRPr="00D83253">
        <w:rPr>
          <w:rFonts w:ascii="Book Antiqua" w:hAnsi="Book Antiqua" w:cs="Arial"/>
        </w:rPr>
        <w:t xml:space="preserve"> is authority for the following</w:t>
      </w:r>
      <w:r w:rsidR="00427C9B" w:rsidRPr="00D83253">
        <w:rPr>
          <w:rFonts w:ascii="Book Antiqua" w:hAnsi="Book Antiqua" w:cs="Arial"/>
        </w:rPr>
        <w:t xml:space="preserve">  </w:t>
      </w:r>
    </w:p>
    <w:p w14:paraId="38B136F1" w14:textId="7F7E47D5" w:rsidR="005F422B" w:rsidRPr="0024088E" w:rsidRDefault="0024088E" w:rsidP="0024088E">
      <w:pPr>
        <w:spacing w:before="120"/>
        <w:ind w:left="567" w:right="567"/>
        <w:jc w:val="both"/>
        <w:rPr>
          <w:rFonts w:ascii="Book Antiqua" w:hAnsi="Book Antiqua" w:cs="Arial"/>
          <w:b/>
          <w:sz w:val="22"/>
          <w:szCs w:val="22"/>
        </w:rPr>
      </w:pPr>
      <w:r w:rsidRPr="0024088E">
        <w:rPr>
          <w:rFonts w:ascii="Book Antiqua" w:hAnsi="Book Antiqua" w:cs="Arial"/>
          <w:sz w:val="22"/>
          <w:szCs w:val="22"/>
        </w:rPr>
        <w:t>“</w:t>
      </w:r>
      <w:r w:rsidR="005F422B" w:rsidRPr="0024088E">
        <w:rPr>
          <w:rFonts w:ascii="Book Antiqua" w:hAnsi="Book Antiqua" w:cs="Arial"/>
          <w:b/>
          <w:sz w:val="22"/>
          <w:szCs w:val="22"/>
        </w:rPr>
        <w:t xml:space="preserve">Applying the Reasonableness Test  </w:t>
      </w:r>
    </w:p>
    <w:p w14:paraId="01959E9C" w14:textId="77777777" w:rsidR="002F26A3" w:rsidRPr="0024088E" w:rsidRDefault="005F422B" w:rsidP="0024088E">
      <w:pPr>
        <w:spacing w:before="120"/>
        <w:ind w:left="1134" w:right="567" w:hanging="567"/>
        <w:jc w:val="both"/>
        <w:rPr>
          <w:rFonts w:ascii="Book Antiqua" w:hAnsi="Book Antiqua" w:cs="Arial"/>
          <w:sz w:val="22"/>
          <w:szCs w:val="22"/>
        </w:rPr>
      </w:pPr>
      <w:r w:rsidRPr="0024088E">
        <w:rPr>
          <w:rFonts w:ascii="Book Antiqua" w:hAnsi="Book Antiqua" w:cs="Arial"/>
          <w:sz w:val="22"/>
          <w:szCs w:val="22"/>
        </w:rPr>
        <w:t>46.</w:t>
      </w:r>
      <w:r w:rsidRPr="0024088E">
        <w:rPr>
          <w:rFonts w:ascii="Book Antiqua" w:hAnsi="Book Antiqua" w:cs="Arial"/>
          <w:sz w:val="22"/>
          <w:szCs w:val="22"/>
        </w:rPr>
        <w:tab/>
      </w:r>
      <w:r w:rsidR="002F26A3" w:rsidRPr="0024088E">
        <w:rPr>
          <w:rFonts w:ascii="Book Antiqua" w:hAnsi="Book Antiqua" w:cs="Arial"/>
          <w:sz w:val="22"/>
          <w:szCs w:val="22"/>
        </w:rPr>
        <w:t xml:space="preserve">Even on the approach of the Secretary of State, the fact that a child has been here for seven years must be given significant weight when carrying out the proportionality exercise. Indeed, the Secretary of State published guidance in August 2015 in the form of Immigration Directorate Instructions entitled </w:t>
      </w:r>
      <w:r w:rsidR="003B64F2" w:rsidRPr="0024088E">
        <w:rPr>
          <w:rFonts w:ascii="Book Antiqua" w:hAnsi="Book Antiqua" w:cs="Arial"/>
          <w:sz w:val="22"/>
          <w:szCs w:val="22"/>
        </w:rPr>
        <w:t>“</w:t>
      </w:r>
      <w:r w:rsidR="002F26A3" w:rsidRPr="0024088E">
        <w:rPr>
          <w:rFonts w:ascii="Book Antiqua" w:hAnsi="Book Antiqua" w:cs="Arial"/>
          <w:sz w:val="22"/>
          <w:szCs w:val="22"/>
        </w:rPr>
        <w:t>Family Life (as a partner or parent) and Private Life: 10 Year Routes</w:t>
      </w:r>
      <w:r w:rsidR="003B64F2" w:rsidRPr="0024088E">
        <w:rPr>
          <w:rFonts w:ascii="Book Antiqua" w:hAnsi="Book Antiqua" w:cs="Arial"/>
          <w:sz w:val="22"/>
          <w:szCs w:val="22"/>
        </w:rPr>
        <w:t>”</w:t>
      </w:r>
      <w:r w:rsidR="002F26A3" w:rsidRPr="0024088E">
        <w:rPr>
          <w:rFonts w:ascii="Book Antiqua" w:hAnsi="Book Antiqua" w:cs="Arial"/>
          <w:sz w:val="22"/>
          <w:szCs w:val="22"/>
        </w:rPr>
        <w:t xml:space="preserve"> in which it is expressly s</w:t>
      </w:r>
      <w:r w:rsidR="003B7DFE" w:rsidRPr="0024088E">
        <w:rPr>
          <w:rFonts w:ascii="Book Antiqua" w:hAnsi="Book Antiqua" w:cs="Arial"/>
          <w:sz w:val="22"/>
          <w:szCs w:val="22"/>
        </w:rPr>
        <w:t>tated that once the seven years’</w:t>
      </w:r>
      <w:r w:rsidR="002F26A3" w:rsidRPr="0024088E">
        <w:rPr>
          <w:rFonts w:ascii="Book Antiqua" w:hAnsi="Book Antiqua" w:cs="Arial"/>
          <w:sz w:val="22"/>
          <w:szCs w:val="22"/>
        </w:rPr>
        <w:t xml:space="preserve"> residence requirement is satisfied, there need to be </w:t>
      </w:r>
      <w:r w:rsidR="003B64F2" w:rsidRPr="0024088E">
        <w:rPr>
          <w:rFonts w:ascii="Book Antiqua" w:hAnsi="Book Antiqua" w:cs="Arial"/>
          <w:sz w:val="22"/>
          <w:szCs w:val="22"/>
        </w:rPr>
        <w:t>“</w:t>
      </w:r>
      <w:r w:rsidR="002F26A3" w:rsidRPr="0024088E">
        <w:rPr>
          <w:rFonts w:ascii="Book Antiqua" w:hAnsi="Book Antiqua" w:cs="Arial"/>
          <w:sz w:val="22"/>
          <w:szCs w:val="22"/>
        </w:rPr>
        <w:t>strong reasons</w:t>
      </w:r>
      <w:r w:rsidR="003B64F2" w:rsidRPr="0024088E">
        <w:rPr>
          <w:rFonts w:ascii="Book Antiqua" w:hAnsi="Book Antiqua" w:cs="Arial"/>
          <w:sz w:val="22"/>
          <w:szCs w:val="22"/>
        </w:rPr>
        <w:t>”</w:t>
      </w:r>
      <w:r w:rsidR="002F26A3" w:rsidRPr="0024088E">
        <w:rPr>
          <w:rFonts w:ascii="Book Antiqua" w:hAnsi="Book Antiqua" w:cs="Arial"/>
          <w:sz w:val="22"/>
          <w:szCs w:val="22"/>
        </w:rPr>
        <w:t xml:space="preserve"> for refusing leave (para. 11.2.4). These instructions were not in force when the cases now subject to appeal were determined, but in my </w:t>
      </w:r>
      <w:proofErr w:type="gramStart"/>
      <w:r w:rsidR="002F26A3" w:rsidRPr="0024088E">
        <w:rPr>
          <w:rFonts w:ascii="Book Antiqua" w:hAnsi="Book Antiqua" w:cs="Arial"/>
          <w:sz w:val="22"/>
          <w:szCs w:val="22"/>
        </w:rPr>
        <w:t>view</w:t>
      </w:r>
      <w:proofErr w:type="gramEnd"/>
      <w:r w:rsidR="002F26A3" w:rsidRPr="0024088E">
        <w:rPr>
          <w:rFonts w:ascii="Book Antiqua" w:hAnsi="Book Antiqua" w:cs="Arial"/>
          <w:sz w:val="22"/>
          <w:szCs w:val="22"/>
        </w:rPr>
        <w:t xml:space="preserve"> they merely confirm what is implicit in adopting a policy of this nature. After such a period of time the child will have put down roots and developed social, cultural and educational links in the UK such that it is likely to be highly </w:t>
      </w:r>
      <w:r w:rsidR="002F26A3" w:rsidRPr="0024088E">
        <w:rPr>
          <w:rFonts w:ascii="Book Antiqua" w:hAnsi="Book Antiqua" w:cs="Arial"/>
          <w:sz w:val="22"/>
          <w:szCs w:val="22"/>
        </w:rPr>
        <w:lastRenderedPageBreak/>
        <w:t>disruptive if the child is required to leave the UK. That may be less so when the children are very young because the focus of their lives will be on their families, but the disruption becomes more serious as they get older. Moreover, in these cases there must be a very strong expectation that the child</w:t>
      </w:r>
      <w:r w:rsidR="007240D5" w:rsidRPr="0024088E">
        <w:rPr>
          <w:rFonts w:ascii="Book Antiqua" w:hAnsi="Book Antiqua" w:cs="Arial"/>
          <w:sz w:val="22"/>
          <w:szCs w:val="22"/>
        </w:rPr>
        <w:t>’</w:t>
      </w:r>
      <w:r w:rsidR="002F26A3" w:rsidRPr="0024088E">
        <w:rPr>
          <w:rFonts w:ascii="Book Antiqua" w:hAnsi="Book Antiqua" w:cs="Arial"/>
          <w:sz w:val="22"/>
          <w:szCs w:val="22"/>
        </w:rPr>
        <w:t>s best interests will be to remain in the UK with his parents as part of a family unit, and that must rank as a primary consideration in the proportionality assessment.</w:t>
      </w:r>
    </w:p>
    <w:p w14:paraId="63F27F17" w14:textId="11DAC526" w:rsidR="00EA7E61" w:rsidRPr="0024088E" w:rsidRDefault="00EA7E61" w:rsidP="0024088E">
      <w:pPr>
        <w:spacing w:before="120"/>
        <w:ind w:left="1134" w:right="567" w:hanging="567"/>
        <w:jc w:val="both"/>
        <w:rPr>
          <w:rFonts w:ascii="Book Antiqua" w:hAnsi="Book Antiqua" w:cs="Arial"/>
          <w:sz w:val="22"/>
          <w:szCs w:val="22"/>
        </w:rPr>
      </w:pPr>
      <w:r w:rsidRPr="0024088E">
        <w:rPr>
          <w:rFonts w:ascii="Book Antiqua" w:hAnsi="Book Antiqua" w:cs="Arial"/>
          <w:sz w:val="22"/>
          <w:szCs w:val="22"/>
        </w:rPr>
        <w:t>49.</w:t>
      </w:r>
      <w:r w:rsidRPr="0024088E">
        <w:rPr>
          <w:rFonts w:ascii="Book Antiqua" w:hAnsi="Book Antiqua" w:cs="Arial"/>
          <w:sz w:val="22"/>
          <w:szCs w:val="22"/>
        </w:rPr>
        <w:tab/>
        <w:t>Although this was not in fact a seven year case, on the wider construction of section 117</w:t>
      </w:r>
      <w:proofErr w:type="gramStart"/>
      <w:r w:rsidRPr="0024088E">
        <w:rPr>
          <w:rFonts w:ascii="Book Antiqua" w:hAnsi="Book Antiqua" w:cs="Arial"/>
          <w:sz w:val="22"/>
          <w:szCs w:val="22"/>
        </w:rPr>
        <w:t>B(</w:t>
      </w:r>
      <w:proofErr w:type="gramEnd"/>
      <w:r w:rsidRPr="0024088E">
        <w:rPr>
          <w:rFonts w:ascii="Book Antiqua" w:hAnsi="Book Antiqua" w:cs="Arial"/>
          <w:sz w:val="22"/>
          <w:szCs w:val="22"/>
        </w:rPr>
        <w:t>6), the same principles would apply in such a case. However, the fact that the child has been in the UK for seven years would need to be given significant weight in the proportionality exercise for two related reasons: first, because of its relevance to determining the nature and strength of the child</w:t>
      </w:r>
      <w:r w:rsidR="00954CDA" w:rsidRPr="0024088E">
        <w:rPr>
          <w:rFonts w:ascii="Book Antiqua" w:hAnsi="Book Antiqua" w:cs="Arial"/>
          <w:sz w:val="22"/>
          <w:szCs w:val="22"/>
        </w:rPr>
        <w:t>’</w:t>
      </w:r>
      <w:r w:rsidRPr="0024088E">
        <w:rPr>
          <w:rFonts w:ascii="Book Antiqua" w:hAnsi="Book Antiqua" w:cs="Arial"/>
          <w:sz w:val="22"/>
          <w:szCs w:val="22"/>
        </w:rPr>
        <w:t>s best interests; and second, because it establishes as a starting point that leave should be granted unless there are powerful reasons to the contrary.</w:t>
      </w:r>
      <w:r w:rsidR="0024088E" w:rsidRPr="0024088E">
        <w:rPr>
          <w:rFonts w:ascii="Book Antiqua" w:hAnsi="Book Antiqua" w:cs="Arial"/>
          <w:sz w:val="22"/>
          <w:szCs w:val="22"/>
        </w:rPr>
        <w:t>”</w:t>
      </w:r>
    </w:p>
    <w:p w14:paraId="69028CF1" w14:textId="77777777" w:rsidR="005F422B" w:rsidRPr="00D83253" w:rsidRDefault="00A639E8" w:rsidP="00AF533C">
      <w:pPr>
        <w:numPr>
          <w:ilvl w:val="0"/>
          <w:numId w:val="3"/>
        </w:numPr>
        <w:spacing w:before="240"/>
        <w:jc w:val="both"/>
        <w:rPr>
          <w:rFonts w:ascii="Book Antiqua" w:hAnsi="Book Antiqua" w:cs="Arial"/>
        </w:rPr>
      </w:pPr>
      <w:r w:rsidRPr="00D83253">
        <w:rPr>
          <w:rFonts w:ascii="Book Antiqua" w:hAnsi="Book Antiqua" w:cs="Arial"/>
        </w:rPr>
        <w:t xml:space="preserve">The other principle authority referred to is </w:t>
      </w:r>
      <w:r w:rsidRPr="00D83253">
        <w:rPr>
          <w:rFonts w:ascii="Book Antiqua" w:hAnsi="Book Antiqua" w:cs="Arial"/>
          <w:i/>
        </w:rPr>
        <w:t>EV (Philippines) and Others [2014] EWCA Civ 874</w:t>
      </w:r>
      <w:r w:rsidRPr="00D83253">
        <w:rPr>
          <w:rFonts w:ascii="Book Antiqua" w:hAnsi="Book Antiqua" w:cs="Arial"/>
        </w:rPr>
        <w:t xml:space="preserve">.  That is authority for the following proposition  </w:t>
      </w:r>
    </w:p>
    <w:p w14:paraId="21E5DAF6" w14:textId="57E9A2FB" w:rsidR="000E111E" w:rsidRPr="0024088E" w:rsidRDefault="0024088E" w:rsidP="0024088E">
      <w:pPr>
        <w:spacing w:before="120"/>
        <w:ind w:left="1134" w:right="567" w:hanging="567"/>
        <w:jc w:val="both"/>
        <w:rPr>
          <w:rFonts w:ascii="Book Antiqua" w:hAnsi="Book Antiqua" w:cs="Arial"/>
          <w:sz w:val="22"/>
          <w:szCs w:val="22"/>
        </w:rPr>
      </w:pPr>
      <w:r>
        <w:rPr>
          <w:rFonts w:ascii="Book Antiqua" w:hAnsi="Book Antiqua" w:cs="Arial"/>
          <w:sz w:val="22"/>
          <w:szCs w:val="22"/>
        </w:rPr>
        <w:t>“</w:t>
      </w:r>
      <w:r w:rsidR="000E111E" w:rsidRPr="0024088E">
        <w:rPr>
          <w:rFonts w:ascii="Book Antiqua" w:hAnsi="Book Antiqua" w:cs="Arial"/>
          <w:sz w:val="22"/>
          <w:szCs w:val="22"/>
        </w:rPr>
        <w:t>34.</w:t>
      </w:r>
      <w:r w:rsidR="000E111E" w:rsidRPr="0024088E">
        <w:rPr>
          <w:rFonts w:ascii="Book Antiqua" w:hAnsi="Book Antiqua" w:cs="Arial"/>
          <w:sz w:val="22"/>
          <w:szCs w:val="22"/>
        </w:rPr>
        <w:tab/>
        <w:t xml:space="preserve">In determining whether or not, in a case such as the present, the need for immigration control outweighs the best interests of the children, it is necessary to determine the relative strength of the factors which make it in their best interests to remain here; and </w:t>
      </w:r>
      <w:proofErr w:type="gramStart"/>
      <w:r w:rsidR="000E111E" w:rsidRPr="0024088E">
        <w:rPr>
          <w:rFonts w:ascii="Book Antiqua" w:hAnsi="Book Antiqua" w:cs="Arial"/>
          <w:sz w:val="22"/>
          <w:szCs w:val="22"/>
        </w:rPr>
        <w:t>also</w:t>
      </w:r>
      <w:proofErr w:type="gramEnd"/>
      <w:r w:rsidR="000E111E" w:rsidRPr="0024088E">
        <w:rPr>
          <w:rFonts w:ascii="Book Antiqua" w:hAnsi="Book Antiqua" w:cs="Arial"/>
          <w:sz w:val="22"/>
          <w:szCs w:val="22"/>
        </w:rPr>
        <w:t xml:space="preserve"> to take account of any factors that point the other way.</w:t>
      </w:r>
      <w:r w:rsidR="00C862D5" w:rsidRPr="0024088E">
        <w:rPr>
          <w:rFonts w:ascii="Book Antiqua" w:hAnsi="Book Antiqua" w:cs="Arial"/>
          <w:sz w:val="22"/>
          <w:szCs w:val="22"/>
        </w:rPr>
        <w:t xml:space="preserve">  </w:t>
      </w:r>
    </w:p>
    <w:p w14:paraId="0A0DC7F1" w14:textId="508B428E" w:rsidR="000E111E" w:rsidRPr="0024088E" w:rsidRDefault="000E111E" w:rsidP="0024088E">
      <w:pPr>
        <w:spacing w:before="120"/>
        <w:ind w:left="1134" w:right="567" w:hanging="567"/>
        <w:jc w:val="both"/>
        <w:rPr>
          <w:rFonts w:ascii="Book Antiqua" w:hAnsi="Book Antiqua" w:cs="Arial"/>
          <w:sz w:val="22"/>
          <w:szCs w:val="22"/>
        </w:rPr>
      </w:pPr>
      <w:r w:rsidRPr="0024088E">
        <w:rPr>
          <w:rFonts w:ascii="Book Antiqua" w:hAnsi="Book Antiqua" w:cs="Arial"/>
          <w:sz w:val="22"/>
          <w:szCs w:val="22"/>
        </w:rPr>
        <w:t>35.</w:t>
      </w:r>
      <w:r w:rsidRPr="0024088E">
        <w:rPr>
          <w:rFonts w:ascii="Book Antiqua" w:hAnsi="Book Antiqua" w:cs="Arial"/>
          <w:sz w:val="22"/>
          <w:szCs w:val="22"/>
        </w:rPr>
        <w:tab/>
        <w:t>A decision as to what is in the best interests of children will depend on a number of factors such as (a) their age; (b) the length of time that they have been here; (c) how long they have been in education; (c) what stage their education has reached; (d) to what extent they have become distanced from the country to which it is proposed that they return; (e) how renewable their connection with it may be; (f) to what extent they will have linguistic, medical or other difficulties in adapting to life in that country; and (g) the extent to which the course proposed will interfere with their family life or their rights (if they have any) as British citizens.</w:t>
      </w:r>
      <w:r w:rsidR="0024088E">
        <w:rPr>
          <w:rFonts w:ascii="Book Antiqua" w:hAnsi="Book Antiqua" w:cs="Arial"/>
          <w:sz w:val="22"/>
          <w:szCs w:val="22"/>
        </w:rPr>
        <w:t>”</w:t>
      </w:r>
    </w:p>
    <w:p w14:paraId="4DBC2159" w14:textId="77777777" w:rsidR="005F422B" w:rsidRPr="00D83253" w:rsidRDefault="00B51FD2" w:rsidP="00AF533C">
      <w:pPr>
        <w:numPr>
          <w:ilvl w:val="0"/>
          <w:numId w:val="3"/>
        </w:numPr>
        <w:spacing w:before="240"/>
        <w:jc w:val="both"/>
        <w:rPr>
          <w:rFonts w:ascii="Book Antiqua" w:hAnsi="Book Antiqua" w:cs="Arial"/>
        </w:rPr>
      </w:pPr>
      <w:r w:rsidRPr="00D83253">
        <w:rPr>
          <w:rFonts w:ascii="Book Antiqua" w:hAnsi="Book Antiqua" w:cs="Arial"/>
        </w:rPr>
        <w:t xml:space="preserve">It is relevant to note that those two paragraphs from </w:t>
      </w:r>
      <w:r w:rsidRPr="00D83253">
        <w:rPr>
          <w:rFonts w:ascii="Book Antiqua" w:hAnsi="Book Antiqua" w:cs="Arial"/>
          <w:i/>
        </w:rPr>
        <w:t>EV (Philippines)</w:t>
      </w:r>
      <w:r w:rsidRPr="00D83253">
        <w:rPr>
          <w:rFonts w:ascii="Book Antiqua" w:hAnsi="Book Antiqua" w:cs="Arial"/>
        </w:rPr>
        <w:t xml:space="preserve"> are in fact to be found at paragraph 48 of </w:t>
      </w:r>
      <w:r w:rsidRPr="00D83253">
        <w:rPr>
          <w:rFonts w:ascii="Book Antiqua" w:hAnsi="Book Antiqua" w:cs="Arial"/>
          <w:i/>
        </w:rPr>
        <w:t>MA (Pakistan)</w:t>
      </w:r>
      <w:r w:rsidRPr="00D83253">
        <w:rPr>
          <w:rFonts w:ascii="Book Antiqua" w:hAnsi="Book Antiqua" w:cs="Arial"/>
        </w:rPr>
        <w:t xml:space="preserve">.  </w:t>
      </w:r>
    </w:p>
    <w:p w14:paraId="45582108" w14:textId="77777777" w:rsidR="00574FE7" w:rsidRPr="00D83253" w:rsidRDefault="00574FE7" w:rsidP="00AF533C">
      <w:pPr>
        <w:numPr>
          <w:ilvl w:val="0"/>
          <w:numId w:val="3"/>
        </w:numPr>
        <w:spacing w:before="240"/>
        <w:jc w:val="both"/>
        <w:rPr>
          <w:rFonts w:ascii="Book Antiqua" w:hAnsi="Book Antiqua" w:cs="Arial"/>
        </w:rPr>
      </w:pPr>
      <w:r w:rsidRPr="00D83253">
        <w:rPr>
          <w:rFonts w:ascii="Book Antiqua" w:hAnsi="Book Antiqua" w:cs="Arial"/>
        </w:rPr>
        <w:t xml:space="preserve">Thereinafter at paragraph 58 of </w:t>
      </w:r>
      <w:r w:rsidRPr="00D83253">
        <w:rPr>
          <w:rFonts w:ascii="Book Antiqua" w:hAnsi="Book Antiqua" w:cs="Arial"/>
          <w:i/>
        </w:rPr>
        <w:t>EV (Philippines)</w:t>
      </w:r>
      <w:r w:rsidRPr="00D83253">
        <w:rPr>
          <w:rFonts w:ascii="Book Antiqua" w:hAnsi="Book Antiqua" w:cs="Arial"/>
        </w:rPr>
        <w:t xml:space="preserve"> the Court of Appeal stated  </w:t>
      </w:r>
    </w:p>
    <w:p w14:paraId="60F8179B" w14:textId="77777777" w:rsidR="00574FE7" w:rsidRPr="0024088E" w:rsidRDefault="00574FE7" w:rsidP="0024088E">
      <w:pPr>
        <w:spacing w:before="120"/>
        <w:ind w:left="1134" w:right="567"/>
        <w:jc w:val="both"/>
        <w:rPr>
          <w:rFonts w:ascii="Book Antiqua" w:hAnsi="Book Antiqua" w:cs="Arial"/>
          <w:sz w:val="22"/>
          <w:szCs w:val="22"/>
        </w:rPr>
      </w:pPr>
      <w:r w:rsidRPr="0024088E">
        <w:rPr>
          <w:rFonts w:ascii="Book Antiqua" w:hAnsi="Book Antiqua" w:cs="Arial"/>
          <w:sz w:val="22"/>
          <w:szCs w:val="22"/>
        </w:rPr>
        <w:t xml:space="preserve">“In my judgment, therefore, the assessment of the best interests of the children must be made on the basis that the facts are as they are in the real world. If one parent has no right to remain, but the other parent does, that is the background against which the assessment is conducted. If neither parent has the right to remain, then that is the background against which the assessment is conducted. </w:t>
      </w:r>
      <w:proofErr w:type="gramStart"/>
      <w:r w:rsidRPr="0024088E">
        <w:rPr>
          <w:rFonts w:ascii="Book Antiqua" w:hAnsi="Book Antiqua" w:cs="Arial"/>
          <w:sz w:val="22"/>
          <w:szCs w:val="22"/>
        </w:rPr>
        <w:t>Thus</w:t>
      </w:r>
      <w:proofErr w:type="gramEnd"/>
      <w:r w:rsidRPr="0024088E">
        <w:rPr>
          <w:rFonts w:ascii="Book Antiqua" w:hAnsi="Book Antiqua" w:cs="Arial"/>
          <w:sz w:val="22"/>
          <w:szCs w:val="22"/>
        </w:rPr>
        <w:t xml:space="preserve"> the ultimate question will be: is it reasonable to expect the child to follow the parent with no right to remain to the country of origin?”.    </w:t>
      </w:r>
    </w:p>
    <w:p w14:paraId="28AE7E23" w14:textId="77777777" w:rsidR="00574FE7" w:rsidRPr="00D83253" w:rsidRDefault="00574FE7" w:rsidP="00574FE7">
      <w:pPr>
        <w:spacing w:before="240"/>
        <w:jc w:val="both"/>
        <w:rPr>
          <w:rFonts w:ascii="Book Antiqua" w:hAnsi="Book Antiqua" w:cs="Arial"/>
          <w:b/>
        </w:rPr>
      </w:pPr>
      <w:r w:rsidRPr="00D83253">
        <w:rPr>
          <w:rFonts w:ascii="Book Antiqua" w:hAnsi="Book Antiqua" w:cs="Arial"/>
          <w:b/>
        </w:rPr>
        <w:t xml:space="preserve">Findings on Error of Law  </w:t>
      </w:r>
    </w:p>
    <w:p w14:paraId="4929BC9C" w14:textId="0938FA8E" w:rsidR="00574FE7" w:rsidRPr="00D83253" w:rsidRDefault="00574FE7" w:rsidP="00AF533C">
      <w:pPr>
        <w:numPr>
          <w:ilvl w:val="0"/>
          <w:numId w:val="3"/>
        </w:numPr>
        <w:spacing w:before="240"/>
        <w:jc w:val="both"/>
        <w:rPr>
          <w:rFonts w:ascii="Book Antiqua" w:hAnsi="Book Antiqua" w:cs="Arial"/>
        </w:rPr>
      </w:pPr>
      <w:r w:rsidRPr="00D83253">
        <w:rPr>
          <w:rFonts w:ascii="Book Antiqua" w:hAnsi="Book Antiqua" w:cs="Arial"/>
        </w:rPr>
        <w:t xml:space="preserve">I start by reminding myself that the issue before me is whether or not there has been a material error of law in the decision of the First-tier Tribunal Judge.  </w:t>
      </w:r>
      <w:r w:rsidR="008D516F" w:rsidRPr="00D83253">
        <w:rPr>
          <w:rFonts w:ascii="Book Antiqua" w:hAnsi="Book Antiqua" w:cs="Arial"/>
        </w:rPr>
        <w:t>I am not rehearing this matter (at least not at this instance) nor am I putting myself in the position of being the First-tier Tribunal Judge.  It is possible that</w:t>
      </w:r>
      <w:r w:rsidR="00CC3605" w:rsidRPr="00D83253">
        <w:rPr>
          <w:rFonts w:ascii="Book Antiqua" w:hAnsi="Book Antiqua" w:cs="Arial"/>
        </w:rPr>
        <w:t xml:space="preserve"> </w:t>
      </w:r>
      <w:r w:rsidR="008D516F" w:rsidRPr="00D83253">
        <w:rPr>
          <w:rFonts w:ascii="Book Antiqua" w:hAnsi="Book Antiqua" w:cs="Arial"/>
        </w:rPr>
        <w:t xml:space="preserve">a different judge might have come to a different conclusion.  </w:t>
      </w:r>
      <w:r w:rsidR="00BE3223" w:rsidRPr="00D83253">
        <w:rPr>
          <w:rFonts w:ascii="Book Antiqua" w:hAnsi="Book Antiqua" w:cs="Arial"/>
        </w:rPr>
        <w:t xml:space="preserve">What it is necessary for the Upper Tribunal to consider is </w:t>
      </w:r>
      <w:r w:rsidR="00BE3223" w:rsidRPr="00D83253">
        <w:rPr>
          <w:rFonts w:ascii="Book Antiqua" w:hAnsi="Book Antiqua" w:cs="Arial"/>
        </w:rPr>
        <w:lastRenderedPageBreak/>
        <w:t>whether the First-tier Tribunal Judge has materially erred in his approach and findings.  I am satisfied that he has not</w:t>
      </w:r>
      <w:r w:rsidR="00F23A38">
        <w:rPr>
          <w:rFonts w:ascii="Book Antiqua" w:hAnsi="Book Antiqua" w:cs="Arial"/>
        </w:rPr>
        <w:t xml:space="preserve"> despite </w:t>
      </w:r>
      <w:r w:rsidR="00BE3223" w:rsidRPr="00D83253">
        <w:rPr>
          <w:rFonts w:ascii="Book Antiqua" w:hAnsi="Book Antiqua" w:cs="Arial"/>
        </w:rPr>
        <w:t>the submissions made by Mr Dhanji</w:t>
      </w:r>
      <w:r w:rsidR="00F23A38">
        <w:rPr>
          <w:rFonts w:ascii="Book Antiqua" w:hAnsi="Book Antiqua" w:cs="Arial"/>
        </w:rPr>
        <w:t xml:space="preserve">.  I agree </w:t>
      </w:r>
      <w:r w:rsidR="00BE3223" w:rsidRPr="00D83253">
        <w:rPr>
          <w:rFonts w:ascii="Book Antiqua" w:hAnsi="Book Antiqua" w:cs="Arial"/>
        </w:rPr>
        <w:t>with those put forward by Mr Clarke that this has been a classic approach to the consideration of the best interests of the child.  In reaching that conclusion I do appreciate how long she has been in this country, that she has never lived abroad</w:t>
      </w:r>
      <w:r w:rsidR="00F91034" w:rsidRPr="00D83253">
        <w:rPr>
          <w:rFonts w:ascii="Book Antiqua" w:hAnsi="Book Antiqua" w:cs="Arial"/>
        </w:rPr>
        <w:t xml:space="preserve"> </w:t>
      </w:r>
      <w:r w:rsidR="00F23A38">
        <w:rPr>
          <w:rFonts w:ascii="Book Antiqua" w:hAnsi="Book Antiqua" w:cstheme="minorHAnsi"/>
          <w:noProof/>
        </w:rPr>
        <w:t>and</w:t>
      </w:r>
      <w:r w:rsidR="00F91034" w:rsidRPr="00D83253">
        <w:rPr>
          <w:rFonts w:ascii="Book Antiqua" w:hAnsi="Book Antiqua" w:cstheme="minorHAnsi"/>
        </w:rPr>
        <w:t xml:space="preserve"> also take into account all the relevant factors set out in the case law and the facts of this particular case.  They have been addressed quite properly as set out above by the First-tier Tribunal Judge between paragraphs 11 and 21.  The judge has thereafter made findings that he was entitled to.  His decision is not irrational.  He has given reasons for his decision and he has applied</w:t>
      </w:r>
      <w:r w:rsidR="0015216D" w:rsidRPr="00D83253">
        <w:rPr>
          <w:rFonts w:ascii="Book Antiqua" w:hAnsi="Book Antiqua" w:cstheme="minorHAnsi"/>
        </w:rPr>
        <w:t xml:space="preserve"> </w:t>
      </w:r>
      <w:r w:rsidR="00F91034" w:rsidRPr="00D83253">
        <w:rPr>
          <w:rFonts w:ascii="Book Antiqua" w:hAnsi="Book Antiqua" w:cstheme="minorHAnsi"/>
        </w:rPr>
        <w:t xml:space="preserve">appropriate weight in coming to the conclusions that he did.  </w:t>
      </w:r>
    </w:p>
    <w:p w14:paraId="613599D7" w14:textId="0BD3F88D" w:rsidR="00F91034" w:rsidRPr="00D83253" w:rsidRDefault="00F91034" w:rsidP="00AF533C">
      <w:pPr>
        <w:numPr>
          <w:ilvl w:val="0"/>
          <w:numId w:val="3"/>
        </w:numPr>
        <w:spacing w:before="240"/>
        <w:jc w:val="both"/>
        <w:rPr>
          <w:rFonts w:ascii="Book Antiqua" w:hAnsi="Book Antiqua" w:cs="Arial"/>
        </w:rPr>
      </w:pPr>
      <w:r w:rsidRPr="00D83253">
        <w:rPr>
          <w:rFonts w:ascii="Book Antiqua" w:hAnsi="Book Antiqua" w:cs="Arial"/>
        </w:rPr>
        <w:t>The judge has given due and proper consideration to what are in the second Appellant’s best interest.  These are considered substantially within the abovementioned paragraphs</w:t>
      </w:r>
      <w:r w:rsidR="00A170BE">
        <w:rPr>
          <w:rFonts w:ascii="Book Antiqua" w:hAnsi="Book Antiqua" w:cs="Arial"/>
        </w:rPr>
        <w:t xml:space="preserve"> and </w:t>
      </w:r>
      <w:r w:rsidRPr="00D83253">
        <w:rPr>
          <w:rFonts w:ascii="Book Antiqua" w:hAnsi="Book Antiqua" w:cstheme="minorHAnsi"/>
        </w:rPr>
        <w:t xml:space="preserve">disagree with the submission made by Mr Dhanji that </w:t>
      </w:r>
      <w:r w:rsidR="00A170BE">
        <w:rPr>
          <w:rFonts w:ascii="Book Antiqua" w:hAnsi="Book Antiqua" w:cstheme="minorHAnsi"/>
        </w:rPr>
        <w:t>“</w:t>
      </w:r>
      <w:r w:rsidRPr="00D83253">
        <w:rPr>
          <w:rFonts w:ascii="Book Antiqua" w:hAnsi="Book Antiqua" w:cstheme="minorHAnsi"/>
        </w:rPr>
        <w:t>the judge should have asked that question</w:t>
      </w:r>
      <w:r w:rsidR="00A170BE">
        <w:rPr>
          <w:rFonts w:ascii="Book Antiqua" w:hAnsi="Book Antiqua" w:cstheme="minorHAnsi"/>
        </w:rPr>
        <w:t>”</w:t>
      </w:r>
      <w:r w:rsidRPr="00D83253">
        <w:rPr>
          <w:rFonts w:ascii="Book Antiqua" w:hAnsi="Book Antiqua" w:cstheme="minorHAnsi"/>
        </w:rPr>
        <w:t xml:space="preserve"> insofar as it appears clear from the decision that he certainly has </w:t>
      </w:r>
      <w:r w:rsidR="00A170BE">
        <w:rPr>
          <w:rFonts w:ascii="Book Antiqua" w:hAnsi="Book Antiqua" w:cstheme="minorHAnsi"/>
        </w:rPr>
        <w:t xml:space="preserve">considered the child’s best interests in some depth.  </w:t>
      </w:r>
      <w:r w:rsidRPr="00D83253">
        <w:rPr>
          <w:rFonts w:ascii="Book Antiqua" w:hAnsi="Book Antiqua" w:cstheme="minorHAnsi"/>
        </w:rPr>
        <w:t>The fact that the findings ultimately go against the Appellants may be ones that the Appellants do not like and ones which his representative seek to argue against</w:t>
      </w:r>
      <w:r w:rsidR="005C5512" w:rsidRPr="00D83253">
        <w:rPr>
          <w:rFonts w:ascii="Book Antiqua" w:hAnsi="Book Antiqua" w:cstheme="minorHAnsi"/>
        </w:rPr>
        <w:t>,</w:t>
      </w:r>
      <w:r w:rsidRPr="00D83253">
        <w:rPr>
          <w:rFonts w:ascii="Book Antiqua" w:hAnsi="Book Antiqua" w:cstheme="minorHAnsi"/>
        </w:rPr>
        <w:t xml:space="preserve"> but that does not mean that they are wrong and were not ones that the judge was entitled to make.  Effectively what is being submitted is that the judge’s findings were wrong and that another judge would have come to a different decision.  That amounts to mere disagreement.  So far as the approach to best interests of the child are concerned I am satisfied that the judge has followed the appropriate process and made findings which are sustainable.  In such circumstances he has not materially erred in law and the Appellant</w:t>
      </w:r>
      <w:r w:rsidR="00F8694C" w:rsidRPr="00D83253">
        <w:rPr>
          <w:rFonts w:ascii="Book Antiqua" w:hAnsi="Book Antiqua" w:cstheme="minorHAnsi"/>
        </w:rPr>
        <w:t>s</w:t>
      </w:r>
      <w:r w:rsidRPr="00D83253">
        <w:rPr>
          <w:rFonts w:ascii="Book Antiqua" w:hAnsi="Book Antiqua" w:cstheme="minorHAnsi"/>
        </w:rPr>
        <w:t>’</w:t>
      </w:r>
      <w:r w:rsidR="00F8694C" w:rsidRPr="00D83253">
        <w:rPr>
          <w:rFonts w:ascii="Book Antiqua" w:hAnsi="Book Antiqua" w:cstheme="minorHAnsi"/>
        </w:rPr>
        <w:t xml:space="preserve"> </w:t>
      </w:r>
      <w:r w:rsidRPr="00D83253">
        <w:rPr>
          <w:rFonts w:ascii="Book Antiqua" w:hAnsi="Book Antiqua" w:cstheme="minorHAnsi"/>
        </w:rPr>
        <w:t xml:space="preserve">appeal is dismissed. </w:t>
      </w:r>
    </w:p>
    <w:p w14:paraId="605BBFE5" w14:textId="77777777" w:rsidR="003405B7" w:rsidRPr="00D83253" w:rsidRDefault="003405B7" w:rsidP="00F91034">
      <w:pPr>
        <w:spacing w:before="240"/>
        <w:jc w:val="both"/>
        <w:rPr>
          <w:rFonts w:ascii="Book Antiqua" w:hAnsi="Book Antiqua" w:cs="Arial"/>
          <w:b/>
        </w:rPr>
      </w:pPr>
      <w:r w:rsidRPr="00D83253">
        <w:rPr>
          <w:rFonts w:ascii="Book Antiqua" w:hAnsi="Book Antiqua" w:cs="Arial"/>
          <w:b/>
        </w:rPr>
        <w:t xml:space="preserve">Notice of </w:t>
      </w:r>
      <w:r w:rsidR="00F91034" w:rsidRPr="00D83253">
        <w:rPr>
          <w:rFonts w:ascii="Book Antiqua" w:hAnsi="Book Antiqua" w:cs="Arial"/>
          <w:b/>
        </w:rPr>
        <w:t xml:space="preserve">Decision     </w:t>
      </w:r>
    </w:p>
    <w:p w14:paraId="3ADD9885" w14:textId="77777777" w:rsidR="00F91034" w:rsidRPr="00D83253" w:rsidRDefault="00F91034" w:rsidP="00F91034">
      <w:pPr>
        <w:numPr>
          <w:ilvl w:val="0"/>
          <w:numId w:val="3"/>
        </w:numPr>
        <w:spacing w:before="240"/>
        <w:jc w:val="both"/>
        <w:rPr>
          <w:rFonts w:ascii="Book Antiqua" w:hAnsi="Book Antiqua" w:cs="Arial"/>
        </w:rPr>
      </w:pPr>
      <w:r w:rsidRPr="00D83253">
        <w:rPr>
          <w:rFonts w:ascii="Book Antiqua" w:hAnsi="Book Antiqua" w:cs="Arial"/>
        </w:rPr>
        <w:t>The decision of the First-tier Tribunal Judge discloses no material error of law and the Appellant</w:t>
      </w:r>
      <w:r w:rsidR="0054340C" w:rsidRPr="00D83253">
        <w:rPr>
          <w:rFonts w:ascii="Book Antiqua" w:hAnsi="Book Antiqua" w:cs="Arial"/>
        </w:rPr>
        <w:t>s</w:t>
      </w:r>
      <w:r w:rsidRPr="00D83253">
        <w:rPr>
          <w:rFonts w:ascii="Book Antiqua" w:hAnsi="Book Antiqua" w:cs="Arial"/>
        </w:rPr>
        <w:t>’</w:t>
      </w:r>
      <w:r w:rsidR="0054340C" w:rsidRPr="00D83253">
        <w:rPr>
          <w:rFonts w:ascii="Book Antiqua" w:hAnsi="Book Antiqua" w:cs="Arial"/>
        </w:rPr>
        <w:t xml:space="preserve"> </w:t>
      </w:r>
      <w:r w:rsidRPr="00D83253">
        <w:rPr>
          <w:rFonts w:ascii="Book Antiqua" w:hAnsi="Book Antiqua" w:cs="Arial"/>
        </w:rPr>
        <w:t xml:space="preserve">appeal is dismissed and the decision of the First-tier Tribunal Judge is maintained.  </w:t>
      </w:r>
    </w:p>
    <w:p w14:paraId="62310879" w14:textId="77777777" w:rsidR="00F91034" w:rsidRPr="00D83253" w:rsidRDefault="00F91034" w:rsidP="00F91034">
      <w:pPr>
        <w:numPr>
          <w:ilvl w:val="0"/>
          <w:numId w:val="3"/>
        </w:numPr>
        <w:spacing w:before="240"/>
        <w:jc w:val="both"/>
        <w:rPr>
          <w:rFonts w:ascii="Book Antiqua" w:hAnsi="Book Antiqua" w:cs="Arial"/>
        </w:rPr>
      </w:pPr>
      <w:r w:rsidRPr="00D83253">
        <w:rPr>
          <w:rFonts w:ascii="Book Antiqua" w:hAnsi="Book Antiqua" w:cs="Arial"/>
        </w:rPr>
        <w:t xml:space="preserve">The First-tier Tribunal Judge granted the Appellants anonymity.  No application is made to vary that order and that order will remain in place.  </w:t>
      </w:r>
      <w:bookmarkStart w:id="3" w:name="Text49"/>
      <w:r w:rsidR="00FC4A6A" w:rsidRPr="00D83253">
        <w:rPr>
          <w:rFonts w:ascii="Book Antiqua" w:hAnsi="Book Antiqua" w:cstheme="minorHAnsi"/>
          <w:noProof/>
        </w:rPr>
        <w:t xml:space="preserve">     </w:t>
      </w:r>
      <w:bookmarkEnd w:id="3"/>
      <w:r w:rsidRPr="00D83253">
        <w:rPr>
          <w:rFonts w:ascii="Book Antiqua" w:hAnsi="Book Antiqua" w:cstheme="minorHAnsi"/>
        </w:rPr>
        <w:t xml:space="preserve"> </w:t>
      </w:r>
    </w:p>
    <w:p w14:paraId="0E1EE1DA" w14:textId="77777777" w:rsidR="003405B7" w:rsidRPr="00D83253" w:rsidRDefault="003405B7" w:rsidP="00F91034">
      <w:pPr>
        <w:spacing w:before="240"/>
        <w:jc w:val="both"/>
        <w:rPr>
          <w:rFonts w:ascii="Book Antiqua" w:hAnsi="Book Antiqua" w:cs="Arial"/>
        </w:rPr>
      </w:pPr>
      <w:r w:rsidRPr="00D83253">
        <w:rPr>
          <w:rFonts w:ascii="Book Antiqua" w:hAnsi="Book Antiqua" w:cs="Arial"/>
          <w:b/>
        </w:rPr>
        <w:t>Direction Regarding Anonymity – Rule 14 of the Tribunal Procedure (Upper Tribunal) Rules 2008</w:t>
      </w:r>
    </w:p>
    <w:p w14:paraId="51CB1E25" w14:textId="77777777" w:rsidR="003405B7" w:rsidRPr="00D83253" w:rsidRDefault="003405B7" w:rsidP="00F91034">
      <w:pPr>
        <w:spacing w:before="240"/>
        <w:jc w:val="both"/>
        <w:rPr>
          <w:rFonts w:ascii="Book Antiqua" w:hAnsi="Book Antiqua" w:cs="Arial"/>
        </w:rPr>
      </w:pPr>
      <w:r w:rsidRPr="00D83253">
        <w:rPr>
          <w:rFonts w:ascii="Book Antiqua" w:hAnsi="Book Antiqua" w:cs="Arial"/>
        </w:rPr>
        <w:t xml:space="preserve">Unless and </w:t>
      </w:r>
      <w:r w:rsidRPr="00D83253">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785042E3" w14:textId="2638823E" w:rsidR="003405B7" w:rsidRDefault="003405B7" w:rsidP="003405B7">
      <w:pPr>
        <w:tabs>
          <w:tab w:val="left" w:pos="2520"/>
        </w:tabs>
        <w:jc w:val="both"/>
        <w:rPr>
          <w:rFonts w:ascii="Book Antiqua" w:hAnsi="Book Antiqua" w:cs="Arial"/>
        </w:rPr>
      </w:pPr>
    </w:p>
    <w:p w14:paraId="60E9458F" w14:textId="77777777" w:rsidR="0024088E" w:rsidRPr="00D83253" w:rsidRDefault="0024088E" w:rsidP="003405B7">
      <w:pPr>
        <w:tabs>
          <w:tab w:val="left" w:pos="2520"/>
        </w:tabs>
        <w:jc w:val="both"/>
        <w:rPr>
          <w:rFonts w:ascii="Book Antiqua" w:hAnsi="Book Antiqua" w:cs="Arial"/>
        </w:rPr>
      </w:pPr>
    </w:p>
    <w:p w14:paraId="596A7FB7" w14:textId="17551050" w:rsidR="001F2716" w:rsidRPr="00D83253" w:rsidRDefault="006E3C90" w:rsidP="000369F5">
      <w:pPr>
        <w:tabs>
          <w:tab w:val="left" w:pos="2520"/>
        </w:tabs>
        <w:jc w:val="both"/>
        <w:rPr>
          <w:rFonts w:ascii="Book Antiqua" w:hAnsi="Book Antiqua" w:cs="Arial"/>
        </w:rPr>
      </w:pPr>
      <w:r w:rsidRPr="00D83253">
        <w:rPr>
          <w:rFonts w:ascii="Book Antiqua" w:hAnsi="Book Antiqua" w:cs="Arial"/>
        </w:rPr>
        <w:t>Signed</w:t>
      </w:r>
      <w:r w:rsidRPr="00D83253">
        <w:rPr>
          <w:rFonts w:ascii="Book Antiqua" w:hAnsi="Book Antiqua" w:cs="Arial"/>
        </w:rPr>
        <w:tab/>
      </w:r>
      <w:r w:rsidRPr="00D83253">
        <w:rPr>
          <w:rFonts w:ascii="Book Antiqua" w:hAnsi="Book Antiqua" w:cs="Arial"/>
        </w:rPr>
        <w:tab/>
      </w:r>
      <w:r w:rsidRPr="00D83253">
        <w:rPr>
          <w:rFonts w:ascii="Book Antiqua" w:hAnsi="Book Antiqua" w:cs="Arial"/>
        </w:rPr>
        <w:tab/>
      </w:r>
      <w:r w:rsidRPr="00D83253">
        <w:rPr>
          <w:rFonts w:ascii="Book Antiqua" w:hAnsi="Book Antiqua" w:cs="Arial"/>
        </w:rPr>
        <w:tab/>
      </w:r>
      <w:r w:rsidRPr="00D83253">
        <w:rPr>
          <w:rFonts w:ascii="Book Antiqua" w:hAnsi="Book Antiqua" w:cs="Arial"/>
        </w:rPr>
        <w:tab/>
      </w:r>
      <w:r w:rsidRPr="00D83253">
        <w:rPr>
          <w:rFonts w:ascii="Book Antiqua" w:hAnsi="Book Antiqua" w:cs="Arial"/>
        </w:rPr>
        <w:tab/>
      </w:r>
      <w:r w:rsidRPr="00D83253">
        <w:rPr>
          <w:rFonts w:ascii="Book Antiqua" w:hAnsi="Book Antiqua" w:cs="Arial"/>
        </w:rPr>
        <w:tab/>
      </w:r>
      <w:r w:rsidR="001F2716" w:rsidRPr="00D83253">
        <w:rPr>
          <w:rFonts w:ascii="Book Antiqua" w:hAnsi="Book Antiqua" w:cs="Arial"/>
        </w:rPr>
        <w:t>Date</w:t>
      </w:r>
      <w:r w:rsidR="00D107D9">
        <w:rPr>
          <w:rFonts w:ascii="Book Antiqua" w:hAnsi="Book Antiqua" w:cs="Arial"/>
        </w:rPr>
        <w:t xml:space="preserve"> </w:t>
      </w:r>
      <w:r w:rsidR="00D107D9" w:rsidRPr="00D107D9">
        <w:rPr>
          <w:rFonts w:ascii="Book Antiqua" w:hAnsi="Book Antiqua" w:cs="Arial"/>
        </w:rPr>
        <w:t>10 May 2018</w:t>
      </w:r>
    </w:p>
    <w:p w14:paraId="65B270BC" w14:textId="77777777" w:rsidR="001F2716" w:rsidRPr="00D83253" w:rsidRDefault="001F2716" w:rsidP="000369F5">
      <w:pPr>
        <w:tabs>
          <w:tab w:val="left" w:pos="2520"/>
        </w:tabs>
        <w:jc w:val="both"/>
        <w:rPr>
          <w:rFonts w:ascii="Book Antiqua" w:hAnsi="Book Antiqua" w:cs="Arial"/>
        </w:rPr>
      </w:pPr>
    </w:p>
    <w:p w14:paraId="3A13BB6F" w14:textId="77777777" w:rsidR="005B7789" w:rsidRPr="00D83253" w:rsidRDefault="00B24F3B" w:rsidP="000369F5">
      <w:pPr>
        <w:tabs>
          <w:tab w:val="left" w:pos="2520"/>
        </w:tabs>
        <w:jc w:val="both"/>
        <w:rPr>
          <w:rFonts w:ascii="Book Antiqua" w:hAnsi="Book Antiqua" w:cs="Arial"/>
        </w:rPr>
      </w:pPr>
      <w:r w:rsidRPr="00D83253">
        <w:rPr>
          <w:rFonts w:ascii="Book Antiqua" w:hAnsi="Book Antiqua" w:cs="Arial"/>
        </w:rPr>
        <w:t>Deputy Upper Tribunal Judge D N Harris</w:t>
      </w:r>
      <w:r w:rsidR="00B75A8F" w:rsidRPr="00D83253">
        <w:rPr>
          <w:rFonts w:ascii="Book Antiqua" w:hAnsi="Book Antiqua" w:cs="Arial"/>
        </w:rPr>
        <w:t xml:space="preserve">    </w:t>
      </w:r>
    </w:p>
    <w:p w14:paraId="220A5E47" w14:textId="77777777" w:rsidR="003405B7" w:rsidRPr="00D83253" w:rsidRDefault="003405B7" w:rsidP="000369F5">
      <w:pPr>
        <w:tabs>
          <w:tab w:val="left" w:pos="2520"/>
        </w:tabs>
        <w:jc w:val="both"/>
        <w:rPr>
          <w:rFonts w:ascii="Book Antiqua" w:hAnsi="Book Antiqua" w:cs="Arial"/>
        </w:rPr>
      </w:pPr>
    </w:p>
    <w:p w14:paraId="02CF922E" w14:textId="77777777" w:rsidR="00C321B5" w:rsidRPr="00D83253" w:rsidRDefault="00C321B5" w:rsidP="000369F5">
      <w:pPr>
        <w:tabs>
          <w:tab w:val="left" w:pos="2520"/>
        </w:tabs>
        <w:jc w:val="both"/>
        <w:rPr>
          <w:rFonts w:ascii="Book Antiqua" w:hAnsi="Book Antiqua" w:cs="Arial"/>
        </w:rPr>
      </w:pPr>
    </w:p>
    <w:p w14:paraId="70278DA7" w14:textId="77777777" w:rsidR="003405B7" w:rsidRPr="00D83253" w:rsidRDefault="003405B7" w:rsidP="003405B7">
      <w:pPr>
        <w:jc w:val="both"/>
        <w:rPr>
          <w:rFonts w:ascii="Book Antiqua" w:hAnsi="Book Antiqua" w:cs="Arial"/>
          <w:b/>
        </w:rPr>
      </w:pPr>
      <w:r w:rsidRPr="00D83253">
        <w:rPr>
          <w:rFonts w:ascii="Book Antiqua" w:hAnsi="Book Antiqua" w:cs="Arial"/>
          <w:b/>
        </w:rPr>
        <w:t>TO THE RESPONDENT</w:t>
      </w:r>
    </w:p>
    <w:p w14:paraId="3872408C" w14:textId="77777777" w:rsidR="003405B7" w:rsidRPr="00D83253" w:rsidRDefault="003405B7" w:rsidP="003405B7">
      <w:pPr>
        <w:ind w:left="567" w:hanging="567"/>
        <w:jc w:val="both"/>
        <w:rPr>
          <w:rFonts w:ascii="Book Antiqua" w:hAnsi="Book Antiqua" w:cs="Arial"/>
        </w:rPr>
      </w:pPr>
      <w:r w:rsidRPr="00D83253">
        <w:rPr>
          <w:rFonts w:ascii="Book Antiqua" w:hAnsi="Book Antiqua" w:cs="Arial"/>
          <w:b/>
        </w:rPr>
        <w:t>FEE AWARD</w:t>
      </w:r>
    </w:p>
    <w:p w14:paraId="1223159A" w14:textId="77777777" w:rsidR="003405B7" w:rsidRPr="00D83253" w:rsidRDefault="003405B7" w:rsidP="003405B7">
      <w:pPr>
        <w:ind w:left="567" w:hanging="567"/>
        <w:jc w:val="both"/>
        <w:rPr>
          <w:rFonts w:ascii="Book Antiqua" w:hAnsi="Book Antiqua" w:cs="Arial"/>
        </w:rPr>
      </w:pPr>
    </w:p>
    <w:p w14:paraId="67006725" w14:textId="77777777" w:rsidR="00F91034" w:rsidRPr="00D83253" w:rsidRDefault="00F91034" w:rsidP="003405B7">
      <w:pPr>
        <w:jc w:val="both"/>
        <w:rPr>
          <w:rFonts w:ascii="Book Antiqua" w:hAnsi="Book Antiqua" w:cs="Arial"/>
        </w:rPr>
      </w:pPr>
      <w:r w:rsidRPr="00D83253">
        <w:rPr>
          <w:rFonts w:ascii="Book Antiqua" w:hAnsi="Book Antiqua" w:cs="Arial"/>
        </w:rPr>
        <w:t xml:space="preserve">No application is made for a fee award and none is made.  </w:t>
      </w:r>
    </w:p>
    <w:p w14:paraId="1581EB1C" w14:textId="77777777" w:rsidR="003405B7" w:rsidRPr="00D83253" w:rsidRDefault="003405B7" w:rsidP="003405B7">
      <w:pPr>
        <w:tabs>
          <w:tab w:val="left" w:pos="2520"/>
        </w:tabs>
        <w:jc w:val="both"/>
        <w:rPr>
          <w:rFonts w:ascii="Book Antiqua" w:hAnsi="Book Antiqua" w:cs="Arial"/>
        </w:rPr>
      </w:pPr>
    </w:p>
    <w:p w14:paraId="1C1DF6CA" w14:textId="77777777" w:rsidR="0024088E" w:rsidRDefault="0024088E" w:rsidP="003405B7">
      <w:pPr>
        <w:tabs>
          <w:tab w:val="left" w:pos="2520"/>
        </w:tabs>
        <w:jc w:val="both"/>
        <w:rPr>
          <w:rFonts w:ascii="Book Antiqua" w:hAnsi="Book Antiqua" w:cs="Arial"/>
        </w:rPr>
      </w:pPr>
    </w:p>
    <w:p w14:paraId="73279692" w14:textId="619B411E" w:rsidR="003405B7" w:rsidRPr="00D83253" w:rsidRDefault="003405B7" w:rsidP="003405B7">
      <w:pPr>
        <w:tabs>
          <w:tab w:val="left" w:pos="2520"/>
        </w:tabs>
        <w:jc w:val="both"/>
        <w:rPr>
          <w:rFonts w:ascii="Book Antiqua" w:hAnsi="Book Antiqua" w:cs="Arial"/>
        </w:rPr>
      </w:pPr>
      <w:r w:rsidRPr="00D83253">
        <w:rPr>
          <w:rFonts w:ascii="Book Antiqua" w:hAnsi="Book Antiqua" w:cs="Arial"/>
        </w:rPr>
        <w:t>Signed</w:t>
      </w:r>
      <w:r w:rsidRPr="00D83253">
        <w:rPr>
          <w:rFonts w:ascii="Book Antiqua" w:hAnsi="Book Antiqua" w:cs="Arial"/>
        </w:rPr>
        <w:tab/>
      </w:r>
      <w:r w:rsidRPr="00D83253">
        <w:rPr>
          <w:rFonts w:ascii="Book Antiqua" w:hAnsi="Book Antiqua" w:cs="Arial"/>
        </w:rPr>
        <w:tab/>
      </w:r>
      <w:r w:rsidRPr="00D83253">
        <w:rPr>
          <w:rFonts w:ascii="Book Antiqua" w:hAnsi="Book Antiqua" w:cs="Arial"/>
        </w:rPr>
        <w:tab/>
      </w:r>
      <w:r w:rsidRPr="00D83253">
        <w:rPr>
          <w:rFonts w:ascii="Book Antiqua" w:hAnsi="Book Antiqua" w:cs="Arial"/>
        </w:rPr>
        <w:tab/>
      </w:r>
      <w:r w:rsidRPr="00D83253">
        <w:rPr>
          <w:rFonts w:ascii="Book Antiqua" w:hAnsi="Book Antiqua" w:cs="Arial"/>
        </w:rPr>
        <w:tab/>
      </w:r>
      <w:r w:rsidRPr="00D83253">
        <w:rPr>
          <w:rFonts w:ascii="Book Antiqua" w:hAnsi="Book Antiqua" w:cs="Arial"/>
        </w:rPr>
        <w:tab/>
      </w:r>
      <w:r w:rsidRPr="00D83253">
        <w:rPr>
          <w:rFonts w:ascii="Book Antiqua" w:hAnsi="Book Antiqua" w:cs="Arial"/>
        </w:rPr>
        <w:tab/>
        <w:t>Date</w:t>
      </w:r>
      <w:r w:rsidR="00D107D9">
        <w:rPr>
          <w:rFonts w:ascii="Book Antiqua" w:hAnsi="Book Antiqua" w:cs="Arial"/>
        </w:rPr>
        <w:t xml:space="preserve"> </w:t>
      </w:r>
      <w:r w:rsidR="00D107D9" w:rsidRPr="00D107D9">
        <w:rPr>
          <w:rFonts w:ascii="Book Antiqua" w:hAnsi="Book Antiqua" w:cs="Arial"/>
        </w:rPr>
        <w:t>10 May 2018</w:t>
      </w:r>
    </w:p>
    <w:p w14:paraId="2F5CDD7B" w14:textId="77777777" w:rsidR="003405B7" w:rsidRPr="00D83253" w:rsidRDefault="003405B7" w:rsidP="003405B7">
      <w:pPr>
        <w:tabs>
          <w:tab w:val="left" w:pos="2520"/>
        </w:tabs>
        <w:jc w:val="both"/>
        <w:rPr>
          <w:rFonts w:ascii="Book Antiqua" w:hAnsi="Book Antiqua" w:cs="Arial"/>
        </w:rPr>
      </w:pPr>
    </w:p>
    <w:p w14:paraId="38B15C59" w14:textId="6F78DFED" w:rsidR="00D107D9" w:rsidRDefault="003405B7" w:rsidP="000369F5">
      <w:pPr>
        <w:tabs>
          <w:tab w:val="left" w:pos="2520"/>
        </w:tabs>
        <w:jc w:val="both"/>
        <w:rPr>
          <w:rFonts w:ascii="Book Antiqua" w:hAnsi="Book Antiqua" w:cs="Arial"/>
        </w:rPr>
      </w:pPr>
      <w:r w:rsidRPr="00D83253">
        <w:rPr>
          <w:rFonts w:ascii="Book Antiqua" w:hAnsi="Book Antiqua" w:cs="Arial"/>
        </w:rPr>
        <w:t>Deputy Upper Tribunal Judge D N Harris</w:t>
      </w:r>
    </w:p>
    <w:p w14:paraId="5143957C" w14:textId="77777777" w:rsidR="00D107D9" w:rsidRPr="00D107D9" w:rsidRDefault="00D107D9" w:rsidP="00D107D9">
      <w:pPr>
        <w:rPr>
          <w:rFonts w:ascii="Book Antiqua" w:hAnsi="Book Antiqua" w:cs="Arial"/>
        </w:rPr>
      </w:pPr>
    </w:p>
    <w:p w14:paraId="00C1E954" w14:textId="77777777" w:rsidR="00D107D9" w:rsidRPr="00D107D9" w:rsidRDefault="00D107D9" w:rsidP="00D107D9">
      <w:pPr>
        <w:rPr>
          <w:rFonts w:ascii="Book Antiqua" w:hAnsi="Book Antiqua" w:cs="Arial"/>
        </w:rPr>
      </w:pPr>
    </w:p>
    <w:p w14:paraId="49F974EA" w14:textId="77777777" w:rsidR="00D107D9" w:rsidRPr="00D107D9" w:rsidRDefault="00D107D9" w:rsidP="00D107D9">
      <w:pPr>
        <w:rPr>
          <w:rFonts w:ascii="Book Antiqua" w:hAnsi="Book Antiqua" w:cs="Arial"/>
        </w:rPr>
      </w:pPr>
    </w:p>
    <w:p w14:paraId="65D56553" w14:textId="77777777" w:rsidR="00D107D9" w:rsidRPr="00D107D9" w:rsidRDefault="00D107D9" w:rsidP="00D107D9">
      <w:pPr>
        <w:rPr>
          <w:rFonts w:ascii="Book Antiqua" w:hAnsi="Book Antiqua" w:cs="Arial"/>
        </w:rPr>
      </w:pPr>
    </w:p>
    <w:p w14:paraId="13EA9630" w14:textId="77777777" w:rsidR="00D107D9" w:rsidRPr="00D107D9" w:rsidRDefault="00D107D9" w:rsidP="00D107D9">
      <w:pPr>
        <w:rPr>
          <w:rFonts w:ascii="Book Antiqua" w:hAnsi="Book Antiqua" w:cs="Arial"/>
        </w:rPr>
      </w:pPr>
    </w:p>
    <w:p w14:paraId="22BF61BA" w14:textId="77777777" w:rsidR="00D107D9" w:rsidRPr="00D107D9" w:rsidRDefault="00D107D9" w:rsidP="00D107D9">
      <w:pPr>
        <w:rPr>
          <w:rFonts w:ascii="Book Antiqua" w:hAnsi="Book Antiqua" w:cs="Arial"/>
        </w:rPr>
      </w:pPr>
    </w:p>
    <w:p w14:paraId="7183C243" w14:textId="77777777" w:rsidR="00D107D9" w:rsidRPr="00D107D9" w:rsidRDefault="00D107D9" w:rsidP="00D107D9">
      <w:pPr>
        <w:rPr>
          <w:rFonts w:ascii="Book Antiqua" w:hAnsi="Book Antiqua" w:cs="Arial"/>
        </w:rPr>
      </w:pPr>
    </w:p>
    <w:sectPr w:rsidR="00D107D9" w:rsidRPr="00D107D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55F06" w14:textId="77777777" w:rsidR="009D644E" w:rsidRDefault="009D644E">
      <w:r>
        <w:separator/>
      </w:r>
    </w:p>
  </w:endnote>
  <w:endnote w:type="continuationSeparator" w:id="0">
    <w:p w14:paraId="235B8443" w14:textId="77777777" w:rsidR="009D644E" w:rsidRDefault="009D6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F0B43" w14:textId="0A60DE08"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52706">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AC173"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5F26E" w14:textId="77777777" w:rsidR="009D644E" w:rsidRDefault="009D644E">
      <w:r>
        <w:separator/>
      </w:r>
    </w:p>
  </w:footnote>
  <w:footnote w:type="continuationSeparator" w:id="0">
    <w:p w14:paraId="625C1814" w14:textId="77777777" w:rsidR="009D644E" w:rsidRDefault="009D6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A611" w14:textId="10EC7A28"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9D644E">
      <w:rPr>
        <w:rFonts w:ascii="Book Antiqua" w:hAnsi="Book Antiqua" w:cs="Arial"/>
        <w:sz w:val="16"/>
        <w:szCs w:val="16"/>
      </w:rPr>
      <w:t>s</w:t>
    </w:r>
    <w:r w:rsidRPr="00F5664C">
      <w:rPr>
        <w:rFonts w:ascii="Book Antiqua" w:hAnsi="Book Antiqua" w:cs="Arial"/>
        <w:sz w:val="16"/>
        <w:szCs w:val="16"/>
      </w:rPr>
      <w:t>:</w:t>
    </w:r>
    <w:r w:rsidR="000369F5" w:rsidRPr="00F5664C">
      <w:rPr>
        <w:rFonts w:ascii="Book Antiqua" w:hAnsi="Book Antiqua" w:cs="Arial"/>
        <w:sz w:val="16"/>
        <w:szCs w:val="16"/>
      </w:rPr>
      <w:t xml:space="preserve"> </w:t>
    </w:r>
    <w:r w:rsidR="009D644E" w:rsidRPr="009D644E">
      <w:rPr>
        <w:rFonts w:ascii="Book Antiqua" w:hAnsi="Book Antiqua" w:cs="Arial"/>
        <w:sz w:val="16"/>
        <w:szCs w:val="16"/>
      </w:rPr>
      <w:t>IA/00859/2016</w:t>
    </w:r>
  </w:p>
  <w:p w14:paraId="1B5BA6D4" w14:textId="77777777" w:rsidR="009D644E" w:rsidRPr="00F5664C" w:rsidRDefault="009D644E" w:rsidP="000369F5">
    <w:pPr>
      <w:pStyle w:val="Header"/>
      <w:tabs>
        <w:tab w:val="clear" w:pos="4153"/>
        <w:tab w:val="clear" w:pos="8306"/>
        <w:tab w:val="right" w:pos="9639"/>
      </w:tabs>
      <w:jc w:val="right"/>
      <w:rPr>
        <w:rFonts w:ascii="Book Antiqua" w:hAnsi="Book Antiqua" w:cs="Arial"/>
        <w:sz w:val="16"/>
        <w:szCs w:val="16"/>
      </w:rPr>
    </w:pPr>
    <w:r w:rsidRPr="009D644E">
      <w:rPr>
        <w:rFonts w:ascii="Book Antiqua" w:hAnsi="Book Antiqua" w:cs="Arial"/>
        <w:sz w:val="16"/>
        <w:szCs w:val="16"/>
      </w:rPr>
      <w:t>IA/00860/2016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D106" w14:textId="777BEA7E"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8A5934"/>
    <w:multiLevelType w:val="hybridMultilevel"/>
    <w:tmpl w:val="D634039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3"/>
  </w:num>
  <w:num w:numId="4">
    <w:abstractNumId w:val="12"/>
  </w:num>
  <w:num w:numId="5">
    <w:abstractNumId w:val="22"/>
  </w:num>
  <w:num w:numId="6">
    <w:abstractNumId w:val="14"/>
  </w:num>
  <w:num w:numId="7">
    <w:abstractNumId w:val="20"/>
  </w:num>
  <w:num w:numId="8">
    <w:abstractNumId w:val="10"/>
  </w:num>
  <w:num w:numId="9">
    <w:abstractNumId w:val="7"/>
  </w:num>
  <w:num w:numId="10">
    <w:abstractNumId w:val="19"/>
  </w:num>
  <w:num w:numId="11">
    <w:abstractNumId w:val="18"/>
  </w:num>
  <w:num w:numId="12">
    <w:abstractNumId w:val="1"/>
  </w:num>
  <w:num w:numId="13">
    <w:abstractNumId w:val="17"/>
  </w:num>
  <w:num w:numId="14">
    <w:abstractNumId w:val="0"/>
  </w:num>
  <w:num w:numId="15">
    <w:abstractNumId w:val="4"/>
  </w:num>
  <w:num w:numId="16">
    <w:abstractNumId w:val="6"/>
  </w:num>
  <w:num w:numId="17">
    <w:abstractNumId w:val="15"/>
  </w:num>
  <w:num w:numId="18">
    <w:abstractNumId w:val="11"/>
  </w:num>
  <w:num w:numId="19">
    <w:abstractNumId w:val="8"/>
  </w:num>
  <w:num w:numId="20">
    <w:abstractNumId w:val="9"/>
  </w:num>
  <w:num w:numId="21">
    <w:abstractNumId w:val="21"/>
  </w:num>
  <w:num w:numId="22">
    <w:abstractNumId w:val="1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44E"/>
    <w:rsid w:val="00000621"/>
    <w:rsid w:val="000036C2"/>
    <w:rsid w:val="00014A48"/>
    <w:rsid w:val="00021665"/>
    <w:rsid w:val="00026781"/>
    <w:rsid w:val="00032452"/>
    <w:rsid w:val="000336A4"/>
    <w:rsid w:val="00033D3D"/>
    <w:rsid w:val="00034D07"/>
    <w:rsid w:val="000369F5"/>
    <w:rsid w:val="0003746D"/>
    <w:rsid w:val="00054E0D"/>
    <w:rsid w:val="00071A7E"/>
    <w:rsid w:val="00071AC5"/>
    <w:rsid w:val="000746C0"/>
    <w:rsid w:val="00074D1D"/>
    <w:rsid w:val="00092580"/>
    <w:rsid w:val="000B131E"/>
    <w:rsid w:val="000C6D68"/>
    <w:rsid w:val="000D01C9"/>
    <w:rsid w:val="000D5D94"/>
    <w:rsid w:val="000D5EFE"/>
    <w:rsid w:val="000E0CD7"/>
    <w:rsid w:val="000E111E"/>
    <w:rsid w:val="000F31DB"/>
    <w:rsid w:val="00114F8B"/>
    <w:rsid w:val="001165A7"/>
    <w:rsid w:val="00151BB7"/>
    <w:rsid w:val="0015216D"/>
    <w:rsid w:val="00167D3A"/>
    <w:rsid w:val="00192071"/>
    <w:rsid w:val="001A1E2C"/>
    <w:rsid w:val="001D494F"/>
    <w:rsid w:val="001E2C99"/>
    <w:rsid w:val="001F2716"/>
    <w:rsid w:val="0020133A"/>
    <w:rsid w:val="00207617"/>
    <w:rsid w:val="0024088E"/>
    <w:rsid w:val="00255071"/>
    <w:rsid w:val="00260050"/>
    <w:rsid w:val="00283659"/>
    <w:rsid w:val="002B36AF"/>
    <w:rsid w:val="002C4E73"/>
    <w:rsid w:val="002D68BF"/>
    <w:rsid w:val="002F26A3"/>
    <w:rsid w:val="00330AD8"/>
    <w:rsid w:val="00336CBF"/>
    <w:rsid w:val="003405B7"/>
    <w:rsid w:val="00353469"/>
    <w:rsid w:val="003546C8"/>
    <w:rsid w:val="00372706"/>
    <w:rsid w:val="00374CB2"/>
    <w:rsid w:val="00385C3B"/>
    <w:rsid w:val="003A7CF2"/>
    <w:rsid w:val="003B64F2"/>
    <w:rsid w:val="003B7DFE"/>
    <w:rsid w:val="003C5CE5"/>
    <w:rsid w:val="003C7983"/>
    <w:rsid w:val="003E267B"/>
    <w:rsid w:val="003E7CD1"/>
    <w:rsid w:val="003F6C5E"/>
    <w:rsid w:val="00402833"/>
    <w:rsid w:val="00402B9E"/>
    <w:rsid w:val="00415E3C"/>
    <w:rsid w:val="00423932"/>
    <w:rsid w:val="004249CB"/>
    <w:rsid w:val="00427C9B"/>
    <w:rsid w:val="0044127D"/>
    <w:rsid w:val="004448DB"/>
    <w:rsid w:val="00446C9A"/>
    <w:rsid w:val="00477193"/>
    <w:rsid w:val="00480BCE"/>
    <w:rsid w:val="00496526"/>
    <w:rsid w:val="004A1848"/>
    <w:rsid w:val="004F110A"/>
    <w:rsid w:val="00507FEC"/>
    <w:rsid w:val="00510F0E"/>
    <w:rsid w:val="00540813"/>
    <w:rsid w:val="0054340C"/>
    <w:rsid w:val="005479E1"/>
    <w:rsid w:val="005570FD"/>
    <w:rsid w:val="005575EA"/>
    <w:rsid w:val="00574FE7"/>
    <w:rsid w:val="0057790C"/>
    <w:rsid w:val="00592E60"/>
    <w:rsid w:val="00593795"/>
    <w:rsid w:val="00594D61"/>
    <w:rsid w:val="005A0BD7"/>
    <w:rsid w:val="005A75FF"/>
    <w:rsid w:val="005B0F8D"/>
    <w:rsid w:val="005B7789"/>
    <w:rsid w:val="005C1A42"/>
    <w:rsid w:val="005C5512"/>
    <w:rsid w:val="005D63E8"/>
    <w:rsid w:val="005E49A7"/>
    <w:rsid w:val="005F422B"/>
    <w:rsid w:val="00601870"/>
    <w:rsid w:val="00603258"/>
    <w:rsid w:val="006107BB"/>
    <w:rsid w:val="0065791C"/>
    <w:rsid w:val="006821A8"/>
    <w:rsid w:val="00690B8A"/>
    <w:rsid w:val="0069218B"/>
    <w:rsid w:val="006944D2"/>
    <w:rsid w:val="006B365F"/>
    <w:rsid w:val="006C1571"/>
    <w:rsid w:val="006D1DFA"/>
    <w:rsid w:val="006D506B"/>
    <w:rsid w:val="006E3C90"/>
    <w:rsid w:val="00704B61"/>
    <w:rsid w:val="00707DB1"/>
    <w:rsid w:val="007240D5"/>
    <w:rsid w:val="007353BB"/>
    <w:rsid w:val="00736613"/>
    <w:rsid w:val="00742A8D"/>
    <w:rsid w:val="00752359"/>
    <w:rsid w:val="007552A9"/>
    <w:rsid w:val="00761858"/>
    <w:rsid w:val="00762329"/>
    <w:rsid w:val="00767D59"/>
    <w:rsid w:val="00776E97"/>
    <w:rsid w:val="00780FD7"/>
    <w:rsid w:val="00786E06"/>
    <w:rsid w:val="007912AD"/>
    <w:rsid w:val="007912E7"/>
    <w:rsid w:val="00791618"/>
    <w:rsid w:val="00792CD4"/>
    <w:rsid w:val="007A1F28"/>
    <w:rsid w:val="007A7A38"/>
    <w:rsid w:val="007B0824"/>
    <w:rsid w:val="007C0CD9"/>
    <w:rsid w:val="007F61AD"/>
    <w:rsid w:val="008120BE"/>
    <w:rsid w:val="008303B8"/>
    <w:rsid w:val="00833DCE"/>
    <w:rsid w:val="00834013"/>
    <w:rsid w:val="00842418"/>
    <w:rsid w:val="008579D7"/>
    <w:rsid w:val="008634DB"/>
    <w:rsid w:val="00871D34"/>
    <w:rsid w:val="00874DD9"/>
    <w:rsid w:val="0088560F"/>
    <w:rsid w:val="008B270C"/>
    <w:rsid w:val="008B3A83"/>
    <w:rsid w:val="008C3D3D"/>
    <w:rsid w:val="008D4131"/>
    <w:rsid w:val="008D4A62"/>
    <w:rsid w:val="008D516F"/>
    <w:rsid w:val="008E2F70"/>
    <w:rsid w:val="008F1932"/>
    <w:rsid w:val="008F294D"/>
    <w:rsid w:val="009009D0"/>
    <w:rsid w:val="00906AEC"/>
    <w:rsid w:val="00921062"/>
    <w:rsid w:val="0092618D"/>
    <w:rsid w:val="009306CD"/>
    <w:rsid w:val="0093083E"/>
    <w:rsid w:val="00952706"/>
    <w:rsid w:val="00954CDA"/>
    <w:rsid w:val="009567C3"/>
    <w:rsid w:val="00956C24"/>
    <w:rsid w:val="00960C72"/>
    <w:rsid w:val="00964A41"/>
    <w:rsid w:val="00966ECF"/>
    <w:rsid w:val="00967C0F"/>
    <w:rsid w:val="009727A3"/>
    <w:rsid w:val="009816A6"/>
    <w:rsid w:val="00987774"/>
    <w:rsid w:val="009A11E8"/>
    <w:rsid w:val="009C1E2E"/>
    <w:rsid w:val="009D644E"/>
    <w:rsid w:val="009D7649"/>
    <w:rsid w:val="009E4E62"/>
    <w:rsid w:val="009F5220"/>
    <w:rsid w:val="009F7C4D"/>
    <w:rsid w:val="00A15234"/>
    <w:rsid w:val="00A170BE"/>
    <w:rsid w:val="00A201AB"/>
    <w:rsid w:val="00A31C8B"/>
    <w:rsid w:val="00A56930"/>
    <w:rsid w:val="00A639E8"/>
    <w:rsid w:val="00A75965"/>
    <w:rsid w:val="00A845DC"/>
    <w:rsid w:val="00A97AEE"/>
    <w:rsid w:val="00AB040F"/>
    <w:rsid w:val="00AC5CF6"/>
    <w:rsid w:val="00AD35F9"/>
    <w:rsid w:val="00AD4295"/>
    <w:rsid w:val="00AF533C"/>
    <w:rsid w:val="00AF5F7A"/>
    <w:rsid w:val="00B07A53"/>
    <w:rsid w:val="00B144FA"/>
    <w:rsid w:val="00B169D7"/>
    <w:rsid w:val="00B16F58"/>
    <w:rsid w:val="00B23ED5"/>
    <w:rsid w:val="00B24F3B"/>
    <w:rsid w:val="00B30648"/>
    <w:rsid w:val="00B337AA"/>
    <w:rsid w:val="00B3524D"/>
    <w:rsid w:val="00B40F69"/>
    <w:rsid w:val="00B4659E"/>
    <w:rsid w:val="00B46616"/>
    <w:rsid w:val="00B51FD2"/>
    <w:rsid w:val="00B610E3"/>
    <w:rsid w:val="00B61205"/>
    <w:rsid w:val="00B617C4"/>
    <w:rsid w:val="00B626FA"/>
    <w:rsid w:val="00B65977"/>
    <w:rsid w:val="00B7040A"/>
    <w:rsid w:val="00B75A8F"/>
    <w:rsid w:val="00B81BDF"/>
    <w:rsid w:val="00B96FA0"/>
    <w:rsid w:val="00BB142B"/>
    <w:rsid w:val="00BC6C97"/>
    <w:rsid w:val="00BD4196"/>
    <w:rsid w:val="00BE31CE"/>
    <w:rsid w:val="00BE3223"/>
    <w:rsid w:val="00BF22CA"/>
    <w:rsid w:val="00C06E58"/>
    <w:rsid w:val="00C1315B"/>
    <w:rsid w:val="00C26032"/>
    <w:rsid w:val="00C265B0"/>
    <w:rsid w:val="00C321B5"/>
    <w:rsid w:val="00C345E1"/>
    <w:rsid w:val="00C364AE"/>
    <w:rsid w:val="00C862D5"/>
    <w:rsid w:val="00C977BA"/>
    <w:rsid w:val="00CB6E35"/>
    <w:rsid w:val="00CC3605"/>
    <w:rsid w:val="00CE1A46"/>
    <w:rsid w:val="00CE26B2"/>
    <w:rsid w:val="00CE3FE1"/>
    <w:rsid w:val="00CF253F"/>
    <w:rsid w:val="00CF56B4"/>
    <w:rsid w:val="00D107D9"/>
    <w:rsid w:val="00D20F09"/>
    <w:rsid w:val="00D22636"/>
    <w:rsid w:val="00D40FD9"/>
    <w:rsid w:val="00D45764"/>
    <w:rsid w:val="00D53769"/>
    <w:rsid w:val="00D65912"/>
    <w:rsid w:val="00D7445E"/>
    <w:rsid w:val="00D83253"/>
    <w:rsid w:val="00D85C13"/>
    <w:rsid w:val="00D91BE3"/>
    <w:rsid w:val="00D94AFC"/>
    <w:rsid w:val="00DB3E91"/>
    <w:rsid w:val="00DB70AE"/>
    <w:rsid w:val="00DB7231"/>
    <w:rsid w:val="00DD5071"/>
    <w:rsid w:val="00DD5C39"/>
    <w:rsid w:val="00DE26AF"/>
    <w:rsid w:val="00DE7DB7"/>
    <w:rsid w:val="00DF3718"/>
    <w:rsid w:val="00E00A0A"/>
    <w:rsid w:val="00E07F57"/>
    <w:rsid w:val="00E1040E"/>
    <w:rsid w:val="00E249AA"/>
    <w:rsid w:val="00E5023D"/>
    <w:rsid w:val="00E50BCE"/>
    <w:rsid w:val="00E5154F"/>
    <w:rsid w:val="00E5465B"/>
    <w:rsid w:val="00E61292"/>
    <w:rsid w:val="00E76309"/>
    <w:rsid w:val="00E77C4D"/>
    <w:rsid w:val="00E81D01"/>
    <w:rsid w:val="00EA7E61"/>
    <w:rsid w:val="00EB73AF"/>
    <w:rsid w:val="00EE45D8"/>
    <w:rsid w:val="00F004CD"/>
    <w:rsid w:val="00F22A22"/>
    <w:rsid w:val="00F22EDA"/>
    <w:rsid w:val="00F23A38"/>
    <w:rsid w:val="00F3224D"/>
    <w:rsid w:val="00F33E0E"/>
    <w:rsid w:val="00F46379"/>
    <w:rsid w:val="00F5664C"/>
    <w:rsid w:val="00F74B90"/>
    <w:rsid w:val="00F8694C"/>
    <w:rsid w:val="00F91034"/>
    <w:rsid w:val="00F95317"/>
    <w:rsid w:val="00FB7E80"/>
    <w:rsid w:val="00FC4A6A"/>
    <w:rsid w:val="00FD0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FC5D7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2774</Words>
  <Characters>13670</Characters>
  <Application>Microsoft Office Word</Application>
  <DocSecurity>0</DocSecurity>
  <Lines>113</Lines>
  <Paragraphs>32</Paragraphs>
  <ScaleCrop>false</ScaleCrop>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2018-06-04T13:15:00Z</dcterms:created>
  <dcterms:modified xsi:type="dcterms:W3CDTF">2018-06-04T13:16:00Z</dcterms:modified>
</cp:coreProperties>
</file>