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2D2FB" w14:textId="73C6AF23" w:rsidR="00643BFC" w:rsidRPr="00721171" w:rsidRDefault="00320B56" w:rsidP="00643BFC">
      <w:pPr>
        <w:jc w:val="center"/>
        <w:rPr>
          <w:rFonts w:ascii="Book Antiqua" w:hAnsi="Book Antiqua" w:cs="Arial"/>
          <w:caps/>
          <w:color w:val="000000"/>
          <w:sz w:val="16"/>
          <w:szCs w:val="16"/>
        </w:rPr>
      </w:pPr>
      <w:r w:rsidRPr="00721171">
        <w:rPr>
          <w:noProof/>
          <w:sz w:val="16"/>
          <w:szCs w:val="16"/>
        </w:rPr>
        <w:drawing>
          <wp:inline distT="0" distB="0" distL="0" distR="0" wp14:anchorId="0EA822DD" wp14:editId="6438D816">
            <wp:extent cx="1046480" cy="903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6480" cy="903605"/>
                    </a:xfrm>
                    <a:prstGeom prst="rect">
                      <a:avLst/>
                    </a:prstGeom>
                    <a:noFill/>
                    <a:ln>
                      <a:noFill/>
                    </a:ln>
                  </pic:spPr>
                </pic:pic>
              </a:graphicData>
            </a:graphic>
          </wp:inline>
        </w:drawing>
      </w:r>
    </w:p>
    <w:p w14:paraId="5124B75B" w14:textId="77777777" w:rsidR="00D94AFC" w:rsidRPr="00721171" w:rsidRDefault="000704BB">
      <w:pPr>
        <w:rPr>
          <w:rFonts w:ascii="Book Antiqua" w:hAnsi="Book Antiqua" w:cs="Arial"/>
          <w:color w:val="000000"/>
          <w:sz w:val="16"/>
          <w:szCs w:val="16"/>
        </w:rPr>
      </w:pPr>
      <w:r w:rsidRPr="00721171">
        <w:rPr>
          <w:rFonts w:ascii="Book Antiqua" w:hAnsi="Book Antiqua" w:cs="Arial"/>
          <w:caps/>
          <w:color w:val="000000"/>
          <w:sz w:val="16"/>
          <w:szCs w:val="16"/>
        </w:rPr>
        <w:t>IAC</w:t>
      </w:r>
      <w:r w:rsidR="004E0F3D" w:rsidRPr="00721171">
        <w:rPr>
          <w:rFonts w:ascii="Book Antiqua" w:hAnsi="Book Antiqua" w:cs="Arial"/>
          <w:caps/>
          <w:color w:val="000000"/>
          <w:sz w:val="16"/>
          <w:szCs w:val="16"/>
        </w:rPr>
        <w:t>-</w:t>
      </w:r>
      <w:r w:rsidR="00B55A34" w:rsidRPr="00721171">
        <w:rPr>
          <w:rFonts w:ascii="Book Antiqua" w:hAnsi="Book Antiqua" w:cs="Arial"/>
          <w:caps/>
          <w:color w:val="000000"/>
          <w:sz w:val="16"/>
          <w:szCs w:val="16"/>
        </w:rPr>
        <w:t>F</w:t>
      </w:r>
      <w:r w:rsidR="004E0F3D" w:rsidRPr="00721171">
        <w:rPr>
          <w:rFonts w:ascii="Book Antiqua" w:hAnsi="Book Antiqua" w:cs="Arial"/>
          <w:caps/>
          <w:color w:val="000000"/>
          <w:sz w:val="16"/>
          <w:szCs w:val="16"/>
        </w:rPr>
        <w:t>H-</w:t>
      </w:r>
      <w:r w:rsidR="00044DE6" w:rsidRPr="00721171">
        <w:rPr>
          <w:rFonts w:ascii="Book Antiqua" w:hAnsi="Book Antiqua" w:cs="Arial"/>
          <w:caps/>
          <w:color w:val="000000"/>
          <w:sz w:val="16"/>
          <w:szCs w:val="16"/>
        </w:rPr>
        <w:t>CK</w:t>
      </w:r>
      <w:r w:rsidR="004E0F3D" w:rsidRPr="00721171">
        <w:rPr>
          <w:rFonts w:ascii="Book Antiqua" w:hAnsi="Book Antiqua" w:cs="Arial"/>
          <w:caps/>
          <w:color w:val="000000"/>
          <w:sz w:val="16"/>
          <w:szCs w:val="16"/>
        </w:rPr>
        <w:t>-V</w:t>
      </w:r>
      <w:r w:rsidR="008145A2" w:rsidRPr="00721171">
        <w:rPr>
          <w:rFonts w:ascii="Book Antiqua" w:hAnsi="Book Antiqua" w:cs="Arial"/>
          <w:caps/>
          <w:color w:val="000000"/>
          <w:sz w:val="16"/>
          <w:szCs w:val="16"/>
        </w:rPr>
        <w:t>2</w:t>
      </w:r>
    </w:p>
    <w:p w14:paraId="089B058A" w14:textId="77777777" w:rsidR="00D94AFC" w:rsidRPr="00721171" w:rsidRDefault="00D94AFC">
      <w:pPr>
        <w:rPr>
          <w:rFonts w:ascii="Book Antiqua" w:hAnsi="Book Antiqua" w:cs="Arial"/>
          <w:color w:val="000000"/>
          <w:sz w:val="16"/>
          <w:szCs w:val="16"/>
        </w:rPr>
      </w:pPr>
    </w:p>
    <w:p w14:paraId="3E302CB1"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592F468F" w14:textId="77777777" w:rsidR="00073BAB" w:rsidRPr="00073BAB" w:rsidRDefault="00643BFC" w:rsidP="007527BF">
      <w:pPr>
        <w:tabs>
          <w:tab w:val="right" w:pos="9720"/>
        </w:tabs>
        <w:ind w:right="-82"/>
        <w:jc w:val="both"/>
        <w:rPr>
          <w:rFonts w:ascii="Book Antiqua" w:hAnsi="Book Antiqua" w:cs="Arial"/>
          <w:caps/>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664B92">
        <w:rPr>
          <w:rFonts w:ascii="Book Antiqua" w:hAnsi="Book Antiqua" w:cs="Arial"/>
          <w:color w:val="000000"/>
        </w:rPr>
        <w:t>s</w:t>
      </w:r>
      <w:r w:rsidR="00D53769" w:rsidRPr="000704BB">
        <w:rPr>
          <w:rFonts w:ascii="Book Antiqua" w:hAnsi="Book Antiqua" w:cs="Arial"/>
          <w:color w:val="000000"/>
        </w:rPr>
        <w:t>:</w:t>
      </w:r>
      <w:r w:rsidR="00B3524D" w:rsidRPr="000704BB">
        <w:rPr>
          <w:rFonts w:ascii="Book Antiqua" w:hAnsi="Book Antiqua" w:cs="Arial"/>
          <w:color w:val="000000"/>
        </w:rPr>
        <w:t xml:space="preserve"> </w:t>
      </w:r>
      <w:r w:rsidR="00073BAB" w:rsidRPr="00073BAB">
        <w:rPr>
          <w:rFonts w:ascii="Book Antiqua" w:hAnsi="Book Antiqua" w:cs="Arial"/>
          <w:caps/>
          <w:color w:val="000000"/>
        </w:rPr>
        <w:t>IA/00911/2016</w:t>
      </w:r>
    </w:p>
    <w:p w14:paraId="05B2C800" w14:textId="77777777" w:rsidR="00C345E1" w:rsidRPr="000704BB" w:rsidRDefault="00073BAB" w:rsidP="007527BF">
      <w:pPr>
        <w:tabs>
          <w:tab w:val="right" w:pos="9720"/>
        </w:tabs>
        <w:ind w:right="-82"/>
        <w:jc w:val="right"/>
        <w:rPr>
          <w:rFonts w:ascii="Book Antiqua" w:hAnsi="Book Antiqua" w:cs="Arial"/>
          <w:color w:val="000000"/>
        </w:rPr>
      </w:pPr>
      <w:r>
        <w:rPr>
          <w:rFonts w:ascii="Book Antiqua" w:hAnsi="Book Antiqua" w:cs="Arial"/>
          <w:caps/>
          <w:color w:val="000000"/>
        </w:rPr>
        <w:tab/>
      </w:r>
      <w:r w:rsidRPr="00073BAB">
        <w:rPr>
          <w:rFonts w:ascii="Book Antiqua" w:hAnsi="Book Antiqua" w:cs="Arial"/>
          <w:caps/>
          <w:color w:val="000000"/>
        </w:rPr>
        <w:t>HU/04181/2016</w:t>
      </w:r>
    </w:p>
    <w:p w14:paraId="36AF58A1" w14:textId="18728AE2" w:rsidR="00C345E1" w:rsidRDefault="00C345E1" w:rsidP="00C345E1">
      <w:pPr>
        <w:jc w:val="center"/>
        <w:rPr>
          <w:rFonts w:ascii="Book Antiqua" w:hAnsi="Book Antiqua" w:cs="Arial"/>
          <w:color w:val="000000"/>
        </w:rPr>
      </w:pPr>
    </w:p>
    <w:p w14:paraId="7D46B6CC" w14:textId="77777777" w:rsidR="00204612" w:rsidRPr="000704BB" w:rsidRDefault="00204612" w:rsidP="00C345E1">
      <w:pPr>
        <w:jc w:val="center"/>
        <w:rPr>
          <w:rFonts w:ascii="Book Antiqua" w:hAnsi="Book Antiqua" w:cs="Arial"/>
          <w:color w:val="000000"/>
        </w:rPr>
      </w:pPr>
    </w:p>
    <w:p w14:paraId="7FE7EDE7"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7F9EB9D0" w14:textId="542FEEA6" w:rsidR="00C345E1" w:rsidRDefault="00C345E1" w:rsidP="00C345E1">
      <w:pPr>
        <w:jc w:val="center"/>
        <w:rPr>
          <w:rFonts w:ascii="Book Antiqua" w:hAnsi="Book Antiqua" w:cs="Arial"/>
          <w:b/>
          <w:u w:val="single"/>
        </w:rPr>
      </w:pPr>
    </w:p>
    <w:p w14:paraId="4DE32A13" w14:textId="77777777" w:rsidR="00204612" w:rsidRPr="000704BB" w:rsidRDefault="00204612"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704BB" w14:paraId="1AE89845" w14:textId="77777777" w:rsidTr="000B0A3F">
        <w:tc>
          <w:tcPr>
            <w:tcW w:w="6048" w:type="dxa"/>
          </w:tcPr>
          <w:p w14:paraId="074B6D5B"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A141A9">
              <w:rPr>
                <w:rFonts w:ascii="Book Antiqua" w:hAnsi="Book Antiqua" w:cs="Arial"/>
                <w:b/>
              </w:rPr>
              <w:t>Field House</w:t>
            </w:r>
          </w:p>
        </w:tc>
        <w:tc>
          <w:tcPr>
            <w:tcW w:w="3960" w:type="dxa"/>
          </w:tcPr>
          <w:p w14:paraId="73AEFB38" w14:textId="77777777" w:rsidR="00D22636" w:rsidRPr="000704BB" w:rsidRDefault="000B0A3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14:paraId="68B60DE3" w14:textId="77777777" w:rsidTr="000B0A3F">
        <w:tc>
          <w:tcPr>
            <w:tcW w:w="6048" w:type="dxa"/>
          </w:tcPr>
          <w:p w14:paraId="68264B88"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A141A9">
              <w:rPr>
                <w:rFonts w:ascii="Book Antiqua" w:hAnsi="Book Antiqua" w:cs="Arial"/>
                <w:b/>
              </w:rPr>
              <w:t>3 July 2018</w:t>
            </w:r>
          </w:p>
        </w:tc>
        <w:tc>
          <w:tcPr>
            <w:tcW w:w="3960" w:type="dxa"/>
          </w:tcPr>
          <w:p w14:paraId="202C90A7" w14:textId="77777777" w:rsidR="00D22636" w:rsidRPr="000704BB" w:rsidRDefault="004A0D88" w:rsidP="004A1848">
            <w:pPr>
              <w:jc w:val="both"/>
              <w:rPr>
                <w:rFonts w:ascii="Book Antiqua" w:hAnsi="Book Antiqua" w:cs="Arial"/>
                <w:b/>
              </w:rPr>
            </w:pPr>
            <w:r>
              <w:rPr>
                <w:rFonts w:ascii="Book Antiqua" w:hAnsi="Book Antiqua" w:cs="Arial"/>
                <w:b/>
              </w:rPr>
              <w:t>On 07 August</w:t>
            </w:r>
            <w:r w:rsidRPr="00B230DE">
              <w:rPr>
                <w:rFonts w:ascii="Book Antiqua" w:hAnsi="Book Antiqua" w:cs="Arial"/>
                <w:b/>
              </w:rPr>
              <w:t xml:space="preserve"> 2018</w:t>
            </w:r>
          </w:p>
        </w:tc>
      </w:tr>
      <w:tr w:rsidR="00D22636" w:rsidRPr="000704BB" w14:paraId="570F0076" w14:textId="77777777" w:rsidTr="000B0A3F">
        <w:tc>
          <w:tcPr>
            <w:tcW w:w="6048" w:type="dxa"/>
          </w:tcPr>
          <w:p w14:paraId="2B3FB8A6" w14:textId="77777777" w:rsidR="00D22636" w:rsidRPr="000704BB" w:rsidRDefault="0066539F" w:rsidP="004A1848">
            <w:pPr>
              <w:jc w:val="both"/>
              <w:rPr>
                <w:rFonts w:ascii="Book Antiqua" w:hAnsi="Book Antiqua" w:cs="Arial"/>
                <w:b/>
              </w:rPr>
            </w:pPr>
            <w:r>
              <w:rPr>
                <w:rFonts w:ascii="Book Antiqua" w:hAnsi="Book Antiqua" w:cs="Arial"/>
                <w:b/>
              </w:rPr>
              <w:t>Prepared 3 July 2018</w:t>
            </w:r>
          </w:p>
        </w:tc>
        <w:tc>
          <w:tcPr>
            <w:tcW w:w="3960" w:type="dxa"/>
          </w:tcPr>
          <w:p w14:paraId="469B8375" w14:textId="77777777" w:rsidR="00D22636" w:rsidRPr="000704BB" w:rsidRDefault="00D22636" w:rsidP="004A1848">
            <w:pPr>
              <w:jc w:val="both"/>
              <w:rPr>
                <w:rFonts w:ascii="Book Antiqua" w:hAnsi="Book Antiqua" w:cs="Arial"/>
                <w:b/>
              </w:rPr>
            </w:pPr>
          </w:p>
        </w:tc>
      </w:tr>
    </w:tbl>
    <w:p w14:paraId="75918A5A" w14:textId="77777777" w:rsidR="00A15234" w:rsidRPr="000704BB" w:rsidRDefault="00A15234" w:rsidP="00A15234">
      <w:pPr>
        <w:jc w:val="center"/>
        <w:rPr>
          <w:rFonts w:ascii="Book Antiqua" w:hAnsi="Book Antiqua" w:cs="Arial"/>
        </w:rPr>
      </w:pPr>
    </w:p>
    <w:p w14:paraId="593D3FAF" w14:textId="77777777" w:rsidR="00204612" w:rsidRDefault="00204612" w:rsidP="00A15234">
      <w:pPr>
        <w:jc w:val="center"/>
        <w:rPr>
          <w:rFonts w:ascii="Book Antiqua" w:hAnsi="Book Antiqua" w:cs="Arial"/>
          <w:b/>
        </w:rPr>
      </w:pPr>
    </w:p>
    <w:p w14:paraId="6B759694" w14:textId="3D50A100"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191E9D96" w14:textId="77777777" w:rsidR="00A15234" w:rsidRPr="000704BB" w:rsidRDefault="00A15234" w:rsidP="00A15234">
      <w:pPr>
        <w:jc w:val="center"/>
        <w:rPr>
          <w:rFonts w:ascii="Book Antiqua" w:hAnsi="Book Antiqua" w:cs="Arial"/>
          <w:b/>
        </w:rPr>
      </w:pPr>
    </w:p>
    <w:p w14:paraId="469033AC" w14:textId="77777777" w:rsidR="001B186A" w:rsidRPr="000704BB" w:rsidRDefault="008262CB" w:rsidP="00A15234">
      <w:pPr>
        <w:jc w:val="center"/>
        <w:rPr>
          <w:rFonts w:ascii="Book Antiqua" w:hAnsi="Book Antiqua" w:cs="Arial"/>
          <w:b/>
          <w:color w:val="000000"/>
        </w:rPr>
      </w:pPr>
      <w:r>
        <w:rPr>
          <w:rFonts w:ascii="Book Antiqua" w:hAnsi="Book Antiqua" w:cs="Arial"/>
          <w:b/>
          <w:color w:val="000000"/>
        </w:rPr>
        <w:t xml:space="preserve">DEPUTY </w:t>
      </w:r>
      <w:r w:rsidR="00460347">
        <w:rPr>
          <w:rFonts w:ascii="Book Antiqua" w:hAnsi="Book Antiqua" w:cs="Arial"/>
          <w:b/>
          <w:color w:val="000000"/>
        </w:rPr>
        <w:t>UPPER TRIBUNAL JUDGE DAVEY</w:t>
      </w:r>
    </w:p>
    <w:p w14:paraId="251B1F75" w14:textId="61272B5B" w:rsidR="00D20757" w:rsidRDefault="00D20757" w:rsidP="00A15234">
      <w:pPr>
        <w:jc w:val="center"/>
        <w:rPr>
          <w:rFonts w:ascii="Book Antiqua" w:hAnsi="Book Antiqua" w:cs="Arial"/>
          <w:b/>
        </w:rPr>
      </w:pPr>
    </w:p>
    <w:p w14:paraId="36B7275D" w14:textId="77777777" w:rsidR="00204612" w:rsidRPr="000704BB" w:rsidRDefault="00204612" w:rsidP="00A15234">
      <w:pPr>
        <w:jc w:val="center"/>
        <w:rPr>
          <w:rFonts w:ascii="Book Antiqua" w:hAnsi="Book Antiqua" w:cs="Arial"/>
          <w:b/>
        </w:rPr>
      </w:pPr>
    </w:p>
    <w:p w14:paraId="1C929A68"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3F3A4586" w14:textId="77777777" w:rsidR="00A845DC" w:rsidRPr="000704BB" w:rsidRDefault="00A845DC" w:rsidP="00A15234">
      <w:pPr>
        <w:jc w:val="center"/>
        <w:rPr>
          <w:rFonts w:ascii="Book Antiqua" w:hAnsi="Book Antiqua" w:cs="Arial"/>
          <w:b/>
        </w:rPr>
      </w:pPr>
    </w:p>
    <w:p w14:paraId="3989F2EE" w14:textId="529CECE3" w:rsidR="007527BF" w:rsidRPr="007527BF" w:rsidRDefault="007527BF" w:rsidP="007527BF">
      <w:pPr>
        <w:jc w:val="center"/>
        <w:rPr>
          <w:rFonts w:ascii="Book Antiqua" w:hAnsi="Book Antiqua" w:cs="Arial"/>
          <w:b/>
          <w:caps/>
        </w:rPr>
      </w:pPr>
      <w:r w:rsidRPr="007527BF">
        <w:rPr>
          <w:rFonts w:ascii="Book Antiqua" w:hAnsi="Book Antiqua" w:cs="Arial"/>
          <w:b/>
          <w:caps/>
        </w:rPr>
        <w:t xml:space="preserve">Frank </w:t>
      </w:r>
      <w:r w:rsidR="00721171">
        <w:rPr>
          <w:rFonts w:ascii="Book Antiqua" w:hAnsi="Book Antiqua" w:cs="Arial"/>
          <w:b/>
          <w:caps/>
        </w:rPr>
        <w:t>[</w:t>
      </w:r>
      <w:r w:rsidRPr="007527BF">
        <w:rPr>
          <w:rFonts w:ascii="Book Antiqua" w:hAnsi="Book Antiqua" w:cs="Arial"/>
          <w:b/>
          <w:caps/>
        </w:rPr>
        <w:t>O</w:t>
      </w:r>
      <w:r w:rsidR="00721171">
        <w:rPr>
          <w:rFonts w:ascii="Book Antiqua" w:hAnsi="Book Antiqua" w:cs="Arial"/>
          <w:b/>
          <w:caps/>
        </w:rPr>
        <w:t>]</w:t>
      </w:r>
    </w:p>
    <w:p w14:paraId="7C3978B6" w14:textId="354F268B" w:rsidR="00A845DC" w:rsidRPr="007527BF" w:rsidRDefault="007527BF" w:rsidP="007527BF">
      <w:pPr>
        <w:jc w:val="center"/>
        <w:rPr>
          <w:rFonts w:ascii="Book Antiqua" w:hAnsi="Book Antiqua" w:cs="Arial"/>
          <w:b/>
          <w:caps/>
        </w:rPr>
      </w:pPr>
      <w:r w:rsidRPr="007527BF">
        <w:rPr>
          <w:rFonts w:ascii="Book Antiqua" w:hAnsi="Book Antiqua" w:cs="Arial"/>
          <w:b/>
          <w:caps/>
        </w:rPr>
        <w:t xml:space="preserve">Rosemary </w:t>
      </w:r>
      <w:r w:rsidR="00721171">
        <w:rPr>
          <w:rFonts w:ascii="Book Antiqua" w:hAnsi="Book Antiqua" w:cs="Arial"/>
          <w:b/>
          <w:caps/>
        </w:rPr>
        <w:t>[</w:t>
      </w:r>
      <w:r w:rsidRPr="007527BF">
        <w:rPr>
          <w:rFonts w:ascii="Book Antiqua" w:hAnsi="Book Antiqua" w:cs="Arial"/>
          <w:b/>
          <w:caps/>
        </w:rPr>
        <w:t>O</w:t>
      </w:r>
      <w:r w:rsidR="00721171">
        <w:rPr>
          <w:rFonts w:ascii="Book Antiqua" w:hAnsi="Book Antiqua" w:cs="Arial"/>
          <w:b/>
          <w:caps/>
        </w:rPr>
        <w:t>]</w:t>
      </w:r>
    </w:p>
    <w:p w14:paraId="43D8DFAB" w14:textId="77777777" w:rsidR="00704B61" w:rsidRPr="00721171" w:rsidRDefault="000B0A3F" w:rsidP="00A15234">
      <w:pPr>
        <w:jc w:val="center"/>
        <w:rPr>
          <w:rFonts w:ascii="Book Antiqua" w:hAnsi="Book Antiqua" w:cs="Arial"/>
          <w:b/>
          <w:sz w:val="22"/>
        </w:rPr>
      </w:pPr>
      <w:r w:rsidRPr="00721171">
        <w:rPr>
          <w:rFonts w:ascii="Book Antiqua" w:hAnsi="Book Antiqua" w:cs="Arial"/>
          <w:b/>
          <w:caps/>
          <w:sz w:val="22"/>
        </w:rPr>
        <w:t xml:space="preserve">(ANONYMITY DIRECTION </w:t>
      </w:r>
      <w:bookmarkStart w:id="0" w:name="Text21"/>
      <w:r w:rsidR="00667D3B" w:rsidRPr="00721171">
        <w:rPr>
          <w:rFonts w:ascii="Book Antiqua" w:hAnsi="Book Antiqua" w:cs="Arial"/>
          <w:b/>
          <w:caps/>
          <w:sz w:val="22"/>
        </w:rPr>
        <w:fldChar w:fldCharType="begin">
          <w:ffData>
            <w:name w:val="Text21"/>
            <w:enabled/>
            <w:calcOnExit w:val="0"/>
            <w:textInput>
              <w:default w:val="NOT MADE"/>
            </w:textInput>
          </w:ffData>
        </w:fldChar>
      </w:r>
      <w:r w:rsidR="00667D3B" w:rsidRPr="00721171">
        <w:rPr>
          <w:rFonts w:ascii="Book Antiqua" w:hAnsi="Book Antiqua" w:cs="Arial"/>
          <w:b/>
          <w:caps/>
          <w:sz w:val="22"/>
        </w:rPr>
        <w:instrText xml:space="preserve"> FORMTEXT </w:instrText>
      </w:r>
      <w:r w:rsidR="00667D3B" w:rsidRPr="00721171">
        <w:rPr>
          <w:rFonts w:ascii="Book Antiqua" w:hAnsi="Book Antiqua" w:cs="Arial"/>
          <w:b/>
          <w:caps/>
          <w:sz w:val="22"/>
        </w:rPr>
      </w:r>
      <w:r w:rsidR="00667D3B" w:rsidRPr="00721171">
        <w:rPr>
          <w:rFonts w:ascii="Book Antiqua" w:hAnsi="Book Antiqua" w:cs="Arial"/>
          <w:b/>
          <w:caps/>
          <w:sz w:val="22"/>
        </w:rPr>
        <w:fldChar w:fldCharType="separate"/>
      </w:r>
      <w:r w:rsidR="00667D3B" w:rsidRPr="00721171">
        <w:rPr>
          <w:rFonts w:ascii="Book Antiqua" w:hAnsi="Book Antiqua" w:cs="Arial"/>
          <w:b/>
          <w:caps/>
          <w:noProof/>
          <w:sz w:val="22"/>
        </w:rPr>
        <w:t>NOT MADE</w:t>
      </w:r>
      <w:r w:rsidR="00667D3B" w:rsidRPr="00721171">
        <w:rPr>
          <w:rFonts w:ascii="Book Antiqua" w:hAnsi="Book Antiqua" w:cs="Arial"/>
          <w:b/>
          <w:caps/>
          <w:sz w:val="22"/>
        </w:rPr>
        <w:fldChar w:fldCharType="end"/>
      </w:r>
      <w:bookmarkEnd w:id="0"/>
      <w:r w:rsidRPr="00721171">
        <w:rPr>
          <w:rFonts w:ascii="Book Antiqua" w:hAnsi="Book Antiqua" w:cs="Arial"/>
          <w:b/>
          <w:caps/>
          <w:sz w:val="22"/>
        </w:rPr>
        <w:t>)</w:t>
      </w:r>
    </w:p>
    <w:p w14:paraId="72097F35"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r w:rsidR="00664B92">
        <w:rPr>
          <w:rFonts w:ascii="Book Antiqua" w:hAnsi="Book Antiqua" w:cs="Arial"/>
          <w:u w:val="single"/>
        </w:rPr>
        <w:t>s</w:t>
      </w:r>
    </w:p>
    <w:p w14:paraId="7161F728"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5653B0BE" w14:textId="77777777" w:rsidR="00DD5071" w:rsidRPr="000704BB" w:rsidRDefault="00DD5071" w:rsidP="00704B61">
      <w:pPr>
        <w:jc w:val="center"/>
        <w:rPr>
          <w:rFonts w:ascii="Book Antiqua" w:hAnsi="Book Antiqua" w:cs="Arial"/>
          <w:b/>
        </w:rPr>
      </w:pPr>
    </w:p>
    <w:p w14:paraId="63B04290" w14:textId="77777777"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14:paraId="7BF66A79" w14:textId="77777777"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14:paraId="375F8DD5" w14:textId="16FAA62B" w:rsidR="00DD5071" w:rsidRDefault="00DD5071" w:rsidP="00DD5071">
      <w:pPr>
        <w:rPr>
          <w:rFonts w:ascii="Book Antiqua" w:hAnsi="Book Antiqua" w:cs="Arial"/>
          <w:u w:val="single"/>
        </w:rPr>
      </w:pPr>
    </w:p>
    <w:p w14:paraId="28C57E7D" w14:textId="77777777" w:rsidR="00204612" w:rsidRPr="000704BB" w:rsidRDefault="00204612" w:rsidP="00DD5071">
      <w:pPr>
        <w:rPr>
          <w:rFonts w:ascii="Book Antiqua" w:hAnsi="Book Antiqua" w:cs="Arial"/>
          <w:u w:val="single"/>
        </w:rPr>
      </w:pPr>
    </w:p>
    <w:p w14:paraId="67D0F12E"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748785DD" w14:textId="77777777" w:rsidR="00DE7DB7" w:rsidRPr="0062078D" w:rsidRDefault="00DE7DB7" w:rsidP="00721171">
      <w:pPr>
        <w:tabs>
          <w:tab w:val="left" w:pos="2552"/>
        </w:tabs>
        <w:rPr>
          <w:rFonts w:ascii="Book Antiqua" w:hAnsi="Book Antiqua" w:cs="Arial"/>
        </w:rPr>
      </w:pPr>
      <w:bookmarkStart w:id="2" w:name="_GoBack"/>
      <w:r w:rsidRPr="000704BB">
        <w:rPr>
          <w:rFonts w:ascii="Book Antiqua" w:hAnsi="Book Antiqua" w:cs="Arial"/>
        </w:rPr>
        <w:t>For the Appellant</w:t>
      </w:r>
      <w:r w:rsidR="00664B92">
        <w:rPr>
          <w:rFonts w:ascii="Book Antiqua" w:hAnsi="Book Antiqua" w:cs="Arial"/>
        </w:rPr>
        <w:t>s</w:t>
      </w:r>
      <w:r w:rsidRPr="000704BB">
        <w:rPr>
          <w:rFonts w:ascii="Book Antiqua" w:hAnsi="Book Antiqua" w:cs="Arial"/>
        </w:rPr>
        <w:t>:</w:t>
      </w:r>
      <w:r w:rsidRPr="000704BB">
        <w:rPr>
          <w:rFonts w:ascii="Book Antiqua" w:hAnsi="Book Antiqua" w:cs="Arial"/>
        </w:rPr>
        <w:tab/>
      </w:r>
      <w:r w:rsidR="00A141A9">
        <w:rPr>
          <w:rFonts w:ascii="Book Antiqua" w:hAnsi="Book Antiqua" w:cs="Arial"/>
        </w:rPr>
        <w:t xml:space="preserve">Mr D </w:t>
      </w:r>
      <w:proofErr w:type="spellStart"/>
      <w:r w:rsidR="00A141A9">
        <w:rPr>
          <w:rFonts w:ascii="Book Antiqua" w:hAnsi="Book Antiqua" w:cs="Arial"/>
        </w:rPr>
        <w:t>Akinpelu</w:t>
      </w:r>
      <w:proofErr w:type="spellEnd"/>
      <w:r w:rsidR="00A141A9">
        <w:rPr>
          <w:rFonts w:ascii="Book Antiqua" w:hAnsi="Book Antiqua" w:cs="Arial"/>
        </w:rPr>
        <w:t xml:space="preserve">, Solicitor, </w:t>
      </w:r>
      <w:r w:rsidR="0062078D" w:rsidRPr="0062078D">
        <w:rPr>
          <w:rFonts w:ascii="Book Antiqua" w:hAnsi="Book Antiqua" w:cs="Arial"/>
        </w:rPr>
        <w:t>Spring Solicitors</w:t>
      </w:r>
    </w:p>
    <w:p w14:paraId="0E276F6A" w14:textId="77777777" w:rsidR="00DE7DB7" w:rsidRPr="000704BB" w:rsidRDefault="00DE7DB7" w:rsidP="00721171">
      <w:pPr>
        <w:tabs>
          <w:tab w:val="left" w:pos="2552"/>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62078D" w:rsidRPr="0062078D">
        <w:rPr>
          <w:rFonts w:ascii="Book Antiqua" w:hAnsi="Book Antiqua" w:cs="Arial"/>
        </w:rPr>
        <w:t>Mr C Howells, Home Office Presenting Officer</w:t>
      </w:r>
    </w:p>
    <w:bookmarkEnd w:id="2"/>
    <w:p w14:paraId="19EA005D" w14:textId="290C3A05" w:rsidR="00DE7DB7" w:rsidRDefault="00DE7DB7" w:rsidP="00402B9E">
      <w:pPr>
        <w:tabs>
          <w:tab w:val="left" w:pos="2520"/>
        </w:tabs>
        <w:jc w:val="center"/>
        <w:rPr>
          <w:rFonts w:ascii="Book Antiqua" w:hAnsi="Book Antiqua" w:cs="Arial"/>
        </w:rPr>
      </w:pPr>
    </w:p>
    <w:p w14:paraId="551A8FC8" w14:textId="77777777" w:rsidR="00204612" w:rsidRPr="000704BB" w:rsidRDefault="00204612" w:rsidP="00402B9E">
      <w:pPr>
        <w:tabs>
          <w:tab w:val="left" w:pos="2520"/>
        </w:tabs>
        <w:jc w:val="center"/>
        <w:rPr>
          <w:rFonts w:ascii="Book Antiqua" w:hAnsi="Book Antiqua" w:cs="Arial"/>
        </w:rPr>
      </w:pPr>
    </w:p>
    <w:p w14:paraId="411CB4DF" w14:textId="77777777" w:rsidR="00DE7DB7" w:rsidRPr="000704BB" w:rsidRDefault="000B0A3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14:paraId="055394A0" w14:textId="77777777" w:rsidR="00402B9E" w:rsidRDefault="00402B9E" w:rsidP="00402B9E">
      <w:pPr>
        <w:tabs>
          <w:tab w:val="left" w:pos="2520"/>
        </w:tabs>
        <w:jc w:val="both"/>
        <w:rPr>
          <w:rFonts w:ascii="Book Antiqua" w:hAnsi="Book Antiqua" w:cs="Arial"/>
        </w:rPr>
      </w:pPr>
    </w:p>
    <w:p w14:paraId="727967C8" w14:textId="77777777" w:rsidR="006C72A6" w:rsidRDefault="00402B9E" w:rsidP="001322A2">
      <w:pPr>
        <w:pStyle w:val="p"/>
      </w:pPr>
      <w:r w:rsidRPr="000704BB">
        <w:t>1.</w:t>
      </w:r>
      <w:r w:rsidRPr="000704BB">
        <w:tab/>
      </w:r>
      <w:r w:rsidR="001322A2">
        <w:t xml:space="preserve">The Appellants, nationals of </w:t>
      </w:r>
      <w:smartTag w:uri="urn:schemas-microsoft-com:office:smarttags" w:element="country-region">
        <w:smartTag w:uri="urn:schemas-microsoft-com:office:smarttags" w:element="place">
          <w:r w:rsidR="001322A2">
            <w:t>Nigeria</w:t>
          </w:r>
        </w:smartTag>
      </w:smartTag>
      <w:r w:rsidR="001322A2">
        <w:t>, appeal</w:t>
      </w:r>
      <w:r w:rsidR="006C72A6">
        <w:t>ed</w:t>
      </w:r>
      <w:r w:rsidR="001322A2">
        <w:t xml:space="preserve"> against the Respondent’s decision</w:t>
      </w:r>
      <w:r w:rsidR="006C72A6">
        <w:t>s</w:t>
      </w:r>
      <w:r w:rsidR="001322A2">
        <w:t xml:space="preserve"> dated 28 January 2016 to refuse application</w:t>
      </w:r>
      <w:r w:rsidR="006C72A6">
        <w:t>s</w:t>
      </w:r>
      <w:r w:rsidR="001322A2">
        <w:t xml:space="preserve"> for leave to remain </w:t>
      </w:r>
      <w:r w:rsidR="006C72A6">
        <w:t>based on human rights grounds.</w:t>
      </w:r>
    </w:p>
    <w:p w14:paraId="368F638F" w14:textId="77777777" w:rsidR="006C72A6" w:rsidRDefault="006C72A6" w:rsidP="001322A2">
      <w:pPr>
        <w:pStyle w:val="p"/>
      </w:pPr>
    </w:p>
    <w:p w14:paraId="35EB4130" w14:textId="77777777" w:rsidR="00BF23BB" w:rsidRDefault="006C72A6" w:rsidP="001322A2">
      <w:pPr>
        <w:pStyle w:val="p"/>
      </w:pPr>
      <w:r>
        <w:t>2.</w:t>
      </w:r>
      <w:r>
        <w:tab/>
      </w:r>
      <w:r w:rsidR="001322A2">
        <w:t>Their appeal</w:t>
      </w:r>
      <w:r>
        <w:t>s</w:t>
      </w:r>
      <w:r w:rsidR="001322A2">
        <w:t xml:space="preserve"> came before First-tier Tribunal Judge Telford </w:t>
      </w:r>
      <w:r>
        <w:t xml:space="preserve">(the Judge) </w:t>
      </w:r>
      <w:r w:rsidR="001322A2">
        <w:t xml:space="preserve">on 10 July 2017, who dismissed </w:t>
      </w:r>
      <w:r w:rsidR="00CF1020">
        <w:t>them</w:t>
      </w:r>
      <w:r w:rsidR="001322A2">
        <w:t xml:space="preserve"> under the Immigration Rules and Article 8 ECHR.  Permission to appeal was given by First-tier Tribunal Judge P J M Hollingworth on 8 March 2018.</w:t>
      </w:r>
    </w:p>
    <w:p w14:paraId="1D3098EB" w14:textId="77777777" w:rsidR="001322A2" w:rsidRDefault="001322A2" w:rsidP="001322A2">
      <w:pPr>
        <w:pStyle w:val="p"/>
      </w:pPr>
    </w:p>
    <w:p w14:paraId="6C6737F9" w14:textId="32ED0670" w:rsidR="00756F7F" w:rsidRDefault="00CF1020" w:rsidP="0083484F">
      <w:pPr>
        <w:pStyle w:val="p"/>
      </w:pPr>
      <w:r>
        <w:t>3</w:t>
      </w:r>
      <w:r w:rsidR="001322A2">
        <w:t>.</w:t>
      </w:r>
      <w:r w:rsidR="001322A2">
        <w:tab/>
        <w:t xml:space="preserve">The gravamen of the complaints made in the grounds of appeal is that the Judge failed to properly address and provide adequate </w:t>
      </w:r>
      <w:r w:rsidR="005760D2">
        <w:t>reasons for</w:t>
      </w:r>
      <w:r w:rsidR="001322A2">
        <w:t xml:space="preserve"> concluding</w:t>
      </w:r>
      <w:r w:rsidR="0066539F">
        <w:t xml:space="preserve"> in effect</w:t>
      </w:r>
      <w:r w:rsidR="001322A2">
        <w:t xml:space="preserve"> with reference to the best interests of the children that it was appropriate for them as children of the Appellants, who are not British nationals, </w:t>
      </w:r>
      <w:r w:rsidR="00665DC4">
        <w:t>to leave the United Kingdom.  At the material time the children</w:t>
      </w:r>
      <w:r w:rsidR="00463607">
        <w:t>,</w:t>
      </w:r>
      <w:r w:rsidR="00665DC4">
        <w:t xml:space="preserve"> </w:t>
      </w:r>
      <w:r w:rsidR="00721171">
        <w:t>[</w:t>
      </w:r>
      <w:r w:rsidR="00463607">
        <w:t>JO</w:t>
      </w:r>
      <w:r w:rsidR="00721171" w:rsidRPr="00721171">
        <w:rPr>
          <w:vertAlign w:val="superscript"/>
        </w:rPr>
        <w:t>1</w:t>
      </w:r>
      <w:r w:rsidR="00721171">
        <w:t>]</w:t>
      </w:r>
      <w:r w:rsidR="00463607">
        <w:t xml:space="preserve">and </w:t>
      </w:r>
      <w:r w:rsidR="00721171">
        <w:t>[</w:t>
      </w:r>
      <w:r w:rsidR="00463607">
        <w:t>JO</w:t>
      </w:r>
      <w:r w:rsidR="00721171" w:rsidRPr="00721171">
        <w:rPr>
          <w:vertAlign w:val="superscript"/>
        </w:rPr>
        <w:t>2</w:t>
      </w:r>
      <w:r w:rsidR="00721171">
        <w:t>]</w:t>
      </w:r>
      <w:r w:rsidR="00463607">
        <w:t xml:space="preserve">, date of birth 7 October 2008, </w:t>
      </w:r>
      <w:r w:rsidR="00665DC4">
        <w:t xml:space="preserve">were over 7 years and had been born in the United Kingdom but remained Nigerian nationals at the material time.  The children had never left the </w:t>
      </w:r>
      <w:smartTag w:uri="urn:schemas-microsoft-com:office:smarttags" w:element="country-region">
        <w:r w:rsidR="00665DC4">
          <w:t>United Kingdom</w:t>
        </w:r>
      </w:smartTag>
      <w:r w:rsidR="00665DC4">
        <w:t xml:space="preserve"> and were in the </w:t>
      </w:r>
      <w:smartTag w:uri="urn:schemas-microsoft-com:office:smarttags" w:element="country-region">
        <w:r w:rsidR="00665DC4">
          <w:t>UK</w:t>
        </w:r>
      </w:smartTag>
      <w:r w:rsidR="00665DC4">
        <w:t xml:space="preserve"> educational structure as well as having grown up in the </w:t>
      </w:r>
      <w:smartTag w:uri="urn:schemas-microsoft-com:office:smarttags" w:element="country-region">
        <w:smartTag w:uri="urn:schemas-microsoft-com:office:smarttags" w:element="place">
          <w:r w:rsidR="00665DC4">
            <w:t>UK</w:t>
          </w:r>
        </w:smartTag>
      </w:smartTag>
      <w:r w:rsidR="00665DC4">
        <w:t xml:space="preserve"> w</w:t>
      </w:r>
      <w:r w:rsidR="00756F7F">
        <w:t>ith friends and acquaintances.</w:t>
      </w:r>
    </w:p>
    <w:p w14:paraId="4EDB4C09" w14:textId="77777777" w:rsidR="00756F7F" w:rsidRDefault="00756F7F" w:rsidP="0083484F">
      <w:pPr>
        <w:pStyle w:val="p"/>
      </w:pPr>
    </w:p>
    <w:p w14:paraId="4E00C36B" w14:textId="77777777" w:rsidR="00241A92" w:rsidRDefault="00756F7F" w:rsidP="0083484F">
      <w:pPr>
        <w:pStyle w:val="p"/>
      </w:pPr>
      <w:r>
        <w:t>4.</w:t>
      </w:r>
      <w:r>
        <w:tab/>
      </w:r>
      <w:r w:rsidR="00665DC4">
        <w:t>The Judge set out on the journey with reference to Article 8</w:t>
      </w:r>
      <w:r w:rsidR="0066539F">
        <w:t xml:space="preserve"> ECHR,</w:t>
      </w:r>
      <w:r w:rsidR="00665DC4">
        <w:t xml:space="preserve"> somewhat erroneously in that he said it was for the Respondent, the Secretary of State, to show on a balance of probabilities that the decision was proportionate.  Whatever may be the source of the Judge’s understanding, that is wrong.  There is no burden of proof and standard of proof in dealing with the </w:t>
      </w:r>
      <w:r w:rsidR="00241A92">
        <w:t>judgment on</w:t>
      </w:r>
      <w:r w:rsidR="00665DC4">
        <w:t xml:space="preserve"> proportionality.  Be that as it may, the Judge then went on to consider the best interests of the children and somewhat curiously addressed it on the basis of their capacity to integrate into life in </w:t>
      </w:r>
      <w:smartTag w:uri="urn:schemas-microsoft-com:office:smarttags" w:element="country-region">
        <w:smartTag w:uri="urn:schemas-microsoft-com:office:smarttags" w:element="place">
          <w:r w:rsidR="00665DC4">
            <w:t>Nigeria</w:t>
          </w:r>
        </w:smartTag>
      </w:smartTag>
      <w:r w:rsidR="00241A92">
        <w:t xml:space="preserve">.  The Judge </w:t>
      </w:r>
      <w:r w:rsidR="00665DC4">
        <w:t xml:space="preserve">seems to have started with the premise </w:t>
      </w:r>
      <w:r w:rsidR="00231DAC">
        <w:t xml:space="preserve">that, </w:t>
      </w:r>
      <w:r w:rsidR="00241A92">
        <w:t>[</w:t>
      </w:r>
      <w:r w:rsidR="00231DAC">
        <w:t>D17</w:t>
      </w:r>
      <w:r w:rsidR="00241A92">
        <w:t>]</w:t>
      </w:r>
      <w:r w:rsidR="00231DAC">
        <w:t xml:space="preserve">, “the real question is whether they are still malleable and able to adapt with a move to </w:t>
      </w:r>
      <w:smartTag w:uri="urn:schemas-microsoft-com:office:smarttags" w:element="country-region">
        <w:smartTag w:uri="urn:schemas-microsoft-com:office:smarttags" w:element="place">
          <w:r w:rsidR="00231DAC">
            <w:t>Nigeria</w:t>
          </w:r>
        </w:smartTag>
      </w:smartTag>
      <w:r w:rsidR="00231DAC">
        <w:t xml:space="preserve"> at their age and in their circumstances.”  That </w:t>
      </w:r>
      <w:r w:rsidR="00241A92">
        <w:t>wa</w:t>
      </w:r>
      <w:r w:rsidR="00231DAC">
        <w:t>s plainly wrong.  The malleability of children may be pertinent</w:t>
      </w:r>
      <w:r w:rsidR="0066539F">
        <w:t>,</w:t>
      </w:r>
      <w:r w:rsidR="00231DAC">
        <w:t xml:space="preserve"> to the extent to which one is assessing the </w:t>
      </w:r>
      <w:r w:rsidR="00241A92">
        <w:t>proportionality</w:t>
      </w:r>
      <w:r w:rsidR="00231DAC">
        <w:t xml:space="preserve"> of removal</w:t>
      </w:r>
      <w:r w:rsidR="0066539F">
        <w:t>,</w:t>
      </w:r>
      <w:r w:rsidR="00231DAC">
        <w:t xml:space="preserve"> but it certainly does not resolve the issue of whether or not it is reasonable for them to leave the UK</w:t>
      </w:r>
      <w:r w:rsidR="00241A92">
        <w:t>.</w:t>
      </w:r>
    </w:p>
    <w:p w14:paraId="0E55CB06" w14:textId="77777777" w:rsidR="00241A92" w:rsidRDefault="00241A92" w:rsidP="0083484F">
      <w:pPr>
        <w:pStyle w:val="p"/>
      </w:pPr>
    </w:p>
    <w:p w14:paraId="0C5A4EEB" w14:textId="77777777" w:rsidR="00D977C7" w:rsidRDefault="00241A92" w:rsidP="0083484F">
      <w:pPr>
        <w:pStyle w:val="p"/>
      </w:pPr>
      <w:r>
        <w:t>5.</w:t>
      </w:r>
      <w:r>
        <w:tab/>
      </w:r>
      <w:r w:rsidR="00231DAC">
        <w:t xml:space="preserve">The Judge in the decision sadly makes no reference whatsoever to Section 117B(6) NIAA 2002 and simply fails in the light of the well-known case law of </w:t>
      </w:r>
      <w:r w:rsidR="00231DAC" w:rsidRPr="00231DAC">
        <w:t xml:space="preserve">MA (Pakistan) </w:t>
      </w:r>
      <w:r w:rsidR="00231DAC" w:rsidRPr="00231DAC">
        <w:lastRenderedPageBreak/>
        <w:t xml:space="preserve">[2016] EWCA </w:t>
      </w:r>
      <w:proofErr w:type="spellStart"/>
      <w:r w:rsidR="00231DAC" w:rsidRPr="00231DAC">
        <w:t>Civ</w:t>
      </w:r>
      <w:proofErr w:type="spellEnd"/>
      <w:r w:rsidR="00231DAC" w:rsidRPr="00231DAC">
        <w:t xml:space="preserve"> </w:t>
      </w:r>
      <w:r>
        <w:t>705</w:t>
      </w:r>
      <w:r w:rsidR="00360F8D">
        <w:t xml:space="preserve"> in considering the issues of the children, the impact of the removal of the children, whether it is reasonable to expect them to leave as understood</w:t>
      </w:r>
      <w:r w:rsidR="0066539F">
        <w:t>,</w:t>
      </w:r>
      <w:r w:rsidR="00360F8D">
        <w:t xml:space="preserve"> following in the Court of Appeal’s decision</w:t>
      </w:r>
      <w:r w:rsidR="0066539F">
        <w:t>,</w:t>
      </w:r>
      <w:r w:rsidR="00360F8D">
        <w:t xml:space="preserve"> in </w:t>
      </w:r>
      <w:r w:rsidR="00360F8D" w:rsidRPr="00360F8D">
        <w:t xml:space="preserve">AM (Pakistan) [2017] EWCA </w:t>
      </w:r>
      <w:proofErr w:type="spellStart"/>
      <w:r w:rsidR="00360F8D" w:rsidRPr="00360F8D">
        <w:t>Civ</w:t>
      </w:r>
      <w:proofErr w:type="spellEnd"/>
      <w:r w:rsidR="00360F8D" w:rsidRPr="00360F8D">
        <w:t xml:space="preserve"> </w:t>
      </w:r>
      <w:r>
        <w:t>180</w:t>
      </w:r>
      <w:r w:rsidR="00D977C7">
        <w:t>.</w:t>
      </w:r>
    </w:p>
    <w:p w14:paraId="7F924783" w14:textId="77777777" w:rsidR="00D977C7" w:rsidRDefault="00D977C7" w:rsidP="0083484F">
      <w:pPr>
        <w:pStyle w:val="p"/>
      </w:pPr>
    </w:p>
    <w:p w14:paraId="29CE6AFF" w14:textId="77777777" w:rsidR="001322A2" w:rsidRDefault="00D977C7" w:rsidP="0083484F">
      <w:pPr>
        <w:pStyle w:val="p"/>
      </w:pPr>
      <w:r>
        <w:t>6.</w:t>
      </w:r>
      <w:r>
        <w:tab/>
      </w:r>
      <w:r w:rsidR="00360F8D">
        <w:t xml:space="preserve">In the circumstances it is accepted, perfectly sensibly, if I may say so, by Mr Howells that the Secretary of State accepts it would not be reasonable to expect the children to leave the </w:t>
      </w:r>
      <w:smartTag w:uri="urn:schemas-microsoft-com:office:smarttags" w:element="country-region">
        <w:smartTag w:uri="urn:schemas-microsoft-com:office:smarttags" w:element="place">
          <w:r w:rsidR="00360F8D">
            <w:t>UK</w:t>
          </w:r>
        </w:smartTag>
      </w:smartTag>
      <w:r w:rsidR="00360F8D">
        <w:t>.  In those circumstances, if it is not reasonable it follows, as the case law identifies, it cannot be</w:t>
      </w:r>
      <w:r w:rsidR="0066539F">
        <w:t xml:space="preserve"> in the public interest or</w:t>
      </w:r>
      <w:r w:rsidR="00360F8D">
        <w:t xml:space="preserve"> </w:t>
      </w:r>
      <w:r w:rsidR="00F70250">
        <w:t xml:space="preserve">proportionate to </w:t>
      </w:r>
      <w:r>
        <w:t>require a person who has a subsisting parental relationship to leave</w:t>
      </w:r>
      <w:r w:rsidR="00F70250">
        <w:t xml:space="preserve">.  I have, for my own part, looked at the findings the Judge made and examined the papers as to whether or not the Appellants’ immigration history is a material factor to be borne into consideration with the reasonableness of the children leaving.  It seemed to me that the way the case was put and the basis on which the decision was made as promulgated around about 28 January 2016, the concerns were </w:t>
      </w:r>
      <w:r w:rsidR="0083484F">
        <w:t>not being raised particularly as to the immigration history of either Appellant</w:t>
      </w:r>
      <w:r>
        <w:t>.  F</w:t>
      </w:r>
      <w:r w:rsidR="0083484F">
        <w:t>or my part it did not seem to me that that took it beyond the considerations of Section 117B(6) into the wider issues which required proportionality to be addressed in the usual way.</w:t>
      </w:r>
    </w:p>
    <w:p w14:paraId="6EEB7C98" w14:textId="77777777" w:rsidR="0083484F" w:rsidRDefault="0083484F" w:rsidP="0083484F">
      <w:pPr>
        <w:pStyle w:val="p"/>
      </w:pPr>
    </w:p>
    <w:p w14:paraId="5B17C9C1" w14:textId="77777777" w:rsidR="0083484F" w:rsidRPr="00360F8D" w:rsidRDefault="00D977C7" w:rsidP="0083484F">
      <w:pPr>
        <w:pStyle w:val="p"/>
      </w:pPr>
      <w:r>
        <w:t>7</w:t>
      </w:r>
      <w:r w:rsidR="0083484F">
        <w:t>.</w:t>
      </w:r>
      <w:r w:rsidR="0083484F">
        <w:tab/>
        <w:t>For these reasons therefore</w:t>
      </w:r>
      <w:r w:rsidR="00A72ECA">
        <w:t>,</w:t>
      </w:r>
      <w:r w:rsidR="0083484F">
        <w:t xml:space="preserve"> on the basis of the parties’ acceptance </w:t>
      </w:r>
      <w:r w:rsidR="00A72ECA">
        <w:t xml:space="preserve">that </w:t>
      </w:r>
      <w:r w:rsidR="0083484F">
        <w:t>it is appropriate</w:t>
      </w:r>
      <w:r w:rsidR="00A72ECA">
        <w:t xml:space="preserve"> for me to redecide this case on basis of the findings of fact made and expressed in the decision of the Judge</w:t>
      </w:r>
      <w:r w:rsidR="0083484F">
        <w:t xml:space="preserve">, </w:t>
      </w:r>
      <w:r w:rsidR="00A72ECA">
        <w:t xml:space="preserve">I conclude that the appropriate outcome is as follows.  First, the </w:t>
      </w:r>
      <w:r w:rsidR="0066539F">
        <w:t>O</w:t>
      </w:r>
      <w:r w:rsidR="00A72ECA">
        <w:t>riginal Tribunal’s decision cannot stand.  Secondly, the following decision is substituted.</w:t>
      </w:r>
    </w:p>
    <w:p w14:paraId="3AA3D8BD" w14:textId="77777777" w:rsidR="000B0A3F" w:rsidRDefault="000B0A3F" w:rsidP="000B0A3F">
      <w:pPr>
        <w:spacing w:line="360" w:lineRule="auto"/>
        <w:jc w:val="both"/>
        <w:rPr>
          <w:rFonts w:ascii="Book Antiqua" w:hAnsi="Book Antiqua" w:cs="Arial"/>
          <w:b/>
          <w:highlight w:val="yellow"/>
          <w:u w:val="single"/>
        </w:rPr>
      </w:pPr>
    </w:p>
    <w:p w14:paraId="3ABEAC84" w14:textId="77777777" w:rsidR="000B0A3F" w:rsidRPr="000B0A3F" w:rsidRDefault="000B0A3F" w:rsidP="00667D3B">
      <w:pPr>
        <w:pStyle w:val="h"/>
      </w:pPr>
      <w:r w:rsidRPr="000B0A3F">
        <w:t>NOTICE OF DECISION</w:t>
      </w:r>
    </w:p>
    <w:p w14:paraId="07E477AE" w14:textId="0E454A69" w:rsidR="000B0A3F" w:rsidRPr="000B0A3F" w:rsidRDefault="00A72ECA" w:rsidP="000B0A3F">
      <w:pPr>
        <w:spacing w:line="360" w:lineRule="auto"/>
        <w:jc w:val="both"/>
        <w:rPr>
          <w:rFonts w:ascii="Book Antiqua" w:hAnsi="Book Antiqua" w:cs="Arial"/>
        </w:rPr>
      </w:pPr>
      <w:r w:rsidRPr="00A72ECA">
        <w:rPr>
          <w:rFonts w:ascii="Book Antiqua" w:hAnsi="Book Antiqua" w:cs="Arial"/>
        </w:rPr>
        <w:t>The appeal is allowed on Article 8 ECHR grounds.</w:t>
      </w:r>
    </w:p>
    <w:p w14:paraId="603BE86D" w14:textId="7200981E" w:rsidR="00E13D81" w:rsidRDefault="00E13D81" w:rsidP="000B0A3F">
      <w:pPr>
        <w:spacing w:line="360" w:lineRule="auto"/>
        <w:jc w:val="both"/>
        <w:rPr>
          <w:rFonts w:ascii="Book Antiqua" w:hAnsi="Book Antiqua" w:cs="Arial"/>
        </w:rPr>
      </w:pPr>
    </w:p>
    <w:p w14:paraId="5F621FAE" w14:textId="77777777" w:rsidR="00667D3B" w:rsidRDefault="00667D3B" w:rsidP="00667D3B">
      <w:pPr>
        <w:pStyle w:val="h"/>
      </w:pPr>
      <w:r>
        <w:t>ANONYMITY ORDER</w:t>
      </w:r>
    </w:p>
    <w:p w14:paraId="36456946" w14:textId="77777777" w:rsidR="000B0A3F" w:rsidRPr="00667D3B" w:rsidRDefault="000B0A3F" w:rsidP="000B0A3F">
      <w:pPr>
        <w:spacing w:line="360" w:lineRule="auto"/>
        <w:jc w:val="both"/>
        <w:rPr>
          <w:rFonts w:ascii="Book Antiqua" w:hAnsi="Book Antiqua" w:cs="Arial"/>
        </w:rPr>
      </w:pPr>
      <w:r w:rsidRPr="000B0A3F">
        <w:rPr>
          <w:rFonts w:ascii="Book Antiqua" w:hAnsi="Book Antiqua" w:cs="Arial"/>
        </w:rPr>
        <w:t xml:space="preserve">No anonymity </w:t>
      </w:r>
      <w:r w:rsidR="00667D3B">
        <w:rPr>
          <w:rFonts w:ascii="Book Antiqua" w:hAnsi="Book Antiqua" w:cs="Arial"/>
        </w:rPr>
        <w:t xml:space="preserve">order was </w:t>
      </w:r>
      <w:r w:rsidRPr="000B0A3F">
        <w:rPr>
          <w:rFonts w:ascii="Book Antiqua" w:hAnsi="Book Antiqua" w:cs="Arial"/>
        </w:rPr>
        <w:t>made</w:t>
      </w:r>
      <w:r w:rsidR="008D1E04">
        <w:rPr>
          <w:rFonts w:ascii="Book Antiqua" w:hAnsi="Book Antiqua" w:cs="Arial"/>
        </w:rPr>
        <w:t>, n</w:t>
      </w:r>
      <w:r w:rsidR="00667D3B">
        <w:rPr>
          <w:rFonts w:ascii="Book Antiqua" w:hAnsi="Book Antiqua" w:cs="Arial"/>
        </w:rPr>
        <w:t>one is being requested and</w:t>
      </w:r>
      <w:r w:rsidR="008D1E04">
        <w:rPr>
          <w:rFonts w:ascii="Book Antiqua" w:hAnsi="Book Antiqua" w:cs="Arial"/>
        </w:rPr>
        <w:t>,</w:t>
      </w:r>
      <w:r w:rsidR="00667D3B">
        <w:rPr>
          <w:rFonts w:ascii="Book Antiqua" w:hAnsi="Book Antiqua" w:cs="Arial"/>
        </w:rPr>
        <w:t xml:space="preserve"> having regard to the </w:t>
      </w:r>
      <w:r w:rsidR="00667D3B" w:rsidRPr="00667D3B">
        <w:rPr>
          <w:rFonts w:ascii="Book Antiqua" w:hAnsi="Book Antiqua" w:cs="Arial"/>
        </w:rPr>
        <w:t>Presidential Guidance</w:t>
      </w:r>
      <w:r w:rsidR="008D1E04">
        <w:rPr>
          <w:rFonts w:ascii="Book Antiqua" w:hAnsi="Book Antiqua" w:cs="Arial"/>
        </w:rPr>
        <w:t>,</w:t>
      </w:r>
      <w:r w:rsidR="00667D3B">
        <w:rPr>
          <w:rFonts w:ascii="Book Antiqua" w:hAnsi="Book Antiqua" w:cs="Arial"/>
        </w:rPr>
        <w:t xml:space="preserve"> it seems to me that none is necessary in the circumstances of this </w:t>
      </w:r>
      <w:r w:rsidR="00667D3B">
        <w:rPr>
          <w:rFonts w:ascii="Book Antiqua" w:hAnsi="Book Antiqua" w:cs="Arial"/>
        </w:rPr>
        <w:lastRenderedPageBreak/>
        <w:t>decision or indeed that written by the First-tier Tribunal Judge.  Accordingly, no anonymity order is made.</w:t>
      </w:r>
    </w:p>
    <w:p w14:paraId="5E0C2486" w14:textId="77777777" w:rsidR="00E13D81" w:rsidRDefault="00E13D81" w:rsidP="00855C07">
      <w:pPr>
        <w:spacing w:line="360" w:lineRule="auto"/>
        <w:ind w:left="540" w:hanging="540"/>
        <w:jc w:val="both"/>
        <w:rPr>
          <w:rFonts w:ascii="Book Antiqua" w:hAnsi="Book Antiqua" w:cs="Arial"/>
          <w:b/>
          <w:u w:val="single"/>
        </w:rPr>
      </w:pPr>
    </w:p>
    <w:p w14:paraId="1FE472AE" w14:textId="164E89E0" w:rsidR="009F5220" w:rsidRPr="0001518B" w:rsidRDefault="0066539F" w:rsidP="00855C07">
      <w:pPr>
        <w:spacing w:line="360" w:lineRule="auto"/>
        <w:ind w:left="540" w:hanging="540"/>
        <w:jc w:val="both"/>
        <w:rPr>
          <w:rFonts w:ascii="Book Antiqua" w:hAnsi="Book Antiqua" w:cs="Arial"/>
          <w:b/>
          <w:u w:val="single"/>
        </w:rPr>
      </w:pPr>
      <w:r w:rsidRPr="0001518B">
        <w:rPr>
          <w:rFonts w:ascii="Book Antiqua" w:hAnsi="Book Antiqua" w:cs="Arial"/>
          <w:b/>
          <w:u w:val="single"/>
        </w:rPr>
        <w:t>FEE AWARD</w:t>
      </w:r>
    </w:p>
    <w:p w14:paraId="1A10454B" w14:textId="3D203516" w:rsidR="0066539F" w:rsidRPr="000B0A3F" w:rsidRDefault="0066539F" w:rsidP="00721171">
      <w:pPr>
        <w:spacing w:line="360" w:lineRule="auto"/>
        <w:jc w:val="both"/>
        <w:rPr>
          <w:rFonts w:ascii="Book Antiqua" w:hAnsi="Book Antiqua" w:cs="Arial"/>
        </w:rPr>
      </w:pPr>
      <w:r>
        <w:rPr>
          <w:rFonts w:ascii="Book Antiqua" w:hAnsi="Book Antiqua" w:cs="Arial"/>
        </w:rPr>
        <w:t>The appeals have succeeded and in those circumstances a fee award in the sum of £140 for each Appellant.</w:t>
      </w:r>
    </w:p>
    <w:p w14:paraId="7D3F1E0B" w14:textId="77777777" w:rsidR="001F2716" w:rsidRPr="000B0A3F" w:rsidRDefault="001F2716" w:rsidP="00855C07">
      <w:pPr>
        <w:spacing w:line="360" w:lineRule="auto"/>
        <w:ind w:left="540" w:hanging="540"/>
        <w:jc w:val="both"/>
        <w:rPr>
          <w:rFonts w:ascii="Book Antiqua" w:hAnsi="Book Antiqua" w:cs="Arial"/>
        </w:rPr>
      </w:pPr>
    </w:p>
    <w:p w14:paraId="797076FE" w14:textId="77777777" w:rsidR="000B0A3F" w:rsidRPr="000B0A3F" w:rsidRDefault="000B0A3F" w:rsidP="00855C07">
      <w:pPr>
        <w:spacing w:line="360" w:lineRule="auto"/>
        <w:ind w:left="540" w:hanging="540"/>
        <w:jc w:val="both"/>
        <w:rPr>
          <w:rFonts w:ascii="Book Antiqua" w:hAnsi="Book Antiqua" w:cs="Arial"/>
        </w:rPr>
      </w:pPr>
    </w:p>
    <w:p w14:paraId="6A91D6CC" w14:textId="77777777" w:rsidR="00BC4F94" w:rsidRPr="000B0A3F" w:rsidRDefault="00780F86" w:rsidP="00BC4F94">
      <w:pPr>
        <w:ind w:left="540" w:hanging="540"/>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00BC4F94" w:rsidRPr="000B0A3F">
        <w:rPr>
          <w:rFonts w:ascii="Book Antiqua" w:hAnsi="Book Antiqua" w:cs="Arial"/>
        </w:rPr>
        <w:t>Date</w:t>
      </w:r>
      <w:r w:rsidR="0066539F">
        <w:rPr>
          <w:rFonts w:ascii="Book Antiqua" w:hAnsi="Book Antiqua" w:cs="Arial"/>
        </w:rPr>
        <w:t>24 July 2018</w:t>
      </w:r>
    </w:p>
    <w:p w14:paraId="77EA38EE" w14:textId="77777777" w:rsidR="006D6955" w:rsidRPr="000B0A3F" w:rsidRDefault="006D6955" w:rsidP="00780F86">
      <w:pPr>
        <w:ind w:left="540" w:hanging="540"/>
        <w:jc w:val="both"/>
        <w:rPr>
          <w:rFonts w:ascii="Book Antiqua" w:hAnsi="Book Antiqua" w:cs="Arial"/>
        </w:rPr>
      </w:pPr>
    </w:p>
    <w:p w14:paraId="6F970715" w14:textId="77777777" w:rsidR="006D6955" w:rsidRPr="000B0A3F" w:rsidRDefault="006D6955" w:rsidP="00780F86">
      <w:pPr>
        <w:ind w:left="540" w:hanging="540"/>
        <w:jc w:val="both"/>
        <w:rPr>
          <w:rFonts w:ascii="Book Antiqua" w:hAnsi="Book Antiqua" w:cs="Arial"/>
        </w:rPr>
      </w:pPr>
    </w:p>
    <w:p w14:paraId="0FF79DF4" w14:textId="77777777" w:rsidR="001F2716" w:rsidRPr="000B0A3F" w:rsidRDefault="006D6955" w:rsidP="00402B9E">
      <w:pPr>
        <w:tabs>
          <w:tab w:val="left" w:pos="2520"/>
        </w:tabs>
        <w:ind w:left="540" w:hanging="540"/>
        <w:jc w:val="both"/>
        <w:rPr>
          <w:rFonts w:ascii="Book Antiqua" w:hAnsi="Book Antiqua" w:cs="Arial"/>
          <w:color w:val="000000"/>
        </w:rPr>
      </w:pPr>
      <w:r w:rsidRPr="000B0A3F">
        <w:rPr>
          <w:rFonts w:ascii="Book Antiqua" w:hAnsi="Book Antiqua" w:cs="Arial"/>
          <w:color w:val="000000"/>
        </w:rPr>
        <w:t xml:space="preserve">Deputy </w:t>
      </w:r>
      <w:r w:rsidR="00460347" w:rsidRPr="000B0A3F">
        <w:rPr>
          <w:rFonts w:ascii="Book Antiqua" w:hAnsi="Book Antiqua" w:cs="Arial"/>
          <w:color w:val="000000"/>
        </w:rPr>
        <w:t>Upper Tribunal Judge Davey</w:t>
      </w:r>
    </w:p>
    <w:p w14:paraId="29734DB8" w14:textId="77777777" w:rsidR="000B0A3F" w:rsidRPr="000B0A3F" w:rsidRDefault="000B0A3F" w:rsidP="00402B9E">
      <w:pPr>
        <w:tabs>
          <w:tab w:val="left" w:pos="2520"/>
        </w:tabs>
        <w:ind w:left="540" w:hanging="540"/>
        <w:jc w:val="both"/>
        <w:rPr>
          <w:rFonts w:ascii="Book Antiqua" w:hAnsi="Book Antiqua" w:cs="Arial"/>
          <w:color w:val="000000"/>
        </w:rPr>
      </w:pPr>
    </w:p>
    <w:sectPr w:rsidR="000B0A3F" w:rsidRPr="000B0A3F"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E8D1E" w14:textId="77777777" w:rsidR="006D0682" w:rsidRDefault="006D0682">
      <w:r>
        <w:separator/>
      </w:r>
    </w:p>
  </w:endnote>
  <w:endnote w:type="continuationSeparator" w:id="0">
    <w:p w14:paraId="36CD67E0" w14:textId="77777777" w:rsidR="006D0682" w:rsidRDefault="006D0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64309" w14:textId="4A382CDB" w:rsidR="001D1E03" w:rsidRPr="000704BB" w:rsidRDefault="001D1E03"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7B4B10">
      <w:rPr>
        <w:rStyle w:val="PageNumber"/>
        <w:rFonts w:ascii="Book Antiqua" w:hAnsi="Book Antiqua" w:cs="Arial"/>
        <w:noProof/>
        <w:sz w:val="16"/>
        <w:szCs w:val="16"/>
      </w:rPr>
      <w:t>4</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580FE" w14:textId="77777777" w:rsidR="001D1E03" w:rsidRPr="000704BB" w:rsidRDefault="001D1E03"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75EDA" w14:textId="77777777" w:rsidR="006D0682" w:rsidRDefault="006D0682">
      <w:r>
        <w:separator/>
      </w:r>
    </w:p>
  </w:footnote>
  <w:footnote w:type="continuationSeparator" w:id="0">
    <w:p w14:paraId="6E6DBCF3" w14:textId="77777777" w:rsidR="006D0682" w:rsidRDefault="006D06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E5B9E" w14:textId="77777777" w:rsidR="001D1E03" w:rsidRPr="00073BAB" w:rsidRDefault="001D1E03" w:rsidP="00073BAB">
    <w:pPr>
      <w:pStyle w:val="Header"/>
      <w:jc w:val="right"/>
      <w:rPr>
        <w:rFonts w:ascii="Book Antiqua" w:hAnsi="Book Antiqua" w:cs="Arial"/>
        <w:sz w:val="16"/>
        <w:szCs w:val="16"/>
      </w:rPr>
    </w:pPr>
    <w:r w:rsidRPr="000704BB">
      <w:rPr>
        <w:rFonts w:ascii="Book Antiqua" w:hAnsi="Book Antiqua" w:cs="Arial"/>
        <w:sz w:val="16"/>
        <w:szCs w:val="16"/>
      </w:rPr>
      <w:t>Appeal Number</w:t>
    </w:r>
    <w:r>
      <w:rPr>
        <w:rFonts w:ascii="Book Antiqua" w:hAnsi="Book Antiqua" w:cs="Arial"/>
        <w:sz w:val="16"/>
        <w:szCs w:val="16"/>
      </w:rPr>
      <w:t>s</w:t>
    </w:r>
    <w:r w:rsidRPr="000704BB">
      <w:rPr>
        <w:rFonts w:ascii="Book Antiqua" w:hAnsi="Book Antiqua" w:cs="Arial"/>
        <w:sz w:val="16"/>
        <w:szCs w:val="16"/>
      </w:rPr>
      <w:t xml:space="preserve">: </w:t>
    </w:r>
    <w:r w:rsidRPr="00073BAB">
      <w:rPr>
        <w:rFonts w:ascii="Book Antiqua" w:hAnsi="Book Antiqua" w:cs="Arial"/>
        <w:sz w:val="16"/>
        <w:szCs w:val="16"/>
      </w:rPr>
      <w:t>IA/00911/2016</w:t>
    </w:r>
  </w:p>
  <w:p w14:paraId="6D3DACDD" w14:textId="77777777" w:rsidR="001D1E03" w:rsidRPr="00073BAB" w:rsidRDefault="001D1E03" w:rsidP="00073BAB">
    <w:pPr>
      <w:pStyle w:val="Header"/>
      <w:jc w:val="right"/>
      <w:rPr>
        <w:rFonts w:ascii="Book Antiqua" w:hAnsi="Book Antiqua" w:cs="Arial"/>
        <w:sz w:val="16"/>
        <w:szCs w:val="16"/>
      </w:rPr>
    </w:pPr>
    <w:r w:rsidRPr="00073BAB">
      <w:rPr>
        <w:rFonts w:ascii="Book Antiqua" w:hAnsi="Book Antiqua" w:cs="Arial"/>
        <w:sz w:val="16"/>
        <w:szCs w:val="16"/>
      </w:rPr>
      <w:t>HU/04181/2016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1CBCB" w14:textId="77777777" w:rsidR="001D1E03" w:rsidRPr="000704BB" w:rsidRDefault="001D1E03">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doNotShadeFormData/>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53A"/>
    <w:rsid w:val="00000621"/>
    <w:rsid w:val="000036C2"/>
    <w:rsid w:val="0001518B"/>
    <w:rsid w:val="00033D3D"/>
    <w:rsid w:val="00044DE6"/>
    <w:rsid w:val="00062F02"/>
    <w:rsid w:val="000704BB"/>
    <w:rsid w:val="00071A7E"/>
    <w:rsid w:val="00073BAB"/>
    <w:rsid w:val="000746C0"/>
    <w:rsid w:val="00074D1D"/>
    <w:rsid w:val="00092580"/>
    <w:rsid w:val="00093D4D"/>
    <w:rsid w:val="000B0A3F"/>
    <w:rsid w:val="000D5D94"/>
    <w:rsid w:val="000D683B"/>
    <w:rsid w:val="000F1A0E"/>
    <w:rsid w:val="000F52D4"/>
    <w:rsid w:val="00101576"/>
    <w:rsid w:val="001165A7"/>
    <w:rsid w:val="00125938"/>
    <w:rsid w:val="001322A2"/>
    <w:rsid w:val="0014213B"/>
    <w:rsid w:val="00150C5F"/>
    <w:rsid w:val="00151389"/>
    <w:rsid w:val="00167D3A"/>
    <w:rsid w:val="00190911"/>
    <w:rsid w:val="001A3082"/>
    <w:rsid w:val="001B186A"/>
    <w:rsid w:val="001B2F75"/>
    <w:rsid w:val="001B659F"/>
    <w:rsid w:val="001C2D96"/>
    <w:rsid w:val="001C5B44"/>
    <w:rsid w:val="001D1E03"/>
    <w:rsid w:val="001F2716"/>
    <w:rsid w:val="00203FB0"/>
    <w:rsid w:val="00204612"/>
    <w:rsid w:val="00207617"/>
    <w:rsid w:val="0022189B"/>
    <w:rsid w:val="0023134B"/>
    <w:rsid w:val="00231DAC"/>
    <w:rsid w:val="00241A92"/>
    <w:rsid w:val="00283659"/>
    <w:rsid w:val="002A1607"/>
    <w:rsid w:val="002C6BD4"/>
    <w:rsid w:val="002D68BF"/>
    <w:rsid w:val="002F4275"/>
    <w:rsid w:val="002F4B6F"/>
    <w:rsid w:val="002F6B98"/>
    <w:rsid w:val="00320B56"/>
    <w:rsid w:val="00336CBF"/>
    <w:rsid w:val="00343FE3"/>
    <w:rsid w:val="003546C8"/>
    <w:rsid w:val="00360F8D"/>
    <w:rsid w:val="00365F5E"/>
    <w:rsid w:val="00367B26"/>
    <w:rsid w:val="003826E7"/>
    <w:rsid w:val="003A7CF2"/>
    <w:rsid w:val="003C2CDB"/>
    <w:rsid w:val="003C5CE5"/>
    <w:rsid w:val="003E092F"/>
    <w:rsid w:val="003E267B"/>
    <w:rsid w:val="003E7CD1"/>
    <w:rsid w:val="00402B9E"/>
    <w:rsid w:val="004243E8"/>
    <w:rsid w:val="004249CB"/>
    <w:rsid w:val="004319AE"/>
    <w:rsid w:val="0044127D"/>
    <w:rsid w:val="004448DB"/>
    <w:rsid w:val="00446C9A"/>
    <w:rsid w:val="00452F2B"/>
    <w:rsid w:val="00460347"/>
    <w:rsid w:val="00463607"/>
    <w:rsid w:val="00477193"/>
    <w:rsid w:val="00491F91"/>
    <w:rsid w:val="004A0D88"/>
    <w:rsid w:val="004A1848"/>
    <w:rsid w:val="004A6F4A"/>
    <w:rsid w:val="004E08A9"/>
    <w:rsid w:val="004E0F3D"/>
    <w:rsid w:val="004E4717"/>
    <w:rsid w:val="00507FEC"/>
    <w:rsid w:val="00510F0E"/>
    <w:rsid w:val="00526F5F"/>
    <w:rsid w:val="005479E1"/>
    <w:rsid w:val="00550648"/>
    <w:rsid w:val="00553E0A"/>
    <w:rsid w:val="005570FD"/>
    <w:rsid w:val="005575EA"/>
    <w:rsid w:val="0056234C"/>
    <w:rsid w:val="005760D2"/>
    <w:rsid w:val="0057790C"/>
    <w:rsid w:val="005918BB"/>
    <w:rsid w:val="00593795"/>
    <w:rsid w:val="00596FD5"/>
    <w:rsid w:val="005A75FF"/>
    <w:rsid w:val="005C7C69"/>
    <w:rsid w:val="005D10AB"/>
    <w:rsid w:val="00601D8F"/>
    <w:rsid w:val="0061749D"/>
    <w:rsid w:val="0062078D"/>
    <w:rsid w:val="00625051"/>
    <w:rsid w:val="00643BFC"/>
    <w:rsid w:val="00653E97"/>
    <w:rsid w:val="00664B92"/>
    <w:rsid w:val="0066539F"/>
    <w:rsid w:val="00665DC4"/>
    <w:rsid w:val="00667D3B"/>
    <w:rsid w:val="006701F7"/>
    <w:rsid w:val="00674FB9"/>
    <w:rsid w:val="00681C14"/>
    <w:rsid w:val="00684A74"/>
    <w:rsid w:val="00690B8A"/>
    <w:rsid w:val="006C72A6"/>
    <w:rsid w:val="006D0682"/>
    <w:rsid w:val="006D0A2D"/>
    <w:rsid w:val="006D203F"/>
    <w:rsid w:val="006D3D44"/>
    <w:rsid w:val="006D6955"/>
    <w:rsid w:val="006F2CF1"/>
    <w:rsid w:val="007038ED"/>
    <w:rsid w:val="00703BC3"/>
    <w:rsid w:val="00704B61"/>
    <w:rsid w:val="00707F5D"/>
    <w:rsid w:val="00721171"/>
    <w:rsid w:val="00731F9D"/>
    <w:rsid w:val="007508CA"/>
    <w:rsid w:val="007527BF"/>
    <w:rsid w:val="007552A9"/>
    <w:rsid w:val="00756F7F"/>
    <w:rsid w:val="00761858"/>
    <w:rsid w:val="00767D59"/>
    <w:rsid w:val="00776E97"/>
    <w:rsid w:val="00780F86"/>
    <w:rsid w:val="007912AD"/>
    <w:rsid w:val="00797649"/>
    <w:rsid w:val="007A1AB9"/>
    <w:rsid w:val="007B0824"/>
    <w:rsid w:val="007B4B10"/>
    <w:rsid w:val="007B5D3C"/>
    <w:rsid w:val="007F2A46"/>
    <w:rsid w:val="00806249"/>
    <w:rsid w:val="008145A2"/>
    <w:rsid w:val="00821B72"/>
    <w:rsid w:val="00823261"/>
    <w:rsid w:val="00823EF2"/>
    <w:rsid w:val="008262CB"/>
    <w:rsid w:val="008303B8"/>
    <w:rsid w:val="00833DCE"/>
    <w:rsid w:val="0083484F"/>
    <w:rsid w:val="00855C07"/>
    <w:rsid w:val="00871D34"/>
    <w:rsid w:val="00876E37"/>
    <w:rsid w:val="00883D05"/>
    <w:rsid w:val="008B270C"/>
    <w:rsid w:val="008B5078"/>
    <w:rsid w:val="008C0A2B"/>
    <w:rsid w:val="008C3D3D"/>
    <w:rsid w:val="008D1E04"/>
    <w:rsid w:val="008D4131"/>
    <w:rsid w:val="008F1932"/>
    <w:rsid w:val="00921062"/>
    <w:rsid w:val="00931A34"/>
    <w:rsid w:val="009722BC"/>
    <w:rsid w:val="009727A3"/>
    <w:rsid w:val="00976910"/>
    <w:rsid w:val="00987774"/>
    <w:rsid w:val="009A11E8"/>
    <w:rsid w:val="009F5220"/>
    <w:rsid w:val="00A141A9"/>
    <w:rsid w:val="00A15065"/>
    <w:rsid w:val="00A15234"/>
    <w:rsid w:val="00A201AB"/>
    <w:rsid w:val="00A31C8B"/>
    <w:rsid w:val="00A509FA"/>
    <w:rsid w:val="00A705A8"/>
    <w:rsid w:val="00A71C11"/>
    <w:rsid w:val="00A72ECA"/>
    <w:rsid w:val="00A845DC"/>
    <w:rsid w:val="00B2416C"/>
    <w:rsid w:val="00B26AA2"/>
    <w:rsid w:val="00B3524D"/>
    <w:rsid w:val="00B40F69"/>
    <w:rsid w:val="00B46616"/>
    <w:rsid w:val="00B55A34"/>
    <w:rsid w:val="00B56A04"/>
    <w:rsid w:val="00B7040A"/>
    <w:rsid w:val="00B83391"/>
    <w:rsid w:val="00B95326"/>
    <w:rsid w:val="00BC4F94"/>
    <w:rsid w:val="00BD4196"/>
    <w:rsid w:val="00BF0C4C"/>
    <w:rsid w:val="00BF22CA"/>
    <w:rsid w:val="00BF23BB"/>
    <w:rsid w:val="00C24342"/>
    <w:rsid w:val="00C26032"/>
    <w:rsid w:val="00C345E1"/>
    <w:rsid w:val="00C43BFD"/>
    <w:rsid w:val="00C45C01"/>
    <w:rsid w:val="00C5753A"/>
    <w:rsid w:val="00C77BDD"/>
    <w:rsid w:val="00CB6E35"/>
    <w:rsid w:val="00CC6356"/>
    <w:rsid w:val="00CE1A46"/>
    <w:rsid w:val="00CF1020"/>
    <w:rsid w:val="00D20757"/>
    <w:rsid w:val="00D22636"/>
    <w:rsid w:val="00D40FD9"/>
    <w:rsid w:val="00D53769"/>
    <w:rsid w:val="00D60879"/>
    <w:rsid w:val="00D70217"/>
    <w:rsid w:val="00D85C13"/>
    <w:rsid w:val="00D9111A"/>
    <w:rsid w:val="00D91BE3"/>
    <w:rsid w:val="00D94AFC"/>
    <w:rsid w:val="00D977C7"/>
    <w:rsid w:val="00DB70AE"/>
    <w:rsid w:val="00DB78A4"/>
    <w:rsid w:val="00DC3F2C"/>
    <w:rsid w:val="00DC69F1"/>
    <w:rsid w:val="00DD5071"/>
    <w:rsid w:val="00DD5C39"/>
    <w:rsid w:val="00DE5E10"/>
    <w:rsid w:val="00DE7DB7"/>
    <w:rsid w:val="00E00A0A"/>
    <w:rsid w:val="00E066DE"/>
    <w:rsid w:val="00E07F57"/>
    <w:rsid w:val="00E13D81"/>
    <w:rsid w:val="00E16EDD"/>
    <w:rsid w:val="00E30683"/>
    <w:rsid w:val="00E453D8"/>
    <w:rsid w:val="00E50BCE"/>
    <w:rsid w:val="00E574BF"/>
    <w:rsid w:val="00E61292"/>
    <w:rsid w:val="00E74E7B"/>
    <w:rsid w:val="00E7628C"/>
    <w:rsid w:val="00E77C4D"/>
    <w:rsid w:val="00E81D01"/>
    <w:rsid w:val="00E961E5"/>
    <w:rsid w:val="00EA2F7F"/>
    <w:rsid w:val="00EE3064"/>
    <w:rsid w:val="00EE45D8"/>
    <w:rsid w:val="00F22EDA"/>
    <w:rsid w:val="00F3137F"/>
    <w:rsid w:val="00F70250"/>
    <w:rsid w:val="00F76D81"/>
    <w:rsid w:val="00F924A3"/>
    <w:rsid w:val="00F97838"/>
    <w:rsid w:val="00FD07A4"/>
    <w:rsid w:val="00FE0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7169"/>
    <o:shapelayout v:ext="edit">
      <o:idmap v:ext="edit" data="1"/>
    </o:shapelayout>
  </w:shapeDefaults>
  <w:decimalSymbol w:val="."/>
  <w:listSeparator w:val=","/>
  <w14:docId w14:val="57B82C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p">
    <w:name w:val="p"/>
    <w:basedOn w:val="Normal"/>
    <w:link w:val="pChar"/>
    <w:rsid w:val="0062078D"/>
    <w:pPr>
      <w:tabs>
        <w:tab w:val="left" w:pos="567"/>
      </w:tabs>
      <w:spacing w:line="360" w:lineRule="auto"/>
      <w:ind w:left="567" w:hanging="567"/>
      <w:jc w:val="both"/>
    </w:pPr>
    <w:rPr>
      <w:rFonts w:ascii="Book Antiqua" w:hAnsi="Book Antiqua" w:cs="Arial"/>
    </w:rPr>
  </w:style>
  <w:style w:type="character" w:customStyle="1" w:styleId="pChar">
    <w:name w:val="p Char"/>
    <w:basedOn w:val="DefaultParagraphFont"/>
    <w:link w:val="p"/>
    <w:rsid w:val="0062078D"/>
    <w:rPr>
      <w:rFonts w:ascii="Book Antiqua" w:hAnsi="Book Antiqua" w:cs="Arial"/>
      <w:sz w:val="24"/>
      <w:szCs w:val="24"/>
      <w:lang w:val="en-GB" w:eastAsia="en-GB" w:bidi="ar-SA"/>
    </w:rPr>
  </w:style>
  <w:style w:type="paragraph" w:customStyle="1" w:styleId="h">
    <w:name w:val="h"/>
    <w:basedOn w:val="Normal"/>
    <w:rsid w:val="00667D3B"/>
    <w:pPr>
      <w:spacing w:line="360" w:lineRule="auto"/>
      <w:jc w:val="both"/>
    </w:pPr>
    <w:rPr>
      <w:rFonts w:ascii="Book Antiqua" w:hAnsi="Book Antiqua" w:cs="Arial"/>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870</Words>
  <Characters>4352</Characters>
  <Application>Microsoft Office Word</Application>
  <DocSecurity>0</DocSecurity>
  <Lines>36</Lines>
  <Paragraphs>10</Paragraphs>
  <ScaleCrop>false</ScaleCrop>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2018-08-23T10:39:00Z</dcterms:created>
  <dcterms:modified xsi:type="dcterms:W3CDTF">2018-08-23T10:39:00Z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