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A70752" w:rsidP="00C321B5">
      <w:pPr>
        <w:jc w:val="center"/>
        <w:rPr>
          <w:rFonts w:ascii="Book Antiqua" w:hAnsi="Book Antiqua" w:cs="Arial"/>
          <w:sz w:val="16"/>
          <w:szCs w:val="16"/>
        </w:rPr>
      </w:pPr>
      <w:r>
        <w:rPr>
          <w:noProof/>
        </w:rPr>
        <w:drawing>
          <wp:inline distT="0" distB="0" distL="0" distR="0">
            <wp:extent cx="1045845"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805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714EE4">
        <w:rPr>
          <w:rFonts w:ascii="Book Antiqua" w:hAnsi="Book Antiqua" w:cs="Arial"/>
          <w:b/>
        </w:rPr>
        <w:t>Tribunal</w:t>
      </w:r>
    </w:p>
    <w:p w:rsidR="00C345E1" w:rsidRPr="00D52548" w:rsidRDefault="00C321B5" w:rsidP="00D52548">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590F7B">
        <w:rPr>
          <w:rFonts w:ascii="Book Antiqua" w:hAnsi="Book Antiqua" w:cs="Arial"/>
          <w:caps/>
        </w:rPr>
        <w:t>IA/01372</w:t>
      </w:r>
      <w:r w:rsidR="001D2779">
        <w:rPr>
          <w:rFonts w:ascii="Book Antiqua" w:hAnsi="Book Antiqua" w:cs="Arial"/>
          <w:caps/>
        </w:rPr>
        <w:t>/2016</w:t>
      </w:r>
      <w:bookmarkEnd w:id="0"/>
    </w:p>
    <w:p w:rsidR="00C345E1" w:rsidRPr="00F5664C" w:rsidRDefault="00C345E1" w:rsidP="00C345E1">
      <w:pPr>
        <w:jc w:val="center"/>
        <w:rPr>
          <w:rFonts w:ascii="Book Antiqua" w:hAnsi="Book Antiqua" w:cs="Arial"/>
        </w:rPr>
      </w:pPr>
    </w:p>
    <w:p w:rsidR="002B1AE7" w:rsidRDefault="002B1AE7"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 xml:space="preserve">THE IMMIGRATION </w:t>
      </w:r>
      <w:r w:rsidR="009F2CAE">
        <w:rPr>
          <w:rFonts w:ascii="Book Antiqua" w:hAnsi="Book Antiqua" w:cs="Arial"/>
          <w:b/>
          <w:u w:val="single"/>
        </w:rPr>
        <w:t>ACT</w:t>
      </w:r>
      <w:r w:rsidRPr="00F5664C">
        <w:rPr>
          <w:rFonts w:ascii="Book Antiqua" w:hAnsi="Book Antiqua" w:cs="Arial"/>
          <w:b/>
          <w:u w:val="single"/>
        </w:rPr>
        <w: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41B8E" w:rsidTr="00E41B8E">
        <w:tc>
          <w:tcPr>
            <w:tcW w:w="6048" w:type="dxa"/>
            <w:shd w:val="clear" w:color="auto" w:fill="auto"/>
          </w:tcPr>
          <w:p w:rsidR="00D22636" w:rsidRPr="00E41B8E" w:rsidRDefault="00D22636" w:rsidP="00E41B8E">
            <w:pPr>
              <w:jc w:val="both"/>
              <w:rPr>
                <w:rFonts w:ascii="Book Antiqua" w:hAnsi="Book Antiqua" w:cs="Arial"/>
                <w:b/>
              </w:rPr>
            </w:pPr>
            <w:r w:rsidRPr="00E41B8E">
              <w:rPr>
                <w:rFonts w:ascii="Book Antiqua" w:hAnsi="Book Antiqua" w:cs="Arial"/>
                <w:b/>
              </w:rPr>
              <w:t xml:space="preserve">Heard at </w:t>
            </w:r>
            <w:r w:rsidR="00F37E76">
              <w:rPr>
                <w:rFonts w:ascii="Book Antiqua" w:hAnsi="Book Antiqua" w:cs="Arial"/>
                <w:b/>
              </w:rPr>
              <w:t>Birmingham Employment Tribunal</w:t>
            </w:r>
            <w:r w:rsidR="00AD7697" w:rsidRPr="00E41B8E">
              <w:rPr>
                <w:rFonts w:ascii="Book Antiqua" w:hAnsi="Book Antiqua" w:cs="Arial"/>
                <w:b/>
              </w:rPr>
              <w:t xml:space="preserve"> </w:t>
            </w:r>
          </w:p>
        </w:tc>
        <w:tc>
          <w:tcPr>
            <w:tcW w:w="3960" w:type="dxa"/>
            <w:shd w:val="clear" w:color="auto" w:fill="auto"/>
          </w:tcPr>
          <w:p w:rsidR="00D22636" w:rsidRPr="00E41B8E" w:rsidRDefault="00C77259" w:rsidP="00E41B8E">
            <w:pPr>
              <w:jc w:val="both"/>
              <w:rPr>
                <w:rFonts w:ascii="Book Antiqua" w:hAnsi="Book Antiqua" w:cs="Arial"/>
                <w:b/>
              </w:rPr>
            </w:pPr>
            <w:r w:rsidRPr="00E41B8E">
              <w:rPr>
                <w:rFonts w:ascii="Book Antiqua" w:hAnsi="Book Antiqua" w:cs="Arial"/>
                <w:b/>
              </w:rPr>
              <w:t>Decision &amp; Reasons</w:t>
            </w:r>
            <w:r w:rsidR="00B768CA" w:rsidRPr="00E41B8E">
              <w:rPr>
                <w:rFonts w:ascii="Book Antiqua" w:hAnsi="Book Antiqua" w:cs="Arial"/>
                <w:b/>
              </w:rPr>
              <w:t xml:space="preserve"> Promulgated</w:t>
            </w:r>
            <w:r w:rsidR="008C63D4" w:rsidRPr="00E41B8E">
              <w:rPr>
                <w:rFonts w:ascii="Book Antiqua" w:hAnsi="Book Antiqua" w:cs="Arial"/>
                <w:b/>
              </w:rPr>
              <w:t xml:space="preserve"> </w:t>
            </w:r>
          </w:p>
        </w:tc>
      </w:tr>
      <w:tr w:rsidR="00D22636" w:rsidRPr="00E41B8E" w:rsidTr="00E41B8E">
        <w:tc>
          <w:tcPr>
            <w:tcW w:w="6048" w:type="dxa"/>
            <w:shd w:val="clear" w:color="auto" w:fill="auto"/>
          </w:tcPr>
          <w:p w:rsidR="00D22636" w:rsidRPr="00E41B8E" w:rsidRDefault="00D22636" w:rsidP="00E41B8E">
            <w:pPr>
              <w:jc w:val="both"/>
              <w:rPr>
                <w:rFonts w:ascii="Book Antiqua" w:hAnsi="Book Antiqua" w:cs="Arial"/>
                <w:b/>
              </w:rPr>
            </w:pPr>
            <w:r w:rsidRPr="00E41B8E">
              <w:rPr>
                <w:rFonts w:ascii="Book Antiqua" w:hAnsi="Book Antiqua" w:cs="Arial"/>
                <w:b/>
              </w:rPr>
              <w:t>On</w:t>
            </w:r>
            <w:r w:rsidR="00B63EFA">
              <w:rPr>
                <w:rFonts w:ascii="Book Antiqua" w:hAnsi="Book Antiqua" w:cs="Arial"/>
                <w:b/>
              </w:rPr>
              <w:t xml:space="preserve"> the </w:t>
            </w:r>
            <w:r w:rsidR="00590F7B">
              <w:rPr>
                <w:rFonts w:ascii="Book Antiqua" w:hAnsi="Book Antiqua" w:cs="Arial"/>
                <w:b/>
              </w:rPr>
              <w:t>29 August</w:t>
            </w:r>
            <w:r w:rsidR="001D2779">
              <w:rPr>
                <w:rFonts w:ascii="Book Antiqua" w:hAnsi="Book Antiqua" w:cs="Arial"/>
                <w:b/>
              </w:rPr>
              <w:t xml:space="preserve"> 2018</w:t>
            </w:r>
            <w:r w:rsidR="00AD7697" w:rsidRPr="00E41B8E">
              <w:rPr>
                <w:rFonts w:ascii="Book Antiqua" w:hAnsi="Book Antiqua" w:cs="Arial"/>
                <w:b/>
              </w:rPr>
              <w:t xml:space="preserve"> </w:t>
            </w:r>
          </w:p>
        </w:tc>
        <w:tc>
          <w:tcPr>
            <w:tcW w:w="3960" w:type="dxa"/>
            <w:shd w:val="clear" w:color="auto" w:fill="auto"/>
          </w:tcPr>
          <w:p w:rsidR="00D22636" w:rsidRPr="00E41B8E" w:rsidRDefault="00F37E76" w:rsidP="00E41B8E">
            <w:pPr>
              <w:jc w:val="both"/>
              <w:rPr>
                <w:rFonts w:ascii="Book Antiqua" w:hAnsi="Book Antiqua" w:cs="Arial"/>
                <w:b/>
              </w:rPr>
            </w:pPr>
            <w:r>
              <w:rPr>
                <w:rFonts w:ascii="Book Antiqua" w:hAnsi="Book Antiqua" w:cs="Arial"/>
                <w:b/>
              </w:rPr>
              <w:t>On 18 September 2018</w:t>
            </w:r>
          </w:p>
        </w:tc>
      </w:tr>
      <w:tr w:rsidR="00D22636" w:rsidRPr="00E41B8E" w:rsidTr="00E41B8E">
        <w:tc>
          <w:tcPr>
            <w:tcW w:w="6048" w:type="dxa"/>
            <w:shd w:val="clear" w:color="auto" w:fill="auto"/>
          </w:tcPr>
          <w:p w:rsidR="00D22636" w:rsidRPr="00E41B8E" w:rsidRDefault="00D22636" w:rsidP="00E41B8E">
            <w:pPr>
              <w:jc w:val="both"/>
              <w:rPr>
                <w:rFonts w:ascii="Book Antiqua" w:hAnsi="Book Antiqua" w:cs="Arial"/>
                <w:b/>
              </w:rPr>
            </w:pPr>
          </w:p>
        </w:tc>
        <w:tc>
          <w:tcPr>
            <w:tcW w:w="3960" w:type="dxa"/>
            <w:shd w:val="clear" w:color="auto" w:fill="auto"/>
          </w:tcPr>
          <w:p w:rsidR="00D22636" w:rsidRPr="00E41B8E" w:rsidRDefault="00D22636" w:rsidP="00E41B8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714EE4">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Default="00A845DC" w:rsidP="00A15234">
      <w:pPr>
        <w:jc w:val="center"/>
        <w:rPr>
          <w:rFonts w:ascii="Book Antiqua" w:hAnsi="Book Antiqua" w:cs="Arial"/>
          <w:b/>
        </w:rPr>
      </w:pPr>
      <w:r w:rsidRPr="00F5664C">
        <w:rPr>
          <w:rFonts w:ascii="Book Antiqua" w:hAnsi="Book Antiqua" w:cs="Arial"/>
          <w:b/>
        </w:rPr>
        <w:t>Between</w:t>
      </w:r>
    </w:p>
    <w:p w:rsidR="002B1AE7" w:rsidRPr="00F5664C" w:rsidRDefault="002B1AE7" w:rsidP="00A15234">
      <w:pPr>
        <w:jc w:val="center"/>
        <w:rPr>
          <w:rFonts w:ascii="Book Antiqua" w:hAnsi="Book Antiqua" w:cs="Arial"/>
          <w:b/>
        </w:rPr>
      </w:pPr>
    </w:p>
    <w:p w:rsidR="00A845DC" w:rsidRPr="001D2779" w:rsidRDefault="001D2779" w:rsidP="001D2779">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 xml:space="preserve">THE </w:t>
      </w:r>
      <w:r>
        <w:rPr>
          <w:rFonts w:ascii="Book Antiqua" w:hAnsi="Book Antiqua" w:cs="Arial"/>
          <w:b/>
          <w:caps/>
          <w:noProof/>
        </w:rPr>
        <w:t>SECRETARY</w:t>
      </w:r>
      <w:r w:rsidRPr="00F5664C">
        <w:rPr>
          <w:rFonts w:ascii="Book Antiqua" w:hAnsi="Book Antiqua" w:cs="Arial"/>
          <w:b/>
          <w:caps/>
          <w:noProof/>
        </w:rPr>
        <w:t xml:space="preserve"> OF STATE FOR THE HOME DEPARTMENT</w:t>
      </w:r>
      <w:r w:rsidRPr="00F5664C">
        <w:rPr>
          <w:rFonts w:ascii="Book Antiqua" w:hAnsi="Book Antiqua" w:cs="Arial"/>
          <w:b/>
          <w:caps/>
        </w:rPr>
        <w:fldChar w:fldCharType="end"/>
      </w:r>
    </w:p>
    <w:p w:rsidR="00704B61" w:rsidRPr="00F5664C" w:rsidRDefault="00714EE4" w:rsidP="00704B61">
      <w:pPr>
        <w:jc w:val="right"/>
        <w:rPr>
          <w:rFonts w:ascii="Book Antiqua" w:hAnsi="Book Antiqua" w:cs="Arial"/>
          <w:u w:val="single"/>
        </w:rPr>
      </w:pPr>
      <w:r>
        <w:rPr>
          <w:rFonts w:ascii="Book Antiqua" w:hAnsi="Book Antiqua" w:cs="Arial"/>
          <w:u w:val="single"/>
        </w:rPr>
        <w:t>Appellant</w:t>
      </w:r>
    </w:p>
    <w:p w:rsidR="00704B61" w:rsidRPr="00F5664C" w:rsidRDefault="00541C0C"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2B1AE7" w:rsidRDefault="00590F7B" w:rsidP="00216D8B">
      <w:pPr>
        <w:jc w:val="center"/>
        <w:rPr>
          <w:rFonts w:ascii="Book Antiqua" w:hAnsi="Book Antiqua" w:cs="Arial"/>
          <w:b/>
          <w:caps/>
        </w:rPr>
      </w:pPr>
      <w:r>
        <w:rPr>
          <w:rFonts w:ascii="Book Antiqua" w:hAnsi="Book Antiqua" w:cs="Arial"/>
          <w:b/>
          <w:caps/>
        </w:rPr>
        <w:t xml:space="preserve"> GM</w:t>
      </w:r>
      <w:r w:rsidR="001D2779">
        <w:rPr>
          <w:rFonts w:ascii="Book Antiqua" w:hAnsi="Book Antiqua" w:cs="Arial"/>
          <w:b/>
          <w:caps/>
        </w:rPr>
        <w:t xml:space="preserve"> </w:t>
      </w:r>
    </w:p>
    <w:p w:rsidR="00216D8B" w:rsidRPr="00AD7697" w:rsidRDefault="001D2779" w:rsidP="00216D8B">
      <w:pPr>
        <w:jc w:val="center"/>
        <w:rPr>
          <w:rFonts w:ascii="Book Antiqua" w:hAnsi="Book Antiqua" w:cs="Arial"/>
          <w:b/>
          <w:caps/>
        </w:rPr>
      </w:pPr>
      <w:r>
        <w:rPr>
          <w:rFonts w:ascii="Book Antiqua" w:hAnsi="Book Antiqua" w:cs="Arial"/>
          <w:b/>
          <w:caps/>
        </w:rPr>
        <w:t>(Anonymityy DIRECTON MADe)</w:t>
      </w:r>
    </w:p>
    <w:p w:rsidR="00DD5071" w:rsidRPr="00F5664C" w:rsidRDefault="00714EE4"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4E68D4" w:rsidRDefault="00DE7DB7" w:rsidP="00DD5071">
      <w:pPr>
        <w:rPr>
          <w:rFonts w:ascii="Book Antiqua" w:hAnsi="Book Antiqua" w:cs="Arial"/>
        </w:rPr>
      </w:pPr>
      <w:r w:rsidRPr="004E68D4">
        <w:rPr>
          <w:rFonts w:ascii="Book Antiqua" w:hAnsi="Book Antiqua" w:cs="Arial"/>
          <w:b/>
          <w:u w:val="single"/>
        </w:rPr>
        <w:t>Representation</w:t>
      </w:r>
      <w:r w:rsidRPr="004E68D4">
        <w:rPr>
          <w:rFonts w:ascii="Book Antiqua" w:hAnsi="Book Antiqua" w:cs="Arial"/>
          <w:b/>
        </w:rPr>
        <w:t>:</w:t>
      </w:r>
    </w:p>
    <w:p w:rsidR="00216D8B" w:rsidRPr="004E68D4" w:rsidRDefault="00DE7DB7" w:rsidP="00216D8B">
      <w:pPr>
        <w:tabs>
          <w:tab w:val="left" w:pos="2520"/>
        </w:tabs>
        <w:rPr>
          <w:rFonts w:ascii="Book Antiqua" w:hAnsi="Book Antiqua" w:cs="Arial"/>
        </w:rPr>
      </w:pPr>
      <w:r w:rsidRPr="004E68D4">
        <w:rPr>
          <w:rFonts w:ascii="Book Antiqua" w:hAnsi="Book Antiqua" w:cs="Arial"/>
        </w:rPr>
        <w:t xml:space="preserve">For the </w:t>
      </w:r>
      <w:r w:rsidR="00714EE4">
        <w:rPr>
          <w:rFonts w:ascii="Book Antiqua" w:hAnsi="Book Antiqua" w:cs="Arial"/>
        </w:rPr>
        <w:t>Appellant</w:t>
      </w:r>
      <w:r w:rsidRPr="004E68D4">
        <w:rPr>
          <w:rFonts w:ascii="Book Antiqua" w:hAnsi="Book Antiqua" w:cs="Arial"/>
        </w:rPr>
        <w:t>:</w:t>
      </w:r>
      <w:r w:rsidRPr="004E68D4">
        <w:rPr>
          <w:rFonts w:ascii="Book Antiqua" w:hAnsi="Book Antiqua" w:cs="Arial"/>
        </w:rPr>
        <w:tab/>
      </w:r>
      <w:r w:rsidR="00590F7B">
        <w:rPr>
          <w:rFonts w:ascii="Book Antiqua" w:hAnsi="Book Antiqua" w:cs="Arial"/>
        </w:rPr>
        <w:t>Miss H. Aboni</w:t>
      </w:r>
      <w:r w:rsidR="001D2779">
        <w:rPr>
          <w:rFonts w:ascii="Book Antiqua" w:hAnsi="Book Antiqua" w:cs="Arial"/>
        </w:rPr>
        <w:t>, Senior Presenting Officer</w:t>
      </w:r>
    </w:p>
    <w:p w:rsidR="00F461E0" w:rsidRPr="004E68D4" w:rsidRDefault="00DE7DB7" w:rsidP="00F461E0">
      <w:pPr>
        <w:tabs>
          <w:tab w:val="left" w:pos="2520"/>
        </w:tabs>
        <w:rPr>
          <w:rFonts w:ascii="Book Antiqua" w:hAnsi="Book Antiqua" w:cs="Arial"/>
        </w:rPr>
      </w:pPr>
      <w:r w:rsidRPr="004E68D4">
        <w:rPr>
          <w:rFonts w:ascii="Book Antiqua" w:hAnsi="Book Antiqua" w:cs="Arial"/>
        </w:rPr>
        <w:t xml:space="preserve">For the </w:t>
      </w:r>
      <w:r w:rsidR="00714EE4">
        <w:rPr>
          <w:rFonts w:ascii="Book Antiqua" w:hAnsi="Book Antiqua" w:cs="Arial"/>
        </w:rPr>
        <w:t>Respondent</w:t>
      </w:r>
      <w:r w:rsidRPr="004E68D4">
        <w:rPr>
          <w:rFonts w:ascii="Book Antiqua" w:hAnsi="Book Antiqua" w:cs="Arial"/>
        </w:rPr>
        <w:t>:</w:t>
      </w:r>
      <w:r w:rsidRPr="004E68D4">
        <w:rPr>
          <w:rFonts w:ascii="Book Antiqua" w:hAnsi="Book Antiqua" w:cs="Arial"/>
        </w:rPr>
        <w:tab/>
      </w:r>
      <w:r w:rsidR="00285DEE">
        <w:rPr>
          <w:rFonts w:ascii="Book Antiqua" w:hAnsi="Book Antiqua" w:cs="Arial"/>
        </w:rPr>
        <w:t>Mr Yusuf</w:t>
      </w:r>
      <w:r w:rsidR="001D2779">
        <w:rPr>
          <w:rFonts w:ascii="Book Antiqua" w:hAnsi="Book Antiqua" w:cs="Arial"/>
        </w:rPr>
        <w:t xml:space="preserve"> instructed on behalf of the </w:t>
      </w:r>
      <w:r w:rsidR="00714EE4">
        <w:rPr>
          <w:rFonts w:ascii="Book Antiqua" w:hAnsi="Book Antiqua" w:cs="Arial"/>
        </w:rPr>
        <w:t>Respondent</w:t>
      </w:r>
    </w:p>
    <w:p w:rsidR="00216D8B" w:rsidRPr="004E68D4" w:rsidRDefault="00D52548" w:rsidP="00216D8B">
      <w:pPr>
        <w:tabs>
          <w:tab w:val="left" w:pos="2520"/>
        </w:tabs>
        <w:rPr>
          <w:rFonts w:ascii="Book Antiqua" w:hAnsi="Book Antiqua" w:cs="Arial"/>
        </w:rPr>
      </w:pPr>
      <w:r w:rsidRPr="004E68D4">
        <w:rPr>
          <w:rFonts w:ascii="Book Antiqua" w:hAnsi="Book Antiqua" w:cs="Arial"/>
        </w:rPr>
        <w:t xml:space="preserve"> </w:t>
      </w:r>
    </w:p>
    <w:p w:rsidR="00DE7DB7" w:rsidRPr="004E68D4" w:rsidRDefault="00DE7DB7" w:rsidP="00216D8B">
      <w:pPr>
        <w:tabs>
          <w:tab w:val="left" w:pos="2520"/>
        </w:tabs>
        <w:rPr>
          <w:rFonts w:ascii="Book Antiqua" w:hAnsi="Book Antiqua" w:cs="Arial"/>
        </w:rPr>
      </w:pPr>
    </w:p>
    <w:p w:rsidR="00D01269" w:rsidRPr="005669E5" w:rsidRDefault="00C77259" w:rsidP="005669E5">
      <w:pPr>
        <w:tabs>
          <w:tab w:val="left" w:pos="2520"/>
        </w:tabs>
        <w:jc w:val="center"/>
        <w:rPr>
          <w:rFonts w:ascii="Book Antiqua" w:hAnsi="Book Antiqua" w:cs="Arial"/>
        </w:rPr>
      </w:pPr>
      <w:r w:rsidRPr="004E68D4">
        <w:rPr>
          <w:rFonts w:ascii="Book Antiqua" w:hAnsi="Book Antiqua" w:cs="Arial"/>
          <w:b/>
          <w:u w:val="single"/>
        </w:rPr>
        <w:t xml:space="preserve">DECISION </w:t>
      </w:r>
      <w:r w:rsidR="00402B9E" w:rsidRPr="004E68D4">
        <w:rPr>
          <w:rFonts w:ascii="Book Antiqua" w:hAnsi="Book Antiqua" w:cs="Arial"/>
          <w:b/>
          <w:u w:val="single"/>
        </w:rPr>
        <w:t>AND REASONS</w:t>
      </w:r>
    </w:p>
    <w:p w:rsidR="00DD28A6" w:rsidRPr="00FA67CB" w:rsidRDefault="00DD28A6" w:rsidP="00DD28A6">
      <w:pPr>
        <w:spacing w:before="240"/>
        <w:ind w:left="567"/>
        <w:jc w:val="both"/>
        <w:rPr>
          <w:rFonts w:ascii="Book Antiqua" w:hAnsi="Book Antiqua" w:cs="Arial"/>
          <w:b/>
        </w:rPr>
      </w:pPr>
      <w:r w:rsidRPr="00FA67CB">
        <w:rPr>
          <w:rFonts w:ascii="Book Antiqua" w:hAnsi="Book Antiqua"/>
          <w:b/>
        </w:rPr>
        <w:t xml:space="preserve">Rule 14: The </w:t>
      </w:r>
      <w:r w:rsidR="00714EE4">
        <w:rPr>
          <w:rFonts w:ascii="Book Antiqua" w:hAnsi="Book Antiqua"/>
          <w:b/>
        </w:rPr>
        <w:t>Tribunal</w:t>
      </w:r>
      <w:r w:rsidRPr="00FA67CB">
        <w:rPr>
          <w:rFonts w:ascii="Book Antiqua" w:hAnsi="Book Antiqua"/>
          <w:b/>
        </w:rPr>
        <w:t xml:space="preserve"> Procedure (Upper </w:t>
      </w:r>
      <w:r w:rsidR="00714EE4">
        <w:rPr>
          <w:rFonts w:ascii="Book Antiqua" w:hAnsi="Book Antiqua"/>
          <w:b/>
        </w:rPr>
        <w:t>Tribunal</w:t>
      </w:r>
      <w:r w:rsidRPr="00FA67CB">
        <w:rPr>
          <w:rFonts w:ascii="Book Antiqua" w:hAnsi="Book Antiqua"/>
          <w:b/>
        </w:rPr>
        <w:t xml:space="preserve">) Rules 2008 </w:t>
      </w:r>
      <w:r w:rsidRPr="00FA67CB">
        <w:rPr>
          <w:rFonts w:ascii="Book Antiqua" w:hAnsi="Book Antiqua"/>
          <w:b/>
        </w:rPr>
        <w:br/>
      </w:r>
      <w:r w:rsidR="00541C0C" w:rsidRPr="00FA67CB">
        <w:rPr>
          <w:rFonts w:ascii="Book Antiqua" w:hAnsi="Book Antiqua"/>
          <w:b/>
        </w:rPr>
        <w:t>unless</w:t>
      </w:r>
      <w:r w:rsidRPr="00FA67CB">
        <w:rPr>
          <w:rFonts w:ascii="Book Antiqua" w:hAnsi="Book Antiqua"/>
          <w:b/>
        </w:rPr>
        <w:t xml:space="preserve"> and until a </w:t>
      </w:r>
      <w:r w:rsidR="00714EE4">
        <w:rPr>
          <w:rFonts w:ascii="Book Antiqua" w:hAnsi="Book Antiqua"/>
          <w:b/>
        </w:rPr>
        <w:t>Tribunal</w:t>
      </w:r>
      <w:r w:rsidRPr="00FA67CB">
        <w:rPr>
          <w:rFonts w:ascii="Book Antiqua" w:hAnsi="Book Antiqua"/>
          <w:b/>
        </w:rPr>
        <w:t xml:space="preserve"> or court direc</w:t>
      </w:r>
      <w:r>
        <w:rPr>
          <w:rFonts w:ascii="Book Antiqua" w:hAnsi="Book Antiqua"/>
          <w:b/>
        </w:rPr>
        <w:t xml:space="preserve">ts otherwise, the </w:t>
      </w:r>
      <w:r w:rsidR="00714EE4">
        <w:rPr>
          <w:rFonts w:ascii="Book Antiqua" w:hAnsi="Book Antiqua"/>
          <w:b/>
        </w:rPr>
        <w:t>Appellant</w:t>
      </w:r>
      <w:r>
        <w:rPr>
          <w:rFonts w:ascii="Book Antiqua" w:hAnsi="Book Antiqua"/>
          <w:b/>
        </w:rPr>
        <w:t xml:space="preserve"> is</w:t>
      </w:r>
      <w:r w:rsidRPr="00FA67CB">
        <w:rPr>
          <w:rFonts w:ascii="Book Antiqua" w:hAnsi="Book Antiqua"/>
          <w:b/>
        </w:rPr>
        <w:t xml:space="preserve"> granted anonymity. No report of these proceedings shall dire</w:t>
      </w:r>
      <w:r>
        <w:rPr>
          <w:rFonts w:ascii="Book Antiqua" w:hAnsi="Book Antiqua"/>
          <w:b/>
        </w:rPr>
        <w:t>ctly or indirectly identify him or any member of his</w:t>
      </w:r>
      <w:r w:rsidRPr="00FA67CB">
        <w:rPr>
          <w:rFonts w:ascii="Book Antiqua" w:hAnsi="Book Antiqua"/>
          <w:b/>
        </w:rPr>
        <w:t xml:space="preserve"> family. This direction applies both to the </w:t>
      </w:r>
      <w:r w:rsidR="00714EE4">
        <w:rPr>
          <w:rFonts w:ascii="Book Antiqua" w:hAnsi="Book Antiqua"/>
          <w:b/>
        </w:rPr>
        <w:t>Appellant</w:t>
      </w:r>
      <w:r w:rsidRPr="00FA67CB">
        <w:rPr>
          <w:rFonts w:ascii="Book Antiqua" w:hAnsi="Book Antiqua"/>
          <w:b/>
        </w:rPr>
        <w:t xml:space="preserve"> and to the </w:t>
      </w:r>
      <w:r w:rsidR="00714EE4">
        <w:rPr>
          <w:rFonts w:ascii="Book Antiqua" w:hAnsi="Book Antiqua"/>
          <w:b/>
        </w:rPr>
        <w:t>Respondent</w:t>
      </w:r>
      <w:r w:rsidRPr="00FA67CB">
        <w:rPr>
          <w:rFonts w:ascii="Book Antiqua" w:hAnsi="Book Antiqua"/>
          <w:b/>
        </w:rPr>
        <w:t>.</w:t>
      </w:r>
      <w:r w:rsidRPr="00FA67CB">
        <w:rPr>
          <w:rFonts w:ascii="Book Antiqua" w:hAnsi="Book Antiqua" w:cs="Arial"/>
          <w:b/>
        </w:rPr>
        <w:tab/>
      </w:r>
    </w:p>
    <w:p w:rsidR="00DD28A6" w:rsidRPr="00FA67CB" w:rsidRDefault="00DD28A6" w:rsidP="00DD28A6">
      <w:pPr>
        <w:rPr>
          <w:b/>
        </w:rPr>
      </w:pPr>
    </w:p>
    <w:p w:rsidR="005F7940" w:rsidRPr="00541C0C" w:rsidRDefault="005F7940" w:rsidP="002B1AE7">
      <w:pPr>
        <w:numPr>
          <w:ilvl w:val="0"/>
          <w:numId w:val="3"/>
        </w:numPr>
        <w:spacing w:before="240"/>
        <w:jc w:val="both"/>
        <w:rPr>
          <w:rFonts w:ascii="Book Antiqua" w:hAnsi="Book Antiqua" w:cs="Arial"/>
        </w:rPr>
      </w:pPr>
      <w:r w:rsidRPr="00541C0C">
        <w:rPr>
          <w:rFonts w:ascii="Book Antiqua" w:hAnsi="Book Antiqua" w:cs="Arial"/>
        </w:rPr>
        <w:lastRenderedPageBreak/>
        <w:t xml:space="preserve">The </w:t>
      </w:r>
      <w:r w:rsidR="001D2779" w:rsidRPr="00541C0C">
        <w:rPr>
          <w:rFonts w:ascii="Book Antiqua" w:hAnsi="Book Antiqua" w:cs="Arial"/>
        </w:rPr>
        <w:t xml:space="preserve">Secretary of </w:t>
      </w:r>
      <w:r w:rsidR="00541C0C" w:rsidRPr="00541C0C">
        <w:rPr>
          <w:rFonts w:ascii="Book Antiqua" w:hAnsi="Book Antiqua" w:cs="Arial"/>
        </w:rPr>
        <w:t>State with</w:t>
      </w:r>
      <w:r w:rsidRPr="00541C0C">
        <w:rPr>
          <w:rFonts w:ascii="Book Antiqua" w:hAnsi="Book Antiqua" w:cs="Arial"/>
        </w:rPr>
        <w:t xml:space="preserve"> permission, appeals against the decision of the </w:t>
      </w:r>
      <w:r w:rsidR="005A1CFD" w:rsidRPr="00541C0C">
        <w:rPr>
          <w:rFonts w:ascii="Book Antiqua" w:hAnsi="Book Antiqua" w:cs="Arial"/>
        </w:rPr>
        <w:t>First</w:t>
      </w:r>
      <w:r w:rsidRPr="00541C0C">
        <w:rPr>
          <w:rFonts w:ascii="Book Antiqua" w:hAnsi="Book Antiqua" w:cs="Arial"/>
        </w:rPr>
        <w:t xml:space="preserve">-tier </w:t>
      </w:r>
      <w:r w:rsidR="00714EE4">
        <w:rPr>
          <w:rFonts w:ascii="Book Antiqua" w:hAnsi="Book Antiqua" w:cs="Arial"/>
        </w:rPr>
        <w:t>Tribunal</w:t>
      </w:r>
      <w:r w:rsidR="00D52548" w:rsidRPr="00541C0C">
        <w:rPr>
          <w:rFonts w:ascii="Book Antiqua" w:hAnsi="Book Antiqua" w:cs="Arial"/>
        </w:rPr>
        <w:t xml:space="preserve"> (Judge</w:t>
      </w:r>
      <w:r w:rsidR="00590F7B">
        <w:rPr>
          <w:rFonts w:ascii="Book Antiqua" w:hAnsi="Book Antiqua" w:cs="Arial"/>
        </w:rPr>
        <w:t xml:space="preserve"> Chohan</w:t>
      </w:r>
      <w:r w:rsidRPr="00541C0C">
        <w:rPr>
          <w:rFonts w:ascii="Book Antiqua" w:hAnsi="Book Antiqua" w:cs="Arial"/>
        </w:rPr>
        <w:t xml:space="preserve">) who, in a determination promulgated on </w:t>
      </w:r>
      <w:r w:rsidR="00D52548" w:rsidRPr="00541C0C">
        <w:rPr>
          <w:rFonts w:ascii="Book Antiqua" w:hAnsi="Book Antiqua" w:cs="Arial"/>
        </w:rPr>
        <w:t>the</w:t>
      </w:r>
      <w:r w:rsidR="001D2779" w:rsidRPr="00541C0C">
        <w:rPr>
          <w:rFonts w:ascii="Book Antiqua" w:hAnsi="Book Antiqua" w:cs="Arial"/>
        </w:rPr>
        <w:t xml:space="preserve"> </w:t>
      </w:r>
      <w:r w:rsidR="00590F7B">
        <w:rPr>
          <w:rFonts w:ascii="Book Antiqua" w:hAnsi="Book Antiqua" w:cs="Arial"/>
        </w:rPr>
        <w:t>20</w:t>
      </w:r>
      <w:r w:rsidR="00590F7B" w:rsidRPr="00590F7B">
        <w:rPr>
          <w:rFonts w:ascii="Book Antiqua" w:hAnsi="Book Antiqua" w:cs="Arial"/>
          <w:vertAlign w:val="superscript"/>
        </w:rPr>
        <w:t>th</w:t>
      </w:r>
      <w:r w:rsidR="00590F7B">
        <w:rPr>
          <w:rFonts w:ascii="Book Antiqua" w:hAnsi="Book Antiqua" w:cs="Arial"/>
        </w:rPr>
        <w:t xml:space="preserve"> October</w:t>
      </w:r>
      <w:r w:rsidR="001D2779" w:rsidRPr="00541C0C">
        <w:rPr>
          <w:rFonts w:ascii="Book Antiqua" w:hAnsi="Book Antiqua" w:cs="Arial"/>
        </w:rPr>
        <w:t xml:space="preserve"> 2017 allowed</w:t>
      </w:r>
      <w:r w:rsidR="00D52548" w:rsidRPr="00541C0C">
        <w:rPr>
          <w:rFonts w:ascii="Book Antiqua" w:hAnsi="Book Antiqua" w:cs="Arial"/>
        </w:rPr>
        <w:t xml:space="preserve"> his appeal</w:t>
      </w:r>
      <w:r w:rsidR="00F461E0" w:rsidRPr="00541C0C">
        <w:rPr>
          <w:rFonts w:ascii="Book Antiqua" w:hAnsi="Book Antiqua" w:cs="Arial"/>
        </w:rPr>
        <w:t xml:space="preserve"> against the decision of the </w:t>
      </w:r>
      <w:r w:rsidR="00714EE4">
        <w:rPr>
          <w:rFonts w:ascii="Book Antiqua" w:hAnsi="Book Antiqua" w:cs="Arial"/>
        </w:rPr>
        <w:t>Respondent</w:t>
      </w:r>
      <w:r w:rsidR="00B63EFA" w:rsidRPr="00541C0C">
        <w:rPr>
          <w:rFonts w:ascii="Book Antiqua" w:hAnsi="Book Antiqua" w:cs="Arial"/>
        </w:rPr>
        <w:t xml:space="preserve"> to refuse his </w:t>
      </w:r>
      <w:r w:rsidR="001D2779" w:rsidRPr="00541C0C">
        <w:rPr>
          <w:rFonts w:ascii="Book Antiqua" w:hAnsi="Book Antiqua" w:cs="Arial"/>
        </w:rPr>
        <w:t xml:space="preserve">application for leave to remain </w:t>
      </w:r>
      <w:r w:rsidR="00541C0C" w:rsidRPr="00541C0C">
        <w:rPr>
          <w:rFonts w:ascii="Book Antiqua" w:hAnsi="Book Antiqua" w:cs="Arial"/>
        </w:rPr>
        <w:t>and on</w:t>
      </w:r>
      <w:r w:rsidR="00A56A88" w:rsidRPr="00541C0C">
        <w:rPr>
          <w:rFonts w:ascii="Book Antiqua" w:hAnsi="Book Antiqua" w:cs="Arial"/>
        </w:rPr>
        <w:t xml:space="preserve"> human</w:t>
      </w:r>
      <w:r w:rsidRPr="00541C0C">
        <w:rPr>
          <w:rFonts w:ascii="Book Antiqua" w:hAnsi="Book Antiqua" w:cs="Arial"/>
        </w:rPr>
        <w:t xml:space="preserve"> rights grounds</w:t>
      </w:r>
      <w:r w:rsidR="00B64516" w:rsidRPr="00541C0C">
        <w:rPr>
          <w:rFonts w:ascii="Book Antiqua" w:hAnsi="Book Antiqua" w:cs="Arial"/>
        </w:rPr>
        <w:t xml:space="preserve"> </w:t>
      </w:r>
      <w:r w:rsidR="005015B3" w:rsidRPr="00541C0C">
        <w:rPr>
          <w:rFonts w:ascii="Book Antiqua" w:hAnsi="Book Antiqua" w:cs="Arial"/>
        </w:rPr>
        <w:t>(</w:t>
      </w:r>
      <w:r w:rsidR="00714EE4">
        <w:rPr>
          <w:rFonts w:ascii="Book Antiqua" w:hAnsi="Book Antiqua" w:cs="Arial"/>
        </w:rPr>
        <w:t xml:space="preserve">Article </w:t>
      </w:r>
      <w:r w:rsidRPr="00541C0C">
        <w:rPr>
          <w:rFonts w:ascii="Book Antiqua" w:hAnsi="Book Antiqua" w:cs="Arial"/>
        </w:rPr>
        <w:t xml:space="preserve">8). </w:t>
      </w:r>
    </w:p>
    <w:p w:rsidR="00E14F84" w:rsidRPr="00541C0C" w:rsidRDefault="00E14F84" w:rsidP="002B1AE7">
      <w:pPr>
        <w:numPr>
          <w:ilvl w:val="0"/>
          <w:numId w:val="3"/>
        </w:numPr>
        <w:spacing w:before="240"/>
        <w:jc w:val="both"/>
        <w:rPr>
          <w:rFonts w:ascii="Book Antiqua" w:hAnsi="Book Antiqua" w:cs="Arial"/>
        </w:rPr>
      </w:pPr>
      <w:r w:rsidRPr="00541C0C">
        <w:rPr>
          <w:rFonts w:ascii="Book Antiqua" w:hAnsi="Book Antiqua" w:cs="Arial"/>
        </w:rPr>
        <w:t xml:space="preserve">Whilst the Secretary of State is the </w:t>
      </w:r>
      <w:r w:rsidR="00714EE4">
        <w:rPr>
          <w:rFonts w:ascii="Book Antiqua" w:hAnsi="Book Antiqua" w:cs="Arial"/>
        </w:rPr>
        <w:t>Appellant</w:t>
      </w:r>
      <w:r w:rsidRPr="00541C0C">
        <w:rPr>
          <w:rFonts w:ascii="Book Antiqua" w:hAnsi="Book Antiqua" w:cs="Arial"/>
        </w:rPr>
        <w:t xml:space="preserve">, for the sake of convenience I intend to refer to the parties as they were before the First-tier </w:t>
      </w:r>
      <w:r w:rsidR="00714EE4">
        <w:rPr>
          <w:rFonts w:ascii="Book Antiqua" w:hAnsi="Book Antiqua" w:cs="Arial"/>
        </w:rPr>
        <w:t>Tribunal</w:t>
      </w:r>
      <w:r w:rsidRPr="00541C0C">
        <w:rPr>
          <w:rFonts w:ascii="Book Antiqua" w:hAnsi="Book Antiqua" w:cs="Arial"/>
        </w:rPr>
        <w:t>.</w:t>
      </w:r>
    </w:p>
    <w:p w:rsidR="00B64516" w:rsidRDefault="00AD7697" w:rsidP="002B1AE7">
      <w:pPr>
        <w:numPr>
          <w:ilvl w:val="0"/>
          <w:numId w:val="3"/>
        </w:numPr>
        <w:spacing w:before="240"/>
        <w:jc w:val="both"/>
        <w:rPr>
          <w:rFonts w:ascii="Book Antiqua" w:hAnsi="Book Antiqua" w:cs="Arial"/>
        </w:rPr>
      </w:pPr>
      <w:r w:rsidRPr="00541C0C">
        <w:rPr>
          <w:rFonts w:ascii="Book Antiqua" w:hAnsi="Book Antiqua" w:cs="Arial"/>
        </w:rPr>
        <w:t xml:space="preserve">The </w:t>
      </w:r>
      <w:r w:rsidR="00714EE4">
        <w:rPr>
          <w:rFonts w:ascii="Book Antiqua" w:hAnsi="Book Antiqua" w:cs="Arial"/>
        </w:rPr>
        <w:t>Appellant</w:t>
      </w:r>
      <w:r w:rsidR="00590F7B">
        <w:rPr>
          <w:rFonts w:ascii="Book Antiqua" w:hAnsi="Book Antiqua" w:cs="Arial"/>
        </w:rPr>
        <w:t xml:space="preserve"> is a national of Pakistan</w:t>
      </w:r>
      <w:r w:rsidR="00DD28A6" w:rsidRPr="00541C0C">
        <w:rPr>
          <w:rFonts w:ascii="Book Antiqua" w:hAnsi="Book Antiqua" w:cs="Arial"/>
        </w:rPr>
        <w:t>. His</w:t>
      </w:r>
      <w:r w:rsidRPr="00541C0C">
        <w:rPr>
          <w:rFonts w:ascii="Book Antiqua" w:hAnsi="Book Antiqua" w:cs="Arial"/>
        </w:rPr>
        <w:t xml:space="preserve"> immigration history</w:t>
      </w:r>
      <w:r w:rsidR="006A4535" w:rsidRPr="00541C0C">
        <w:rPr>
          <w:rFonts w:ascii="Book Antiqua" w:hAnsi="Book Antiqua" w:cs="Arial"/>
        </w:rPr>
        <w:t xml:space="preserve"> </w:t>
      </w:r>
      <w:r w:rsidRPr="00541C0C">
        <w:rPr>
          <w:rFonts w:ascii="Book Antiqua" w:hAnsi="Book Antiqua" w:cs="Arial"/>
        </w:rPr>
        <w:t xml:space="preserve">is set out within the </w:t>
      </w:r>
      <w:r w:rsidR="00601B0B" w:rsidRPr="00541C0C">
        <w:rPr>
          <w:rFonts w:ascii="Book Antiqua" w:hAnsi="Book Antiqua" w:cs="Arial"/>
        </w:rPr>
        <w:t xml:space="preserve">determination </w:t>
      </w:r>
      <w:r w:rsidR="00216D8B" w:rsidRPr="00541C0C">
        <w:rPr>
          <w:rFonts w:ascii="Book Antiqua" w:hAnsi="Book Antiqua" w:cs="Arial"/>
        </w:rPr>
        <w:t xml:space="preserve">at </w:t>
      </w:r>
      <w:r w:rsidR="00A66BB2" w:rsidRPr="00541C0C">
        <w:rPr>
          <w:rFonts w:ascii="Book Antiqua" w:hAnsi="Book Antiqua" w:cs="Arial"/>
        </w:rPr>
        <w:t>paragraph</w:t>
      </w:r>
      <w:r w:rsidR="008B6D20">
        <w:rPr>
          <w:rFonts w:ascii="Book Antiqua" w:hAnsi="Book Antiqua" w:cs="Arial"/>
        </w:rPr>
        <w:t>s</w:t>
      </w:r>
      <w:r w:rsidR="00A66BB2" w:rsidRPr="00541C0C">
        <w:rPr>
          <w:rFonts w:ascii="Book Antiqua" w:hAnsi="Book Antiqua" w:cs="Arial"/>
        </w:rPr>
        <w:t xml:space="preserve"> </w:t>
      </w:r>
      <w:r w:rsidR="00590F7B">
        <w:rPr>
          <w:rFonts w:ascii="Book Antiqua" w:hAnsi="Book Antiqua" w:cs="Arial"/>
        </w:rPr>
        <w:t>2-5</w:t>
      </w:r>
      <w:r w:rsidR="00285DEE">
        <w:rPr>
          <w:rFonts w:ascii="Book Antiqua" w:hAnsi="Book Antiqua" w:cs="Arial"/>
        </w:rPr>
        <w:t xml:space="preserve"> of the </w:t>
      </w:r>
      <w:proofErr w:type="spellStart"/>
      <w:r w:rsidR="00285DEE">
        <w:rPr>
          <w:rFonts w:ascii="Book Antiqua" w:hAnsi="Book Antiqua" w:cs="Arial"/>
        </w:rPr>
        <w:t>Ft</w:t>
      </w:r>
      <w:r w:rsidR="00B64516" w:rsidRPr="00541C0C">
        <w:rPr>
          <w:rFonts w:ascii="Book Antiqua" w:hAnsi="Book Antiqua" w:cs="Arial"/>
        </w:rPr>
        <w:t>T</w:t>
      </w:r>
      <w:proofErr w:type="spellEnd"/>
      <w:r w:rsidR="00B64516" w:rsidRPr="00541C0C">
        <w:rPr>
          <w:rFonts w:ascii="Book Antiqua" w:hAnsi="Book Antiqua" w:cs="Arial"/>
        </w:rPr>
        <w:t xml:space="preserve"> determination</w:t>
      </w:r>
      <w:r w:rsidRPr="00541C0C">
        <w:rPr>
          <w:rFonts w:ascii="Book Antiqua" w:hAnsi="Book Antiqua" w:cs="Arial"/>
        </w:rPr>
        <w:t xml:space="preserve"> and in the decision letter issued by the </w:t>
      </w:r>
      <w:r w:rsidR="005A1CFD" w:rsidRPr="00541C0C">
        <w:rPr>
          <w:rFonts w:ascii="Book Antiqua" w:hAnsi="Book Antiqua" w:cs="Arial"/>
        </w:rPr>
        <w:t>Secretary</w:t>
      </w:r>
      <w:r w:rsidRPr="00541C0C">
        <w:rPr>
          <w:rFonts w:ascii="Book Antiqua" w:hAnsi="Book Antiqua" w:cs="Arial"/>
        </w:rPr>
        <w:t xml:space="preserve"> of State</w:t>
      </w:r>
      <w:r w:rsidR="00B63EFA" w:rsidRPr="00541C0C">
        <w:rPr>
          <w:rFonts w:ascii="Book Antiqua" w:hAnsi="Book Antiqua" w:cs="Arial"/>
        </w:rPr>
        <w:t xml:space="preserve"> of the </w:t>
      </w:r>
      <w:r w:rsidR="00590F7B">
        <w:rPr>
          <w:rFonts w:ascii="Book Antiqua" w:hAnsi="Book Antiqua" w:cs="Arial"/>
        </w:rPr>
        <w:t>3</w:t>
      </w:r>
      <w:r w:rsidR="00590F7B" w:rsidRPr="00590F7B">
        <w:rPr>
          <w:rFonts w:ascii="Book Antiqua" w:hAnsi="Book Antiqua" w:cs="Arial"/>
          <w:vertAlign w:val="superscript"/>
        </w:rPr>
        <w:t>rd</w:t>
      </w:r>
      <w:r w:rsidR="00590F7B">
        <w:rPr>
          <w:rFonts w:ascii="Book Antiqua" w:hAnsi="Book Antiqua" w:cs="Arial"/>
        </w:rPr>
        <w:t xml:space="preserve"> March</w:t>
      </w:r>
      <w:r w:rsidR="00DD28A6" w:rsidRPr="00541C0C">
        <w:rPr>
          <w:rFonts w:ascii="Book Antiqua" w:hAnsi="Book Antiqua" w:cs="Arial"/>
        </w:rPr>
        <w:t xml:space="preserve"> 2016</w:t>
      </w:r>
      <w:r w:rsidR="005669E5" w:rsidRPr="00541C0C">
        <w:rPr>
          <w:rFonts w:ascii="Book Antiqua" w:hAnsi="Book Antiqua" w:cs="Arial"/>
        </w:rPr>
        <w:t xml:space="preserve">. </w:t>
      </w:r>
      <w:r w:rsidR="001C0DE6" w:rsidRPr="00541C0C">
        <w:rPr>
          <w:rFonts w:ascii="Book Antiqua" w:hAnsi="Book Antiqua" w:cs="Arial"/>
        </w:rPr>
        <w:t>It can be summarised briefly as follows.</w:t>
      </w:r>
      <w:r w:rsidR="00980906">
        <w:rPr>
          <w:rFonts w:ascii="Book Antiqua" w:hAnsi="Book Antiqua" w:cs="Arial"/>
        </w:rPr>
        <w:t xml:space="preserve"> The </w:t>
      </w:r>
      <w:r w:rsidR="00714EE4">
        <w:rPr>
          <w:rFonts w:ascii="Book Antiqua" w:hAnsi="Book Antiqua" w:cs="Arial"/>
        </w:rPr>
        <w:t>Appellant</w:t>
      </w:r>
      <w:r w:rsidR="00980906">
        <w:rPr>
          <w:rFonts w:ascii="Book Antiqua" w:hAnsi="Book Antiqua" w:cs="Arial"/>
        </w:rPr>
        <w:t xml:space="preserve"> entered the United Kingdom in January 2011 with leave to enter as a Tier 4 Gen</w:t>
      </w:r>
      <w:r w:rsidR="00285DEE">
        <w:rPr>
          <w:rFonts w:ascii="Book Antiqua" w:hAnsi="Book Antiqua" w:cs="Arial"/>
        </w:rPr>
        <w:t>eral</w:t>
      </w:r>
      <w:r w:rsidR="00980906">
        <w:rPr>
          <w:rFonts w:ascii="Book Antiqua" w:hAnsi="Book Antiqua" w:cs="Arial"/>
        </w:rPr>
        <w:t xml:space="preserve"> student valid until 31 May 2012. Further extensions of stay were granted in October 2013 and until 29 March 2015.</w:t>
      </w:r>
    </w:p>
    <w:p w:rsidR="00980906" w:rsidRDefault="00980906" w:rsidP="002B1AE7">
      <w:pPr>
        <w:numPr>
          <w:ilvl w:val="0"/>
          <w:numId w:val="3"/>
        </w:numPr>
        <w:spacing w:before="240"/>
        <w:jc w:val="both"/>
        <w:rPr>
          <w:rFonts w:ascii="Book Antiqua" w:hAnsi="Book Antiqua" w:cs="Arial"/>
        </w:rPr>
      </w:pPr>
      <w:r>
        <w:rPr>
          <w:rFonts w:ascii="Book Antiqua" w:hAnsi="Book Antiqua" w:cs="Arial"/>
        </w:rPr>
        <w:t>On 27 March 2015 he applied for leave to remain as a partner. In the alternative he raised the issue that he had established a family life with a British partner and child in the UK and that he had family and friends in the UK, therefore could not return to Pakistan.</w:t>
      </w:r>
    </w:p>
    <w:p w:rsidR="00980906" w:rsidRDefault="00980906" w:rsidP="002B1AE7">
      <w:pPr>
        <w:numPr>
          <w:ilvl w:val="0"/>
          <w:numId w:val="3"/>
        </w:numPr>
        <w:spacing w:before="240"/>
        <w:jc w:val="both"/>
        <w:rPr>
          <w:rFonts w:ascii="Book Antiqua" w:hAnsi="Book Antiqua" w:cs="Arial"/>
        </w:rPr>
      </w:pPr>
      <w:r>
        <w:rPr>
          <w:rFonts w:ascii="Book Antiqua" w:hAnsi="Book Antiqua" w:cs="Arial"/>
        </w:rPr>
        <w:t xml:space="preserve">He was invited to an interview along with his partner on 25 February 2016. There is a copy of the interview template in the </w:t>
      </w:r>
      <w:r w:rsidR="00714EE4">
        <w:rPr>
          <w:rFonts w:ascii="Book Antiqua" w:hAnsi="Book Antiqua" w:cs="Arial"/>
        </w:rPr>
        <w:t>Tribunal</w:t>
      </w:r>
      <w:r>
        <w:rPr>
          <w:rFonts w:ascii="Book Antiqua" w:hAnsi="Book Antiqua" w:cs="Arial"/>
        </w:rPr>
        <w:t xml:space="preserve"> papers before the First-tier </w:t>
      </w:r>
      <w:r w:rsidR="00714EE4">
        <w:rPr>
          <w:rFonts w:ascii="Book Antiqua" w:hAnsi="Book Antiqua" w:cs="Arial"/>
        </w:rPr>
        <w:t>Tribunal</w:t>
      </w:r>
      <w:r>
        <w:rPr>
          <w:rFonts w:ascii="Book Antiqua" w:hAnsi="Book Antiqua" w:cs="Arial"/>
        </w:rPr>
        <w:t>.</w:t>
      </w:r>
    </w:p>
    <w:p w:rsidR="0028529C" w:rsidRPr="00980906" w:rsidRDefault="00980906" w:rsidP="002B1AE7">
      <w:pPr>
        <w:numPr>
          <w:ilvl w:val="0"/>
          <w:numId w:val="3"/>
        </w:numPr>
        <w:spacing w:before="240"/>
        <w:jc w:val="both"/>
        <w:rPr>
          <w:rFonts w:ascii="Book Antiqua" w:hAnsi="Book Antiqua" w:cs="Arial"/>
        </w:rPr>
      </w:pPr>
      <w:r>
        <w:rPr>
          <w:rFonts w:ascii="Book Antiqua" w:hAnsi="Book Antiqua" w:cs="Arial"/>
        </w:rPr>
        <w:t xml:space="preserve">In a decision letter dated 3 March 2016 the </w:t>
      </w:r>
      <w:r w:rsidR="00714EE4">
        <w:rPr>
          <w:rFonts w:ascii="Book Antiqua" w:hAnsi="Book Antiqua" w:cs="Arial"/>
        </w:rPr>
        <w:t>Respondent</w:t>
      </w:r>
      <w:r>
        <w:rPr>
          <w:rFonts w:ascii="Book Antiqua" w:hAnsi="Book Antiqua" w:cs="Arial"/>
        </w:rPr>
        <w:t xml:space="preserve"> refused that application. T</w:t>
      </w:r>
      <w:r w:rsidR="0028529C" w:rsidRPr="00980906">
        <w:rPr>
          <w:rFonts w:ascii="Book Antiqua" w:hAnsi="Book Antiqua" w:cs="Arial"/>
        </w:rPr>
        <w:t xml:space="preserve">he decision letter can be summarised as follows. The Secretary of State considered whether the </w:t>
      </w:r>
      <w:r w:rsidR="00714EE4">
        <w:rPr>
          <w:rFonts w:ascii="Book Antiqua" w:hAnsi="Book Antiqua" w:cs="Arial"/>
        </w:rPr>
        <w:t>Appellant</w:t>
      </w:r>
      <w:r w:rsidR="0028529C" w:rsidRPr="00980906">
        <w:rPr>
          <w:rFonts w:ascii="Book Antiqua" w:hAnsi="Book Antiqua" w:cs="Arial"/>
        </w:rPr>
        <w:t xml:space="preserve"> met the suitability requirements but considered that his presence in the UK was not conducive to the public good because his conduct made it undesirable to grant leave to re</w:t>
      </w:r>
      <w:r w:rsidR="008B6D20" w:rsidRPr="00980906">
        <w:rPr>
          <w:rFonts w:ascii="Book Antiqua" w:hAnsi="Book Antiqua" w:cs="Arial"/>
        </w:rPr>
        <w:t>main and therefore S-LTR1.6 of A</w:t>
      </w:r>
      <w:r w:rsidR="0028529C" w:rsidRPr="00980906">
        <w:rPr>
          <w:rFonts w:ascii="Book Antiqua" w:hAnsi="Book Antiqua" w:cs="Arial"/>
        </w:rPr>
        <w:t xml:space="preserve">ppendix FM applied. </w:t>
      </w:r>
      <w:r w:rsidR="00590F7B" w:rsidRPr="00980906">
        <w:rPr>
          <w:rFonts w:ascii="Book Antiqua" w:hAnsi="Book Antiqua" w:cs="Arial"/>
        </w:rPr>
        <w:t>E</w:t>
      </w:r>
      <w:r w:rsidR="0028529C" w:rsidRPr="00980906">
        <w:rPr>
          <w:rFonts w:ascii="Book Antiqua" w:hAnsi="Book Antiqua" w:cs="Arial"/>
        </w:rPr>
        <w:t>ssentially</w:t>
      </w:r>
      <w:r w:rsidR="008B6D20" w:rsidRPr="00980906">
        <w:rPr>
          <w:rFonts w:ascii="Book Antiqua" w:hAnsi="Book Antiqua" w:cs="Arial"/>
        </w:rPr>
        <w:t xml:space="preserve"> it was stated that</w:t>
      </w:r>
      <w:r w:rsidR="0028529C" w:rsidRPr="00980906">
        <w:rPr>
          <w:rFonts w:ascii="Book Antiqua" w:hAnsi="Book Antiqua" w:cs="Arial"/>
        </w:rPr>
        <w:t xml:space="preserve"> he had us</w:t>
      </w:r>
      <w:r w:rsidR="00285DEE">
        <w:rPr>
          <w:rFonts w:ascii="Book Antiqua" w:hAnsi="Book Antiqua" w:cs="Arial"/>
        </w:rPr>
        <w:t>ed deception in his application</w:t>
      </w:r>
      <w:r w:rsidR="0028529C" w:rsidRPr="00980906">
        <w:rPr>
          <w:rFonts w:ascii="Book Antiqua" w:hAnsi="Book Antiqua" w:cs="Arial"/>
        </w:rPr>
        <w:t xml:space="preserve"> to gain entry to the UK.</w:t>
      </w:r>
    </w:p>
    <w:p w:rsidR="00590F7B" w:rsidRDefault="0028529C" w:rsidP="002B1AE7">
      <w:pPr>
        <w:numPr>
          <w:ilvl w:val="0"/>
          <w:numId w:val="3"/>
        </w:numPr>
        <w:spacing w:before="240"/>
        <w:jc w:val="both"/>
        <w:rPr>
          <w:rFonts w:ascii="Book Antiqua" w:hAnsi="Book Antiqua" w:cs="Arial"/>
        </w:rPr>
      </w:pPr>
      <w:r w:rsidRPr="00590F7B">
        <w:rPr>
          <w:rFonts w:ascii="Book Antiqua" w:hAnsi="Book Antiqua" w:cs="Arial"/>
        </w:rPr>
        <w:t xml:space="preserve">The decision letter went on to state that it failed to meet the eligibility requirements because it was not accepted that his relationship with his partner </w:t>
      </w:r>
      <w:r w:rsidR="008B6D20" w:rsidRPr="00590F7B">
        <w:rPr>
          <w:rFonts w:ascii="Book Antiqua" w:hAnsi="Book Antiqua" w:cs="Arial"/>
        </w:rPr>
        <w:t xml:space="preserve">was </w:t>
      </w:r>
      <w:r w:rsidRPr="00590F7B">
        <w:rPr>
          <w:rFonts w:ascii="Book Antiqua" w:hAnsi="Book Antiqua" w:cs="Arial"/>
        </w:rPr>
        <w:t>genuine</w:t>
      </w:r>
      <w:r w:rsidR="008B6D20" w:rsidRPr="00590F7B">
        <w:rPr>
          <w:rFonts w:ascii="Book Antiqua" w:hAnsi="Book Antiqua" w:cs="Arial"/>
        </w:rPr>
        <w:t xml:space="preserve"> and</w:t>
      </w:r>
      <w:r w:rsidR="00590F7B">
        <w:rPr>
          <w:rFonts w:ascii="Book Antiqua" w:hAnsi="Book Antiqua" w:cs="Arial"/>
        </w:rPr>
        <w:t xml:space="preserve"> subsisting.</w:t>
      </w:r>
    </w:p>
    <w:p w:rsidR="0028529C" w:rsidRPr="00590F7B" w:rsidRDefault="0028529C" w:rsidP="002B1AE7">
      <w:pPr>
        <w:numPr>
          <w:ilvl w:val="0"/>
          <w:numId w:val="3"/>
        </w:numPr>
        <w:spacing w:before="240"/>
        <w:jc w:val="both"/>
        <w:rPr>
          <w:rFonts w:ascii="Book Antiqua" w:hAnsi="Book Antiqua" w:cs="Arial"/>
        </w:rPr>
      </w:pPr>
      <w:r w:rsidRPr="00590F7B">
        <w:rPr>
          <w:rFonts w:ascii="Book Antiqua" w:hAnsi="Book Antiqua" w:cs="Arial"/>
        </w:rPr>
        <w:t>As to EX1</w:t>
      </w:r>
      <w:r w:rsidR="008B6D20" w:rsidRPr="00590F7B">
        <w:rPr>
          <w:rFonts w:ascii="Book Antiqua" w:hAnsi="Book Antiqua" w:cs="Arial"/>
        </w:rPr>
        <w:t>,</w:t>
      </w:r>
      <w:r w:rsidRPr="00590F7B">
        <w:rPr>
          <w:rFonts w:ascii="Book Antiqua" w:hAnsi="Book Antiqua" w:cs="Arial"/>
        </w:rPr>
        <w:t xml:space="preserve"> the </w:t>
      </w:r>
      <w:r w:rsidR="00714EE4">
        <w:rPr>
          <w:rFonts w:ascii="Book Antiqua" w:hAnsi="Book Antiqua" w:cs="Arial"/>
        </w:rPr>
        <w:t>Respondent</w:t>
      </w:r>
      <w:r w:rsidRPr="00590F7B">
        <w:rPr>
          <w:rFonts w:ascii="Book Antiqua" w:hAnsi="Book Antiqua" w:cs="Arial"/>
        </w:rPr>
        <w:t xml:space="preserve"> did not accept that he had a relationship that was genuine and subsisting w</w:t>
      </w:r>
      <w:r w:rsidR="00482C74">
        <w:rPr>
          <w:rFonts w:ascii="Book Antiqua" w:hAnsi="Book Antiqua" w:cs="Arial"/>
        </w:rPr>
        <w:t>ith his partner in the UK.</w:t>
      </w:r>
      <w:r w:rsidRPr="00590F7B">
        <w:rPr>
          <w:rFonts w:ascii="Book Antiqua" w:hAnsi="Book Antiqua" w:cs="Arial"/>
        </w:rPr>
        <w:t xml:space="preserve"> </w:t>
      </w:r>
      <w:r w:rsidR="00546EBD">
        <w:rPr>
          <w:rFonts w:ascii="Book Antiqua" w:hAnsi="Book Antiqua" w:cs="Arial"/>
        </w:rPr>
        <w:t xml:space="preserve">The application </w:t>
      </w:r>
      <w:r w:rsidR="00482C74">
        <w:rPr>
          <w:rFonts w:ascii="Book Antiqua" w:hAnsi="Book Antiqua" w:cs="Arial"/>
        </w:rPr>
        <w:t xml:space="preserve">was made in March 2015 and the relevant child of the parties was not born until October 2015 and thus the decision letter did not consider the circumstances of the </w:t>
      </w:r>
      <w:r w:rsidR="00285DEE">
        <w:rPr>
          <w:rFonts w:ascii="Book Antiqua" w:hAnsi="Book Antiqua" w:cs="Arial"/>
        </w:rPr>
        <w:t>minor child born to the parties relating to EX1 but did do so later in the decision letter.</w:t>
      </w:r>
    </w:p>
    <w:p w:rsidR="0028529C" w:rsidRPr="00541C0C" w:rsidRDefault="0028529C" w:rsidP="002B1AE7">
      <w:pPr>
        <w:numPr>
          <w:ilvl w:val="0"/>
          <w:numId w:val="3"/>
        </w:numPr>
        <w:spacing w:before="240"/>
        <w:jc w:val="both"/>
        <w:rPr>
          <w:rFonts w:ascii="Book Antiqua" w:hAnsi="Book Antiqua" w:cs="Arial"/>
        </w:rPr>
      </w:pPr>
      <w:r w:rsidRPr="00541C0C">
        <w:rPr>
          <w:rFonts w:ascii="Book Antiqua" w:hAnsi="Book Antiqua" w:cs="Arial"/>
        </w:rPr>
        <w:t xml:space="preserve">It is further not accepted that he met the requirements as to private life under paragraph 276ADE. </w:t>
      </w:r>
    </w:p>
    <w:p w:rsidR="0028529C" w:rsidRPr="00541C0C" w:rsidRDefault="008B6D20" w:rsidP="002B1AE7">
      <w:pPr>
        <w:numPr>
          <w:ilvl w:val="0"/>
          <w:numId w:val="3"/>
        </w:numPr>
        <w:spacing w:before="240"/>
        <w:jc w:val="both"/>
        <w:rPr>
          <w:rFonts w:ascii="Book Antiqua" w:hAnsi="Book Antiqua" w:cs="Arial"/>
        </w:rPr>
      </w:pPr>
      <w:r>
        <w:rPr>
          <w:rFonts w:ascii="Book Antiqua" w:hAnsi="Book Antiqua" w:cs="Arial"/>
        </w:rPr>
        <w:t>As to exceptional circumstances and whether there were any</w:t>
      </w:r>
      <w:r w:rsidR="0028529C" w:rsidRPr="00541C0C">
        <w:rPr>
          <w:rFonts w:ascii="Book Antiqua" w:hAnsi="Book Antiqua" w:cs="Arial"/>
        </w:rPr>
        <w:t xml:space="preserve"> r</w:t>
      </w:r>
      <w:r>
        <w:rPr>
          <w:rFonts w:ascii="Book Antiqua" w:hAnsi="Book Antiqua" w:cs="Arial"/>
        </w:rPr>
        <w:t>elevant matters outside of the I</w:t>
      </w:r>
      <w:r w:rsidR="0028529C" w:rsidRPr="00541C0C">
        <w:rPr>
          <w:rFonts w:ascii="Book Antiqua" w:hAnsi="Book Antiqua" w:cs="Arial"/>
        </w:rPr>
        <w:t>mmigrat</w:t>
      </w:r>
      <w:r>
        <w:rPr>
          <w:rFonts w:ascii="Book Antiqua" w:hAnsi="Book Antiqua" w:cs="Arial"/>
        </w:rPr>
        <w:t>ion R</w:t>
      </w:r>
      <w:r w:rsidR="0028529C" w:rsidRPr="00541C0C">
        <w:rPr>
          <w:rFonts w:ascii="Book Antiqua" w:hAnsi="Book Antiqua" w:cs="Arial"/>
        </w:rPr>
        <w:t xml:space="preserve">ules, the decision letter made reference to </w:t>
      </w:r>
      <w:r w:rsidR="00980906">
        <w:rPr>
          <w:rFonts w:ascii="Book Antiqua" w:hAnsi="Book Antiqua" w:cs="Arial"/>
        </w:rPr>
        <w:t xml:space="preserve">the need to safeguard and promote the welfare of children in the United Kingdom in accordance with the duty under section 55 of the 2009 Act and made reference to the child of the family </w:t>
      </w:r>
      <w:r w:rsidR="00980906">
        <w:rPr>
          <w:rFonts w:ascii="Book Antiqua" w:hAnsi="Book Antiqua" w:cs="Arial"/>
        </w:rPr>
        <w:lastRenderedPageBreak/>
        <w:t xml:space="preserve">who was then aged five months. </w:t>
      </w:r>
      <w:proofErr w:type="gramStart"/>
      <w:r w:rsidR="00980906">
        <w:rPr>
          <w:rFonts w:ascii="Book Antiqua" w:hAnsi="Book Antiqua" w:cs="Arial"/>
        </w:rPr>
        <w:t>However</w:t>
      </w:r>
      <w:proofErr w:type="gramEnd"/>
      <w:r w:rsidR="00980906">
        <w:rPr>
          <w:rFonts w:ascii="Book Antiqua" w:hAnsi="Book Antiqua" w:cs="Arial"/>
        </w:rPr>
        <w:t xml:space="preserve"> the </w:t>
      </w:r>
      <w:r w:rsidR="00714EE4">
        <w:rPr>
          <w:rFonts w:ascii="Book Antiqua" w:hAnsi="Book Antiqua" w:cs="Arial"/>
        </w:rPr>
        <w:t>Respondent</w:t>
      </w:r>
      <w:r w:rsidR="00980906">
        <w:rPr>
          <w:rFonts w:ascii="Book Antiqua" w:hAnsi="Book Antiqua" w:cs="Arial"/>
        </w:rPr>
        <w:t xml:space="preserve"> made reference to the </w:t>
      </w:r>
      <w:r w:rsidR="00714EE4">
        <w:rPr>
          <w:rFonts w:ascii="Book Antiqua" w:hAnsi="Book Antiqua" w:cs="Arial"/>
        </w:rPr>
        <w:t>Appellant</w:t>
      </w:r>
      <w:r w:rsidR="00980906">
        <w:rPr>
          <w:rFonts w:ascii="Book Antiqua" w:hAnsi="Book Antiqua" w:cs="Arial"/>
        </w:rPr>
        <w:t xml:space="preserve"> having obtained an English langu</w:t>
      </w:r>
      <w:r w:rsidR="00285DEE">
        <w:rPr>
          <w:rFonts w:ascii="Book Antiqua" w:hAnsi="Book Antiqua" w:cs="Arial"/>
        </w:rPr>
        <w:t>age test fraudulently</w:t>
      </w:r>
      <w:r w:rsidR="00980906">
        <w:rPr>
          <w:rFonts w:ascii="Book Antiqua" w:hAnsi="Book Antiqua" w:cs="Arial"/>
        </w:rPr>
        <w:t xml:space="preserve"> to remain in the United Kingdom and that whilst he had a parental relati</w:t>
      </w:r>
      <w:r w:rsidR="00285DEE">
        <w:rPr>
          <w:rFonts w:ascii="Book Antiqua" w:hAnsi="Book Antiqua" w:cs="Arial"/>
        </w:rPr>
        <w:t>onship with the claimed child and</w:t>
      </w:r>
      <w:r w:rsidR="00980906">
        <w:rPr>
          <w:rFonts w:ascii="Book Antiqua" w:hAnsi="Book Antiqua" w:cs="Arial"/>
        </w:rPr>
        <w:t xml:space="preserve"> was a British citizen, the Secretary of State would not be denying the child the rights of being a British citizen as it had been deemed reasonable to expect them to remain with the other parent in United Kingdom. The decision went on to again make reference to the fact that this was not a genuine and subsisting relationship as a result of the information given at the interview in February 2016. However, in the alternative, if the relationship was genuine and subsisting then it was open to his spouse to return to Pakistan. There was reference to his private life being established in the UK in the knowledge that his immigration status was not the settlement and that he had no legitimate expectation to remain in the UK indefinitely.</w:t>
      </w:r>
    </w:p>
    <w:p w:rsidR="00B63EFA" w:rsidRPr="00541C0C" w:rsidRDefault="0028529C" w:rsidP="002B1AE7">
      <w:pPr>
        <w:numPr>
          <w:ilvl w:val="0"/>
          <w:numId w:val="3"/>
        </w:numPr>
        <w:spacing w:before="240"/>
        <w:jc w:val="both"/>
        <w:rPr>
          <w:rFonts w:ascii="Book Antiqua" w:hAnsi="Book Antiqua" w:cs="Arial"/>
        </w:rPr>
      </w:pPr>
      <w:r w:rsidRPr="00541C0C">
        <w:rPr>
          <w:rFonts w:ascii="Book Antiqua" w:hAnsi="Book Antiqua" w:cs="Arial"/>
        </w:rPr>
        <w:t xml:space="preserve">The </w:t>
      </w:r>
      <w:r w:rsidR="00714EE4">
        <w:rPr>
          <w:rFonts w:ascii="Book Antiqua" w:hAnsi="Book Antiqua" w:cs="Arial"/>
        </w:rPr>
        <w:t>Appellant</w:t>
      </w:r>
      <w:r w:rsidRPr="00541C0C">
        <w:rPr>
          <w:rFonts w:ascii="Book Antiqua" w:hAnsi="Book Antiqua" w:cs="Arial"/>
        </w:rPr>
        <w:t xml:space="preserve"> appealed that decision and t</w:t>
      </w:r>
      <w:r w:rsidR="004D2A08" w:rsidRPr="00541C0C">
        <w:rPr>
          <w:rFonts w:ascii="Book Antiqua" w:hAnsi="Book Antiqua" w:cs="Arial"/>
        </w:rPr>
        <w:t xml:space="preserve">he appeal came before the </w:t>
      </w:r>
      <w:r w:rsidR="005A1CFD" w:rsidRPr="00541C0C">
        <w:rPr>
          <w:rFonts w:ascii="Book Antiqua" w:hAnsi="Book Antiqua" w:cs="Arial"/>
        </w:rPr>
        <w:t>First</w:t>
      </w:r>
      <w:r w:rsidR="004D2A08" w:rsidRPr="00541C0C">
        <w:rPr>
          <w:rFonts w:ascii="Book Antiqua" w:hAnsi="Book Antiqua" w:cs="Arial"/>
        </w:rPr>
        <w:t>-</w:t>
      </w:r>
      <w:r w:rsidR="009C1EB5" w:rsidRPr="00541C0C">
        <w:rPr>
          <w:rFonts w:ascii="Book Antiqua" w:hAnsi="Book Antiqua" w:cs="Arial"/>
        </w:rPr>
        <w:t xml:space="preserve"> Tier </w:t>
      </w:r>
      <w:r w:rsidR="00714EE4">
        <w:rPr>
          <w:rFonts w:ascii="Book Antiqua" w:hAnsi="Book Antiqua" w:cs="Arial"/>
        </w:rPr>
        <w:t>Tribunal</w:t>
      </w:r>
      <w:r w:rsidR="00541C0C" w:rsidRPr="00541C0C">
        <w:rPr>
          <w:rFonts w:ascii="Book Antiqua" w:hAnsi="Book Antiqua" w:cs="Arial"/>
        </w:rPr>
        <w:t xml:space="preserve"> at</w:t>
      </w:r>
      <w:r w:rsidR="005162B1" w:rsidRPr="00541C0C">
        <w:rPr>
          <w:rFonts w:ascii="Book Antiqua" w:hAnsi="Book Antiqua" w:cs="Arial"/>
        </w:rPr>
        <w:t xml:space="preserve"> a hearing on the </w:t>
      </w:r>
      <w:r w:rsidR="00482C74">
        <w:rPr>
          <w:rFonts w:ascii="Book Antiqua" w:hAnsi="Book Antiqua" w:cs="Arial"/>
        </w:rPr>
        <w:t>4</w:t>
      </w:r>
      <w:r w:rsidR="00482C74" w:rsidRPr="00482C74">
        <w:rPr>
          <w:rFonts w:ascii="Book Antiqua" w:hAnsi="Book Antiqua" w:cs="Arial"/>
          <w:vertAlign w:val="superscript"/>
        </w:rPr>
        <w:t>th</w:t>
      </w:r>
      <w:r w:rsidR="00482C74">
        <w:rPr>
          <w:rFonts w:ascii="Book Antiqua" w:hAnsi="Book Antiqua" w:cs="Arial"/>
        </w:rPr>
        <w:t xml:space="preserve"> October</w:t>
      </w:r>
      <w:r w:rsidR="00DD28A6" w:rsidRPr="00541C0C">
        <w:rPr>
          <w:rFonts w:ascii="Book Antiqua" w:hAnsi="Book Antiqua" w:cs="Arial"/>
        </w:rPr>
        <w:t xml:space="preserve"> 2017</w:t>
      </w:r>
      <w:r w:rsidR="009C1EB5" w:rsidRPr="00541C0C">
        <w:rPr>
          <w:rFonts w:ascii="Book Antiqua" w:hAnsi="Book Antiqua" w:cs="Arial"/>
        </w:rPr>
        <w:t>. In a determi</w:t>
      </w:r>
      <w:r w:rsidR="00482C74">
        <w:rPr>
          <w:rFonts w:ascii="Book Antiqua" w:hAnsi="Book Antiqua" w:cs="Arial"/>
        </w:rPr>
        <w:t>nation promulgated on the 20</w:t>
      </w:r>
      <w:r w:rsidR="00482C74" w:rsidRPr="00482C74">
        <w:rPr>
          <w:rFonts w:ascii="Book Antiqua" w:hAnsi="Book Antiqua" w:cs="Arial"/>
          <w:vertAlign w:val="superscript"/>
        </w:rPr>
        <w:t>th</w:t>
      </w:r>
      <w:r w:rsidR="00482C74">
        <w:rPr>
          <w:rFonts w:ascii="Book Antiqua" w:hAnsi="Book Antiqua" w:cs="Arial"/>
        </w:rPr>
        <w:t xml:space="preserve"> October</w:t>
      </w:r>
      <w:r w:rsidR="00DD28A6" w:rsidRPr="00541C0C">
        <w:rPr>
          <w:rFonts w:ascii="Book Antiqua" w:hAnsi="Book Antiqua" w:cs="Arial"/>
        </w:rPr>
        <w:t xml:space="preserve"> 2017</w:t>
      </w:r>
      <w:r w:rsidR="009C1EB5" w:rsidRPr="00541C0C">
        <w:rPr>
          <w:rFonts w:ascii="Book Antiqua" w:hAnsi="Book Antiqua" w:cs="Arial"/>
        </w:rPr>
        <w:t xml:space="preserve"> </w:t>
      </w:r>
      <w:r w:rsidR="00DD28A6" w:rsidRPr="00541C0C">
        <w:rPr>
          <w:rFonts w:ascii="Book Antiqua" w:hAnsi="Book Antiqua" w:cs="Arial"/>
        </w:rPr>
        <w:t>he allowed</w:t>
      </w:r>
      <w:r w:rsidR="009C1EB5" w:rsidRPr="00541C0C">
        <w:rPr>
          <w:rFonts w:ascii="Book Antiqua" w:hAnsi="Book Antiqua" w:cs="Arial"/>
        </w:rPr>
        <w:t xml:space="preserve"> the </w:t>
      </w:r>
      <w:r w:rsidR="00714EE4">
        <w:rPr>
          <w:rFonts w:ascii="Book Antiqua" w:hAnsi="Book Antiqua" w:cs="Arial"/>
        </w:rPr>
        <w:t>Appellant’s</w:t>
      </w:r>
      <w:r w:rsidR="00B63EFA" w:rsidRPr="00541C0C">
        <w:rPr>
          <w:rFonts w:ascii="Book Antiqua" w:hAnsi="Book Antiqua" w:cs="Arial"/>
        </w:rPr>
        <w:t xml:space="preserve"> appeal </w:t>
      </w:r>
      <w:r w:rsidR="00A34DB4" w:rsidRPr="00541C0C">
        <w:rPr>
          <w:rFonts w:ascii="Book Antiqua" w:hAnsi="Book Antiqua" w:cs="Arial"/>
        </w:rPr>
        <w:t xml:space="preserve">on human rights grounds. </w:t>
      </w:r>
      <w:r w:rsidR="00980906">
        <w:rPr>
          <w:rFonts w:ascii="Book Antiqua" w:hAnsi="Book Antiqua" w:cs="Arial"/>
        </w:rPr>
        <w:t xml:space="preserve">At paragraph 6-7 of the decision, the judge considered the “ETS issue” having considered the evidence before the </w:t>
      </w:r>
      <w:r w:rsidR="00714EE4">
        <w:rPr>
          <w:rFonts w:ascii="Book Antiqua" w:hAnsi="Book Antiqua" w:cs="Arial"/>
        </w:rPr>
        <w:t>Tribunal</w:t>
      </w:r>
      <w:r w:rsidR="00980906">
        <w:rPr>
          <w:rFonts w:ascii="Book Antiqua" w:hAnsi="Book Antiqua" w:cs="Arial"/>
        </w:rPr>
        <w:t xml:space="preserve"> and reach</w:t>
      </w:r>
      <w:r w:rsidR="00285DEE">
        <w:rPr>
          <w:rFonts w:ascii="Book Antiqua" w:hAnsi="Book Antiqua" w:cs="Arial"/>
        </w:rPr>
        <w:t>ed</w:t>
      </w:r>
      <w:r w:rsidR="00980906">
        <w:rPr>
          <w:rFonts w:ascii="Book Antiqua" w:hAnsi="Book Antiqua" w:cs="Arial"/>
        </w:rPr>
        <w:t xml:space="preserve"> the conclusion that the </w:t>
      </w:r>
      <w:r w:rsidR="00714EE4">
        <w:rPr>
          <w:rFonts w:ascii="Book Antiqua" w:hAnsi="Book Antiqua" w:cs="Arial"/>
        </w:rPr>
        <w:t>Respondent’s</w:t>
      </w:r>
      <w:r w:rsidR="00980906">
        <w:rPr>
          <w:rFonts w:ascii="Book Antiqua" w:hAnsi="Book Antiqua" w:cs="Arial"/>
        </w:rPr>
        <w:t xml:space="preserve"> case had no substance. In </w:t>
      </w:r>
      <w:proofErr w:type="gramStart"/>
      <w:r w:rsidR="00980906">
        <w:rPr>
          <w:rFonts w:ascii="Book Antiqua" w:hAnsi="Book Antiqua" w:cs="Arial"/>
        </w:rPr>
        <w:t>fact</w:t>
      </w:r>
      <w:proofErr w:type="gramEnd"/>
      <w:r w:rsidR="00980906">
        <w:rPr>
          <w:rFonts w:ascii="Book Antiqua" w:hAnsi="Book Antiqua" w:cs="Arial"/>
        </w:rPr>
        <w:t xml:space="preserve"> the judge made the following observation “I can state quite categorically that the </w:t>
      </w:r>
      <w:r w:rsidR="00714EE4">
        <w:rPr>
          <w:rFonts w:ascii="Book Antiqua" w:hAnsi="Book Antiqua" w:cs="Arial"/>
        </w:rPr>
        <w:t>Respondent’s</w:t>
      </w:r>
      <w:r w:rsidR="00980906">
        <w:rPr>
          <w:rFonts w:ascii="Book Antiqua" w:hAnsi="Book Antiqua" w:cs="Arial"/>
        </w:rPr>
        <w:t xml:space="preserve"> case has no substance.” The judge made reference to the evidence relied upon by the Secretary of State </w:t>
      </w:r>
      <w:r w:rsidR="00285DEE">
        <w:rPr>
          <w:rFonts w:ascii="Book Antiqua" w:hAnsi="Book Antiqua" w:cs="Arial"/>
        </w:rPr>
        <w:t xml:space="preserve">at </w:t>
      </w:r>
      <w:r w:rsidR="00980906">
        <w:rPr>
          <w:rFonts w:ascii="Book Antiqua" w:hAnsi="Book Antiqua" w:cs="Arial"/>
        </w:rPr>
        <w:t xml:space="preserve">paragraph 6 and that there was no specific evidence which related to this </w:t>
      </w:r>
      <w:r w:rsidR="00714EE4">
        <w:rPr>
          <w:rFonts w:ascii="Book Antiqua" w:hAnsi="Book Antiqua" w:cs="Arial"/>
        </w:rPr>
        <w:t>Appellant</w:t>
      </w:r>
      <w:r w:rsidR="00980906">
        <w:rPr>
          <w:rFonts w:ascii="Book Antiqua" w:hAnsi="Book Antiqua" w:cs="Arial"/>
        </w:rPr>
        <w:t xml:space="preserve"> to demonstrate that he had obtained fraudulently the TOIEC certificate. </w:t>
      </w:r>
      <w:proofErr w:type="gramStart"/>
      <w:r w:rsidR="00980906">
        <w:rPr>
          <w:rFonts w:ascii="Book Antiqua" w:hAnsi="Book Antiqua" w:cs="Arial"/>
        </w:rPr>
        <w:t>Consequently</w:t>
      </w:r>
      <w:proofErr w:type="gramEnd"/>
      <w:r w:rsidR="00980906">
        <w:rPr>
          <w:rFonts w:ascii="Book Antiqua" w:hAnsi="Book Antiqua" w:cs="Arial"/>
        </w:rPr>
        <w:t xml:space="preserve"> the judge made a finding that the </w:t>
      </w:r>
      <w:r w:rsidR="00714EE4">
        <w:rPr>
          <w:rFonts w:ascii="Book Antiqua" w:hAnsi="Book Antiqua" w:cs="Arial"/>
        </w:rPr>
        <w:t>Respondent</w:t>
      </w:r>
      <w:r w:rsidR="00980906">
        <w:rPr>
          <w:rFonts w:ascii="Book Antiqua" w:hAnsi="Book Antiqua" w:cs="Arial"/>
        </w:rPr>
        <w:t xml:space="preserve"> had not discharged the burden of proof and therefore had not establish</w:t>
      </w:r>
      <w:r w:rsidR="00285DEE">
        <w:rPr>
          <w:rFonts w:ascii="Book Antiqua" w:hAnsi="Book Antiqua" w:cs="Arial"/>
        </w:rPr>
        <w:t>ed that the Appellant’s</w:t>
      </w:r>
      <w:r w:rsidR="00980906">
        <w:rPr>
          <w:rFonts w:ascii="Book Antiqua" w:hAnsi="Book Antiqua" w:cs="Arial"/>
        </w:rPr>
        <w:t xml:space="preserve"> presence in United Kingdom was not conducive to the public good. The judge considered family and private life on the basis that it had been accepted by the </w:t>
      </w:r>
      <w:r w:rsidR="00714EE4">
        <w:rPr>
          <w:rFonts w:ascii="Book Antiqua" w:hAnsi="Book Antiqua" w:cs="Arial"/>
        </w:rPr>
        <w:t>Respondent</w:t>
      </w:r>
      <w:r w:rsidR="00980906">
        <w:rPr>
          <w:rFonts w:ascii="Book Antiqua" w:hAnsi="Book Antiqua" w:cs="Arial"/>
        </w:rPr>
        <w:t xml:space="preserve"> that this was a genuine and subsisting relationship and that there was a child born to the</w:t>
      </w:r>
      <w:r w:rsidR="00285DEE">
        <w:rPr>
          <w:rFonts w:ascii="Book Antiqua" w:hAnsi="Book Antiqua" w:cs="Arial"/>
        </w:rPr>
        <w:t xml:space="preserve"> parties. The judge found at [8] that there was </w:t>
      </w:r>
      <w:r w:rsidR="00980906">
        <w:rPr>
          <w:rFonts w:ascii="Book Antiqua" w:hAnsi="Book Antiqua" w:cs="Arial"/>
        </w:rPr>
        <w:t xml:space="preserve">family life United </w:t>
      </w:r>
      <w:r w:rsidR="00285DEE">
        <w:rPr>
          <w:rFonts w:ascii="Book Antiqua" w:hAnsi="Book Antiqua" w:cs="Arial"/>
        </w:rPr>
        <w:t>Kingdom and that paragraphs [9</w:t>
      </w:r>
      <w:r w:rsidR="00980906">
        <w:rPr>
          <w:rFonts w:ascii="Book Antiqua" w:hAnsi="Book Antiqua" w:cs="Arial"/>
        </w:rPr>
        <w:t xml:space="preserve"> – 10</w:t>
      </w:r>
      <w:r w:rsidR="00285DEE">
        <w:rPr>
          <w:rFonts w:ascii="Book Antiqua" w:hAnsi="Book Antiqua" w:cs="Arial"/>
        </w:rPr>
        <w:t>]</w:t>
      </w:r>
      <w:r w:rsidR="00980906">
        <w:rPr>
          <w:rFonts w:ascii="Book Antiqua" w:hAnsi="Book Antiqua" w:cs="Arial"/>
        </w:rPr>
        <w:t xml:space="preserve"> the best interests of the child was to be with his parents. When considering EX1 on the basis of his relationship with his partner the judge found at paragraphs </w:t>
      </w:r>
      <w:r w:rsidR="00285DEE">
        <w:rPr>
          <w:rFonts w:ascii="Book Antiqua" w:hAnsi="Book Antiqua" w:cs="Arial"/>
        </w:rPr>
        <w:t>[</w:t>
      </w:r>
      <w:r w:rsidR="00980906">
        <w:rPr>
          <w:rFonts w:ascii="Book Antiqua" w:hAnsi="Book Antiqua" w:cs="Arial"/>
        </w:rPr>
        <w:t>12 and 13</w:t>
      </w:r>
      <w:r w:rsidR="00285DEE">
        <w:rPr>
          <w:rFonts w:ascii="Book Antiqua" w:hAnsi="Book Antiqua" w:cs="Arial"/>
        </w:rPr>
        <w:t>]</w:t>
      </w:r>
      <w:r w:rsidR="00980906">
        <w:rPr>
          <w:rFonts w:ascii="Book Antiqua" w:hAnsi="Book Antiqua" w:cs="Arial"/>
        </w:rPr>
        <w:t xml:space="preserve"> that they could continue family life in Pakistan although they may experience hardship. When considering EX1 or </w:t>
      </w:r>
      <w:r w:rsidR="00285DEE">
        <w:rPr>
          <w:rFonts w:ascii="Book Antiqua" w:hAnsi="Book Antiqua" w:cs="Arial"/>
        </w:rPr>
        <w:t>S117B (</w:t>
      </w:r>
      <w:r w:rsidR="00980906">
        <w:rPr>
          <w:rFonts w:ascii="Book Antiqua" w:hAnsi="Book Antiqua" w:cs="Arial"/>
        </w:rPr>
        <w:t>6) in respect of his relationship with a British citizen child, the jud</w:t>
      </w:r>
      <w:r w:rsidR="00285DEE">
        <w:rPr>
          <w:rFonts w:ascii="Book Antiqua" w:hAnsi="Book Antiqua" w:cs="Arial"/>
        </w:rPr>
        <w:t>ge found that strong reasons would</w:t>
      </w:r>
      <w:r w:rsidR="00980906">
        <w:rPr>
          <w:rFonts w:ascii="Book Antiqua" w:hAnsi="Book Antiqua" w:cs="Arial"/>
        </w:rPr>
        <w:t xml:space="preserve"> be required for the removal of a qualifying child (see paragraph </w:t>
      </w:r>
      <w:r w:rsidR="00285DEE">
        <w:rPr>
          <w:rFonts w:ascii="Book Antiqua" w:hAnsi="Book Antiqua" w:cs="Arial"/>
        </w:rPr>
        <w:t>[</w:t>
      </w:r>
      <w:r w:rsidR="00980906">
        <w:rPr>
          <w:rFonts w:ascii="Book Antiqua" w:hAnsi="Book Antiqua" w:cs="Arial"/>
        </w:rPr>
        <w:t>11</w:t>
      </w:r>
      <w:r w:rsidR="00285DEE">
        <w:rPr>
          <w:rFonts w:ascii="Book Antiqua" w:hAnsi="Book Antiqua" w:cs="Arial"/>
        </w:rPr>
        <w:t>]</w:t>
      </w:r>
      <w:r w:rsidR="00980906">
        <w:rPr>
          <w:rFonts w:ascii="Book Antiqua" w:hAnsi="Book Antiqua" w:cs="Arial"/>
        </w:rPr>
        <w:t>) and that at [14] the judge did not find that it would be reasonable for the chi</w:t>
      </w:r>
      <w:r w:rsidR="00285DEE">
        <w:rPr>
          <w:rFonts w:ascii="Book Antiqua" w:hAnsi="Book Antiqua" w:cs="Arial"/>
        </w:rPr>
        <w:t xml:space="preserve">ld to leave the </w:t>
      </w:r>
      <w:r w:rsidR="002B1AE7">
        <w:rPr>
          <w:rFonts w:ascii="Book Antiqua" w:hAnsi="Book Antiqua" w:cs="Arial"/>
        </w:rPr>
        <w:t>United Kingdom</w:t>
      </w:r>
      <w:r w:rsidR="00285DEE">
        <w:rPr>
          <w:rFonts w:ascii="Book Antiqua" w:hAnsi="Book Antiqua" w:cs="Arial"/>
        </w:rPr>
        <w:t xml:space="preserve"> a</w:t>
      </w:r>
      <w:r w:rsidR="00980906">
        <w:rPr>
          <w:rFonts w:ascii="Book Antiqua" w:hAnsi="Book Antiqua" w:cs="Arial"/>
        </w:rPr>
        <w:t xml:space="preserve">s no strong reasons had been put forward for such a course, in the light of the </w:t>
      </w:r>
      <w:r w:rsidR="00714EE4">
        <w:rPr>
          <w:rFonts w:ascii="Book Antiqua" w:hAnsi="Book Antiqua" w:cs="Arial"/>
        </w:rPr>
        <w:t>Respondent</w:t>
      </w:r>
      <w:r w:rsidR="00980906">
        <w:rPr>
          <w:rFonts w:ascii="Book Antiqua" w:hAnsi="Book Antiqua" w:cs="Arial"/>
        </w:rPr>
        <w:t xml:space="preserve"> failing to discharge the burden of proof relating to the allegation of deception. In this paragraph the judge also made reference to the </w:t>
      </w:r>
      <w:r w:rsidR="00714EE4">
        <w:rPr>
          <w:rFonts w:ascii="Book Antiqua" w:hAnsi="Book Antiqua" w:cs="Arial"/>
        </w:rPr>
        <w:t>Appellant</w:t>
      </w:r>
      <w:r w:rsidR="00980906">
        <w:rPr>
          <w:rFonts w:ascii="Book Antiqua" w:hAnsi="Book Antiqua" w:cs="Arial"/>
        </w:rPr>
        <w:t xml:space="preserve"> having en</w:t>
      </w:r>
      <w:r w:rsidR="00285DEE">
        <w:rPr>
          <w:rFonts w:ascii="Book Antiqua" w:hAnsi="Book Antiqua" w:cs="Arial"/>
        </w:rPr>
        <w:t>tered the United Kingdom lawfully</w:t>
      </w:r>
      <w:r w:rsidR="00980906">
        <w:rPr>
          <w:rFonts w:ascii="Book Antiqua" w:hAnsi="Book Antiqua" w:cs="Arial"/>
        </w:rPr>
        <w:t xml:space="preserve"> and subse</w:t>
      </w:r>
      <w:r w:rsidR="00285DEE">
        <w:rPr>
          <w:rFonts w:ascii="Book Antiqua" w:hAnsi="Book Antiqua" w:cs="Arial"/>
        </w:rPr>
        <w:t>quently obtained extensions of</w:t>
      </w:r>
      <w:r w:rsidR="00980906">
        <w:rPr>
          <w:rFonts w:ascii="Book Antiqua" w:hAnsi="Book Antiqua" w:cs="Arial"/>
        </w:rPr>
        <w:t xml:space="preserve"> leave to remain. The judge found that he spoke English and that there was nothing to suggest that he was a burden on the taxpayer and thus the judge found that he met the requirements of section 117B of t</w:t>
      </w:r>
      <w:r w:rsidR="00285DEE">
        <w:rPr>
          <w:rFonts w:ascii="Book Antiqua" w:hAnsi="Book Antiqua" w:cs="Arial"/>
        </w:rPr>
        <w:t xml:space="preserve">he 2002 Act. In </w:t>
      </w:r>
      <w:proofErr w:type="gramStart"/>
      <w:r w:rsidR="00285DEE">
        <w:rPr>
          <w:rFonts w:ascii="Book Antiqua" w:hAnsi="Book Antiqua" w:cs="Arial"/>
        </w:rPr>
        <w:t>addition</w:t>
      </w:r>
      <w:proofErr w:type="gramEnd"/>
      <w:r w:rsidR="00285DEE">
        <w:rPr>
          <w:rFonts w:ascii="Book Antiqua" w:hAnsi="Book Antiqua" w:cs="Arial"/>
        </w:rPr>
        <w:t xml:space="preserve"> at [15]</w:t>
      </w:r>
      <w:r w:rsidR="00980906">
        <w:rPr>
          <w:rFonts w:ascii="Book Antiqua" w:hAnsi="Book Antiqua" w:cs="Arial"/>
        </w:rPr>
        <w:t xml:space="preserve"> the judge considered the submission made on behalf of the </w:t>
      </w:r>
      <w:r w:rsidR="00714EE4">
        <w:rPr>
          <w:rFonts w:ascii="Book Antiqua" w:hAnsi="Book Antiqua" w:cs="Arial"/>
        </w:rPr>
        <w:t>Respondent</w:t>
      </w:r>
      <w:r w:rsidR="00980906">
        <w:rPr>
          <w:rFonts w:ascii="Book Antiqua" w:hAnsi="Book Antiqua" w:cs="Arial"/>
        </w:rPr>
        <w:t xml:space="preserve"> that the </w:t>
      </w:r>
      <w:r w:rsidR="00714EE4">
        <w:rPr>
          <w:rFonts w:ascii="Book Antiqua" w:hAnsi="Book Antiqua" w:cs="Arial"/>
        </w:rPr>
        <w:t>Appellant</w:t>
      </w:r>
      <w:r w:rsidR="00285DEE">
        <w:rPr>
          <w:rFonts w:ascii="Book Antiqua" w:hAnsi="Book Antiqua" w:cs="Arial"/>
        </w:rPr>
        <w:t xml:space="preserve"> sh</w:t>
      </w:r>
      <w:r w:rsidR="00980906">
        <w:rPr>
          <w:rFonts w:ascii="Book Antiqua" w:hAnsi="Book Antiqua" w:cs="Arial"/>
        </w:rPr>
        <w:t xml:space="preserve">ould leave the United Kingdom to make an application for entry clearance. </w:t>
      </w:r>
      <w:proofErr w:type="gramStart"/>
      <w:r w:rsidR="00980906">
        <w:rPr>
          <w:rFonts w:ascii="Book Antiqua" w:hAnsi="Book Antiqua" w:cs="Arial"/>
        </w:rPr>
        <w:t>However</w:t>
      </w:r>
      <w:proofErr w:type="gramEnd"/>
      <w:r w:rsidR="00980906">
        <w:rPr>
          <w:rFonts w:ascii="Book Antiqua" w:hAnsi="Book Antiqua" w:cs="Arial"/>
        </w:rPr>
        <w:t xml:space="preserve"> the judge reached the conclusion on the evidence that such a course would “serve no purpose” on the basis that he had been in the United Kingdom lawfully, he had abided </w:t>
      </w:r>
      <w:r w:rsidR="00980906">
        <w:rPr>
          <w:rFonts w:ascii="Book Antiqua" w:hAnsi="Book Antiqua" w:cs="Arial"/>
        </w:rPr>
        <w:lastRenderedPageBreak/>
        <w:t xml:space="preserve">by the immigration rules and that his partner and child are British citizens and that any removal would be as a consequence disproportionate. </w:t>
      </w:r>
    </w:p>
    <w:p w:rsidR="00AB271D" w:rsidRPr="00541C0C" w:rsidRDefault="00DE2FC3" w:rsidP="002B1AE7">
      <w:pPr>
        <w:numPr>
          <w:ilvl w:val="0"/>
          <w:numId w:val="3"/>
        </w:numPr>
        <w:spacing w:before="240"/>
        <w:jc w:val="both"/>
        <w:rPr>
          <w:rFonts w:ascii="Book Antiqua" w:hAnsi="Book Antiqua" w:cs="Arial"/>
        </w:rPr>
      </w:pPr>
      <w:r w:rsidRPr="00541C0C">
        <w:rPr>
          <w:rFonts w:ascii="Book Antiqua" w:hAnsi="Book Antiqua" w:cs="Arial"/>
        </w:rPr>
        <w:t xml:space="preserve">The </w:t>
      </w:r>
      <w:r w:rsidR="00714EE4">
        <w:rPr>
          <w:rFonts w:ascii="Book Antiqua" w:hAnsi="Book Antiqua" w:cs="Arial"/>
        </w:rPr>
        <w:t>Respondent</w:t>
      </w:r>
      <w:r w:rsidRPr="00541C0C">
        <w:rPr>
          <w:rFonts w:ascii="Book Antiqua" w:hAnsi="Book Antiqua" w:cs="Arial"/>
        </w:rPr>
        <w:t xml:space="preserve"> sought permission to appeal that decision and</w:t>
      </w:r>
      <w:r w:rsidR="00E94C92" w:rsidRPr="00541C0C">
        <w:rPr>
          <w:rFonts w:ascii="Book Antiqua" w:hAnsi="Book Antiqua" w:cs="Arial"/>
        </w:rPr>
        <w:t xml:space="preserve"> permission was</w:t>
      </w:r>
      <w:r w:rsidR="00DD28A6" w:rsidRPr="00541C0C">
        <w:rPr>
          <w:rFonts w:ascii="Book Antiqua" w:hAnsi="Book Antiqua" w:cs="Arial"/>
        </w:rPr>
        <w:t xml:space="preserve"> granted</w:t>
      </w:r>
      <w:r w:rsidR="00E94C92" w:rsidRPr="00541C0C">
        <w:rPr>
          <w:rFonts w:ascii="Book Antiqua" w:hAnsi="Book Antiqua" w:cs="Arial"/>
        </w:rPr>
        <w:t xml:space="preserve"> by the </w:t>
      </w:r>
      <w:r w:rsidR="005A1CFD" w:rsidRPr="00541C0C">
        <w:rPr>
          <w:rFonts w:ascii="Book Antiqua" w:hAnsi="Book Antiqua" w:cs="Arial"/>
        </w:rPr>
        <w:t>First</w:t>
      </w:r>
      <w:r w:rsidR="00E94C92" w:rsidRPr="00541C0C">
        <w:rPr>
          <w:rFonts w:ascii="Book Antiqua" w:hAnsi="Book Antiqua" w:cs="Arial"/>
        </w:rPr>
        <w:t xml:space="preserve">-tier </w:t>
      </w:r>
      <w:r w:rsidR="00714EE4">
        <w:rPr>
          <w:rFonts w:ascii="Book Antiqua" w:hAnsi="Book Antiqua" w:cs="Arial"/>
        </w:rPr>
        <w:t>Tribunal</w:t>
      </w:r>
      <w:r w:rsidR="00541C0C" w:rsidRPr="00541C0C">
        <w:rPr>
          <w:rFonts w:ascii="Book Antiqua" w:hAnsi="Book Antiqua" w:cs="Arial"/>
        </w:rPr>
        <w:t xml:space="preserve"> on</w:t>
      </w:r>
      <w:r w:rsidR="00B63EFA" w:rsidRPr="00541C0C">
        <w:rPr>
          <w:rFonts w:ascii="Book Antiqua" w:hAnsi="Book Antiqua" w:cs="Arial"/>
        </w:rPr>
        <w:t xml:space="preserve"> the </w:t>
      </w:r>
      <w:r w:rsidR="00482C74">
        <w:rPr>
          <w:rFonts w:ascii="Book Antiqua" w:hAnsi="Book Antiqua" w:cs="Arial"/>
        </w:rPr>
        <w:t>3</w:t>
      </w:r>
      <w:r w:rsidR="00482C74" w:rsidRPr="00482C74">
        <w:rPr>
          <w:rFonts w:ascii="Book Antiqua" w:hAnsi="Book Antiqua" w:cs="Arial"/>
          <w:vertAlign w:val="superscript"/>
        </w:rPr>
        <w:t>rd</w:t>
      </w:r>
      <w:r w:rsidR="00482C74">
        <w:rPr>
          <w:rFonts w:ascii="Book Antiqua" w:hAnsi="Book Antiqua" w:cs="Arial"/>
        </w:rPr>
        <w:t xml:space="preserve"> April</w:t>
      </w:r>
      <w:r w:rsidR="00DD28A6" w:rsidRPr="00541C0C">
        <w:rPr>
          <w:rFonts w:ascii="Book Antiqua" w:hAnsi="Book Antiqua" w:cs="Arial"/>
        </w:rPr>
        <w:t xml:space="preserve"> 2018</w:t>
      </w:r>
      <w:r w:rsidR="005669E5" w:rsidRPr="00541C0C">
        <w:rPr>
          <w:rFonts w:ascii="Book Antiqua" w:hAnsi="Book Antiqua" w:cs="Arial"/>
        </w:rPr>
        <w:t xml:space="preserve">. </w:t>
      </w:r>
    </w:p>
    <w:p w:rsidR="00980906" w:rsidRPr="00980906" w:rsidRDefault="00DE2FC3" w:rsidP="002B1AE7">
      <w:pPr>
        <w:numPr>
          <w:ilvl w:val="0"/>
          <w:numId w:val="3"/>
        </w:numPr>
        <w:spacing w:before="240"/>
        <w:jc w:val="both"/>
        <w:rPr>
          <w:rFonts w:ascii="Book Antiqua" w:hAnsi="Book Antiqua" w:cs="Arial"/>
          <w:u w:val="single"/>
        </w:rPr>
      </w:pPr>
      <w:r w:rsidRPr="00541C0C">
        <w:rPr>
          <w:rFonts w:ascii="Book Antiqua" w:hAnsi="Book Antiqua" w:cs="Arial"/>
        </w:rPr>
        <w:t xml:space="preserve">The appeal was therefore listed before the Upper </w:t>
      </w:r>
      <w:r w:rsidR="00714EE4">
        <w:rPr>
          <w:rFonts w:ascii="Book Antiqua" w:hAnsi="Book Antiqua" w:cs="Arial"/>
        </w:rPr>
        <w:t>Tribunal</w:t>
      </w:r>
      <w:r w:rsidR="00FE281E" w:rsidRPr="00541C0C">
        <w:rPr>
          <w:rFonts w:ascii="Book Antiqua" w:hAnsi="Book Antiqua" w:cs="Arial"/>
        </w:rPr>
        <w:t>.</w:t>
      </w:r>
      <w:r w:rsidR="005669E5" w:rsidRPr="00541C0C">
        <w:rPr>
          <w:rFonts w:ascii="Book Antiqua" w:hAnsi="Book Antiqua" w:cs="Arial"/>
        </w:rPr>
        <w:t xml:space="preserve"> </w:t>
      </w:r>
      <w:r w:rsidR="00482C74">
        <w:rPr>
          <w:rFonts w:ascii="Book Antiqua" w:hAnsi="Book Antiqua" w:cs="Arial"/>
        </w:rPr>
        <w:t>Miss Aboni</w:t>
      </w:r>
      <w:r w:rsidR="0028529C" w:rsidRPr="00541C0C">
        <w:rPr>
          <w:rFonts w:ascii="Book Antiqua" w:hAnsi="Book Antiqua" w:cs="Arial"/>
        </w:rPr>
        <w:t xml:space="preserve"> relied upon the grounds. In her oral submissions </w:t>
      </w:r>
      <w:r w:rsidR="00980906">
        <w:rPr>
          <w:rFonts w:ascii="Book Antiqua" w:hAnsi="Book Antiqua" w:cs="Arial"/>
        </w:rPr>
        <w:t xml:space="preserve">she submitted that the judge dismissed the issue of deception without any consideration of the evidence and that there was more than the generic evidence of Rebecca Collings and Peter Millington. She made reference to the supplementary bundle which included also the evidence of Prof French. She submitted that </w:t>
      </w:r>
      <w:r w:rsidR="00285DEE">
        <w:rPr>
          <w:rFonts w:ascii="Book Antiqua" w:hAnsi="Book Antiqua" w:cs="Arial"/>
        </w:rPr>
        <w:t xml:space="preserve">evidence </w:t>
      </w:r>
      <w:r w:rsidR="00980906">
        <w:rPr>
          <w:rFonts w:ascii="Book Antiqua" w:hAnsi="Book Antiqua" w:cs="Arial"/>
        </w:rPr>
        <w:t>discharge</w:t>
      </w:r>
      <w:r w:rsidR="00285DEE">
        <w:rPr>
          <w:rFonts w:ascii="Book Antiqua" w:hAnsi="Book Antiqua" w:cs="Arial"/>
        </w:rPr>
        <w:t>d</w:t>
      </w:r>
      <w:r w:rsidR="00980906">
        <w:rPr>
          <w:rFonts w:ascii="Book Antiqua" w:hAnsi="Book Antiqua" w:cs="Arial"/>
        </w:rPr>
        <w:t xml:space="preserve"> the initial burden and that the </w:t>
      </w:r>
      <w:r w:rsidR="00714EE4">
        <w:rPr>
          <w:rFonts w:ascii="Book Antiqua" w:hAnsi="Book Antiqua" w:cs="Arial"/>
        </w:rPr>
        <w:t>Appellant</w:t>
      </w:r>
      <w:r w:rsidR="00980906">
        <w:rPr>
          <w:rFonts w:ascii="Book Antiqua" w:hAnsi="Book Antiqua" w:cs="Arial"/>
        </w:rPr>
        <w:t xml:space="preserve"> was then required to give an innocent explanation. She submitted that the judge appeared to decide that there was no merit in the </w:t>
      </w:r>
      <w:r w:rsidR="00714EE4">
        <w:rPr>
          <w:rFonts w:ascii="Book Antiqua" w:hAnsi="Book Antiqua" w:cs="Arial"/>
        </w:rPr>
        <w:t>Respondent’s</w:t>
      </w:r>
      <w:r w:rsidR="00980906">
        <w:rPr>
          <w:rFonts w:ascii="Book Antiqua" w:hAnsi="Book Antiqua" w:cs="Arial"/>
        </w:rPr>
        <w:t xml:space="preserve"> case and that the Secretary of State referred to generic statements. </w:t>
      </w:r>
      <w:proofErr w:type="gramStart"/>
      <w:r w:rsidR="00980906">
        <w:rPr>
          <w:rFonts w:ascii="Book Antiqua" w:hAnsi="Book Antiqua" w:cs="Arial"/>
        </w:rPr>
        <w:t>Thus</w:t>
      </w:r>
      <w:proofErr w:type="gramEnd"/>
      <w:r w:rsidR="00980906">
        <w:rPr>
          <w:rFonts w:ascii="Book Antiqua" w:hAnsi="Book Antiqua" w:cs="Arial"/>
        </w:rPr>
        <w:t xml:space="preserve"> it was submitted that there was a material error as to whether deception was used. </w:t>
      </w:r>
    </w:p>
    <w:p w:rsidR="00980906" w:rsidRPr="00980906" w:rsidRDefault="00980906" w:rsidP="002B1AE7">
      <w:pPr>
        <w:numPr>
          <w:ilvl w:val="0"/>
          <w:numId w:val="3"/>
        </w:numPr>
        <w:spacing w:before="240"/>
        <w:jc w:val="both"/>
        <w:rPr>
          <w:rFonts w:ascii="Book Antiqua" w:hAnsi="Book Antiqua" w:cs="Arial"/>
          <w:u w:val="single"/>
        </w:rPr>
      </w:pPr>
      <w:r>
        <w:rPr>
          <w:rFonts w:ascii="Book Antiqua" w:hAnsi="Book Antiqua" w:cs="Arial"/>
        </w:rPr>
        <w:t xml:space="preserve">In relation to the human rights aspect of the appeal, the </w:t>
      </w:r>
      <w:r w:rsidR="00714EE4">
        <w:rPr>
          <w:rFonts w:ascii="Book Antiqua" w:hAnsi="Book Antiqua" w:cs="Arial"/>
        </w:rPr>
        <w:t>Appellant</w:t>
      </w:r>
      <w:r>
        <w:rPr>
          <w:rFonts w:ascii="Book Antiqua" w:hAnsi="Book Antiqua" w:cs="Arial"/>
        </w:rPr>
        <w:t xml:space="preserve"> could not meet the suitability requirements if he had used deception</w:t>
      </w:r>
      <w:r w:rsidR="00285DEE">
        <w:rPr>
          <w:rFonts w:ascii="Book Antiqua" w:hAnsi="Book Antiqua" w:cs="Arial"/>
        </w:rPr>
        <w:t xml:space="preserve"> and</w:t>
      </w:r>
      <w:r>
        <w:rPr>
          <w:rFonts w:ascii="Book Antiqua" w:hAnsi="Book Antiqua" w:cs="Arial"/>
        </w:rPr>
        <w:t xml:space="preserve"> that was also relevant to the proportionality of the decision. Ms</w:t>
      </w:r>
      <w:r w:rsidR="00285DEE">
        <w:rPr>
          <w:rFonts w:ascii="Book Antiqua" w:hAnsi="Book Antiqua" w:cs="Arial"/>
        </w:rPr>
        <w:t xml:space="preserve"> Aboni referred to the grounds at</w:t>
      </w:r>
      <w:r>
        <w:rPr>
          <w:rFonts w:ascii="Book Antiqua" w:hAnsi="Book Antiqua" w:cs="Arial"/>
        </w:rPr>
        <w:t xml:space="preserve"> paragraph 13 that the judge had erred in law by making reference to his leave as lawful when in fact it was precarious because he had only ever been granted limited leave to remain. But she submitted, the judge had made errors in assessing proportionality and had failed to consider the entry clearance option available to the </w:t>
      </w:r>
      <w:r w:rsidR="00714EE4">
        <w:rPr>
          <w:rFonts w:ascii="Book Antiqua" w:hAnsi="Book Antiqua" w:cs="Arial"/>
        </w:rPr>
        <w:t>Appellant</w:t>
      </w:r>
      <w:r>
        <w:rPr>
          <w:rFonts w:ascii="Book Antiqua" w:hAnsi="Book Antiqua" w:cs="Arial"/>
        </w:rPr>
        <w:t xml:space="preserve"> and his partner. She invited the </w:t>
      </w:r>
      <w:r w:rsidR="00714EE4">
        <w:rPr>
          <w:rFonts w:ascii="Book Antiqua" w:hAnsi="Book Antiqua" w:cs="Arial"/>
        </w:rPr>
        <w:t>Tribunal</w:t>
      </w:r>
      <w:r>
        <w:rPr>
          <w:rFonts w:ascii="Book Antiqua" w:hAnsi="Book Antiqua" w:cs="Arial"/>
        </w:rPr>
        <w:t xml:space="preserve"> to find that there were material errors of law and set aside the decision.</w:t>
      </w:r>
    </w:p>
    <w:p w:rsidR="00980906" w:rsidRPr="00980906" w:rsidRDefault="0028529C" w:rsidP="002B1AE7">
      <w:pPr>
        <w:numPr>
          <w:ilvl w:val="0"/>
          <w:numId w:val="3"/>
        </w:numPr>
        <w:spacing w:before="240"/>
        <w:jc w:val="both"/>
        <w:rPr>
          <w:rFonts w:ascii="Book Antiqua" w:hAnsi="Book Antiqua" w:cs="Arial"/>
          <w:u w:val="single"/>
        </w:rPr>
      </w:pPr>
      <w:r w:rsidRPr="00541C0C">
        <w:rPr>
          <w:rFonts w:ascii="Book Antiqua" w:hAnsi="Book Antiqua" w:cs="Arial"/>
        </w:rPr>
        <w:t>M</w:t>
      </w:r>
      <w:r w:rsidR="00482C74">
        <w:rPr>
          <w:rFonts w:ascii="Book Antiqua" w:hAnsi="Book Antiqua" w:cs="Arial"/>
        </w:rPr>
        <w:t>r Yusuf</w:t>
      </w:r>
      <w:r w:rsidRPr="00541C0C">
        <w:rPr>
          <w:rFonts w:ascii="Book Antiqua" w:hAnsi="Book Antiqua" w:cs="Arial"/>
        </w:rPr>
        <w:t xml:space="preserve">, who appeared before the </w:t>
      </w:r>
      <w:r w:rsidR="00A2771D">
        <w:rPr>
          <w:rFonts w:ascii="Book Antiqua" w:hAnsi="Book Antiqua" w:cs="Arial"/>
        </w:rPr>
        <w:t>F</w:t>
      </w:r>
      <w:r w:rsidRPr="00541C0C">
        <w:rPr>
          <w:rFonts w:ascii="Book Antiqua" w:hAnsi="Book Antiqua" w:cs="Arial"/>
        </w:rPr>
        <w:t xml:space="preserve">irst-tier </w:t>
      </w:r>
      <w:r w:rsidR="00714EE4">
        <w:rPr>
          <w:rFonts w:ascii="Book Antiqua" w:hAnsi="Book Antiqua" w:cs="Arial"/>
        </w:rPr>
        <w:t>Tribunal</w:t>
      </w:r>
      <w:r w:rsidR="00482C74">
        <w:rPr>
          <w:rFonts w:ascii="Book Antiqua" w:hAnsi="Book Antiqua" w:cs="Arial"/>
        </w:rPr>
        <w:t xml:space="preserve"> had not provided a rule 24 response but</w:t>
      </w:r>
      <w:r w:rsidRPr="00541C0C">
        <w:rPr>
          <w:rFonts w:ascii="Book Antiqua" w:hAnsi="Book Antiqua" w:cs="Arial"/>
        </w:rPr>
        <w:t xml:space="preserve"> made the following oral submissions. He submitted that the decision</w:t>
      </w:r>
      <w:r w:rsidR="00980906">
        <w:rPr>
          <w:rFonts w:ascii="Book Antiqua" w:hAnsi="Book Antiqua" w:cs="Arial"/>
        </w:rPr>
        <w:t xml:space="preserve"> was open to the judge to make. As regards the issue of deception, the </w:t>
      </w:r>
      <w:r w:rsidR="00714EE4">
        <w:rPr>
          <w:rFonts w:ascii="Book Antiqua" w:hAnsi="Book Antiqua" w:cs="Arial"/>
        </w:rPr>
        <w:t>Respondent</w:t>
      </w:r>
      <w:r w:rsidR="00980906">
        <w:rPr>
          <w:rFonts w:ascii="Book Antiqua" w:hAnsi="Book Antiqua" w:cs="Arial"/>
        </w:rPr>
        <w:t xml:space="preserve"> had only provided generic evidence. He submitted the burden of proof is on the </w:t>
      </w:r>
      <w:r w:rsidR="00714EE4">
        <w:rPr>
          <w:rFonts w:ascii="Book Antiqua" w:hAnsi="Book Antiqua" w:cs="Arial"/>
        </w:rPr>
        <w:t>Respondent</w:t>
      </w:r>
      <w:r w:rsidR="00980906">
        <w:rPr>
          <w:rFonts w:ascii="Book Antiqua" w:hAnsi="Book Antiqua" w:cs="Arial"/>
        </w:rPr>
        <w:t xml:space="preserve"> to show that the person to use a proxy to take the test and that the evidence did not refer to a specific person. He made reference to the decision in </w:t>
      </w:r>
      <w:r w:rsidR="00980906" w:rsidRPr="00285DEE">
        <w:rPr>
          <w:rFonts w:ascii="Book Antiqua" w:hAnsi="Book Antiqua" w:cs="Arial"/>
          <w:i/>
        </w:rPr>
        <w:t>Derry v Peek</w:t>
      </w:r>
      <w:r w:rsidR="00980906">
        <w:rPr>
          <w:rFonts w:ascii="Book Antiqua" w:hAnsi="Book Antiqua" w:cs="Arial"/>
        </w:rPr>
        <w:t xml:space="preserve"> concerning the burden and standard of proof in relation to issues of deception. He further made reference to the documentation before the </w:t>
      </w:r>
      <w:r w:rsidR="00714EE4">
        <w:rPr>
          <w:rFonts w:ascii="Book Antiqua" w:hAnsi="Book Antiqua" w:cs="Arial"/>
        </w:rPr>
        <w:t>Tribunal</w:t>
      </w:r>
      <w:r w:rsidR="00980906">
        <w:rPr>
          <w:rFonts w:ascii="Book Antiqua" w:hAnsi="Book Antiqua" w:cs="Arial"/>
        </w:rPr>
        <w:t xml:space="preserve"> including the examination certificates and that at page 33 there was a city and Guilds certificate dated 13 September 2013 showing his command of the English language. He had also studied for a diploma in management in October 2012 (page 37 of the bundle). In his submissions he made reference to the test as “invalid” and that if the result was “invalid” the question was whether the </w:t>
      </w:r>
      <w:r w:rsidR="00714EE4">
        <w:rPr>
          <w:rFonts w:ascii="Book Antiqua" w:hAnsi="Book Antiqua" w:cs="Arial"/>
        </w:rPr>
        <w:t>Appellant</w:t>
      </w:r>
      <w:r w:rsidR="00980906">
        <w:rPr>
          <w:rFonts w:ascii="Book Antiqua" w:hAnsi="Book Antiqua" w:cs="Arial"/>
        </w:rPr>
        <w:t xml:space="preserve"> had used a proxy to sit the exam for him but there was no evidence to suggest that there was any such proxy used and therefore the </w:t>
      </w:r>
      <w:r w:rsidR="00714EE4">
        <w:rPr>
          <w:rFonts w:ascii="Book Antiqua" w:hAnsi="Book Antiqua" w:cs="Arial"/>
        </w:rPr>
        <w:t>Respondent</w:t>
      </w:r>
      <w:r w:rsidR="00980906">
        <w:rPr>
          <w:rFonts w:ascii="Book Antiqua" w:hAnsi="Book Antiqua" w:cs="Arial"/>
        </w:rPr>
        <w:t xml:space="preserve"> could not succeed. It w</w:t>
      </w:r>
      <w:r w:rsidR="00285DEE">
        <w:rPr>
          <w:rFonts w:ascii="Book Antiqua" w:hAnsi="Book Antiqua" w:cs="Arial"/>
        </w:rPr>
        <w:t>as not entirely clear to me</w:t>
      </w:r>
      <w:r w:rsidR="00980906">
        <w:rPr>
          <w:rFonts w:ascii="Book Antiqua" w:hAnsi="Book Antiqua" w:cs="Arial"/>
        </w:rPr>
        <w:t xml:space="preserve"> the basis upon which that submission was advanced. </w:t>
      </w:r>
    </w:p>
    <w:p w:rsidR="00980906" w:rsidRPr="00980906" w:rsidRDefault="00980906" w:rsidP="002B1AE7">
      <w:pPr>
        <w:numPr>
          <w:ilvl w:val="0"/>
          <w:numId w:val="3"/>
        </w:numPr>
        <w:spacing w:before="240"/>
        <w:jc w:val="both"/>
        <w:rPr>
          <w:rFonts w:ascii="Book Antiqua" w:hAnsi="Book Antiqua" w:cs="Arial"/>
          <w:u w:val="single"/>
        </w:rPr>
      </w:pPr>
      <w:r>
        <w:rPr>
          <w:rFonts w:ascii="Book Antiqua" w:hAnsi="Book Antiqua" w:cs="Arial"/>
        </w:rPr>
        <w:t xml:space="preserve">As to the human rights aspect of the appeal, whilst the judge had found there were no insurmountable obstacles the judge took into account that there was a British citizen child whose right to be affected </w:t>
      </w:r>
      <w:r w:rsidR="00285DEE">
        <w:rPr>
          <w:rFonts w:ascii="Book Antiqua" w:hAnsi="Book Antiqua" w:cs="Arial"/>
        </w:rPr>
        <w:t>(applying</w:t>
      </w:r>
      <w:r>
        <w:rPr>
          <w:rFonts w:ascii="Book Antiqua" w:hAnsi="Book Antiqua" w:cs="Arial"/>
        </w:rPr>
        <w:t xml:space="preserve"> </w:t>
      </w:r>
      <w:proofErr w:type="spellStart"/>
      <w:r w:rsidRPr="002B1AE7">
        <w:rPr>
          <w:rFonts w:ascii="Book Antiqua" w:hAnsi="Book Antiqua" w:cs="Arial"/>
          <w:u w:val="single"/>
        </w:rPr>
        <w:t>Beouku</w:t>
      </w:r>
      <w:proofErr w:type="spellEnd"/>
      <w:r w:rsidRPr="002B1AE7">
        <w:rPr>
          <w:rFonts w:ascii="Book Antiqua" w:hAnsi="Book Antiqua" w:cs="Arial"/>
          <w:u w:val="single"/>
        </w:rPr>
        <w:t>–Betts</w:t>
      </w:r>
      <w:r>
        <w:rPr>
          <w:rFonts w:ascii="Book Antiqua" w:hAnsi="Book Antiqua" w:cs="Arial"/>
        </w:rPr>
        <w:t xml:space="preserve">) and that it was not reasonable </w:t>
      </w:r>
      <w:r>
        <w:rPr>
          <w:rFonts w:ascii="Book Antiqua" w:hAnsi="Book Antiqua" w:cs="Arial"/>
        </w:rPr>
        <w:lastRenderedPageBreak/>
        <w:t xml:space="preserve">for the child to leave the United Kingdom who was two years old at the date of the hearing. He submitted that the judge properly considered the </w:t>
      </w:r>
      <w:r w:rsidR="00285DEE">
        <w:rPr>
          <w:rFonts w:ascii="Book Antiqua" w:hAnsi="Book Antiqua" w:cs="Arial"/>
        </w:rPr>
        <w:t>Article 8</w:t>
      </w:r>
      <w:r>
        <w:rPr>
          <w:rFonts w:ascii="Book Antiqua" w:hAnsi="Book Antiqua" w:cs="Arial"/>
        </w:rPr>
        <w:t xml:space="preserve"> issues at paragraph 15 and are taken into account the best interests of the child which was to be with his parents. He submitted that it was not right to separate families.</w:t>
      </w:r>
    </w:p>
    <w:p w:rsidR="00546EBD" w:rsidRPr="00546EBD" w:rsidRDefault="00980906" w:rsidP="002B1AE7">
      <w:pPr>
        <w:numPr>
          <w:ilvl w:val="0"/>
          <w:numId w:val="3"/>
        </w:numPr>
        <w:spacing w:before="240"/>
        <w:jc w:val="both"/>
        <w:rPr>
          <w:rFonts w:ascii="Book Antiqua" w:hAnsi="Book Antiqua" w:cs="Arial"/>
          <w:u w:val="single"/>
        </w:rPr>
      </w:pPr>
      <w:r>
        <w:rPr>
          <w:rFonts w:ascii="Book Antiqua" w:hAnsi="Book Antiqua" w:cs="Arial"/>
        </w:rPr>
        <w:t xml:space="preserve"> At the conclusion of the submissions I reserved my decision which I now give.</w:t>
      </w:r>
    </w:p>
    <w:p w:rsidR="002413B3" w:rsidRPr="00541C0C" w:rsidRDefault="0028529C" w:rsidP="00546EBD">
      <w:pPr>
        <w:spacing w:before="240"/>
        <w:jc w:val="both"/>
        <w:rPr>
          <w:rFonts w:ascii="Book Antiqua" w:hAnsi="Book Antiqua" w:cs="Arial"/>
          <w:u w:val="single"/>
        </w:rPr>
      </w:pPr>
      <w:r w:rsidRPr="00541C0C">
        <w:rPr>
          <w:rFonts w:ascii="Book Antiqua" w:hAnsi="Book Antiqua" w:cs="Arial"/>
        </w:rPr>
        <w:t xml:space="preserve"> </w:t>
      </w:r>
      <w:r w:rsidR="006753FD" w:rsidRPr="00541C0C">
        <w:rPr>
          <w:rFonts w:ascii="Book Antiqua" w:hAnsi="Book Antiqua" w:cs="Arial"/>
          <w:u w:val="single"/>
        </w:rPr>
        <w:t>Decision</w:t>
      </w:r>
      <w:r w:rsidR="00AB67D7" w:rsidRPr="00541C0C">
        <w:rPr>
          <w:rFonts w:ascii="Book Antiqua" w:hAnsi="Book Antiqua" w:cs="Arial"/>
          <w:u w:val="single"/>
        </w:rPr>
        <w:t>:</w:t>
      </w:r>
      <w:bookmarkStart w:id="1" w:name="para14"/>
    </w:p>
    <w:p w:rsidR="00503B23" w:rsidRDefault="00503B23" w:rsidP="002B1AE7">
      <w:pPr>
        <w:numPr>
          <w:ilvl w:val="0"/>
          <w:numId w:val="3"/>
        </w:numPr>
        <w:spacing w:before="240"/>
        <w:jc w:val="both"/>
        <w:rPr>
          <w:rFonts w:ascii="Book Antiqua" w:hAnsi="Book Antiqua" w:cs="Arial"/>
        </w:rPr>
      </w:pPr>
      <w:r>
        <w:rPr>
          <w:rFonts w:ascii="Book Antiqua" w:hAnsi="Book Antiqua" w:cs="Arial"/>
        </w:rPr>
        <w:t xml:space="preserve">The first issue relates to the issue of deception </w:t>
      </w:r>
      <w:r w:rsidR="00A204D2">
        <w:rPr>
          <w:rFonts w:ascii="Book Antiqua" w:hAnsi="Book Antiqua" w:cs="Arial"/>
        </w:rPr>
        <w:t>relating to the use of an English Language certificate to obtain leave.</w:t>
      </w:r>
      <w:r w:rsidR="004033F1">
        <w:rPr>
          <w:rFonts w:ascii="Book Antiqua" w:hAnsi="Book Antiqua" w:cs="Arial"/>
        </w:rPr>
        <w:t xml:space="preserve"> The allegation was set out in the decision letter in which it was stated that in an application made by the </w:t>
      </w:r>
      <w:r w:rsidR="00714EE4">
        <w:rPr>
          <w:rFonts w:ascii="Book Antiqua" w:hAnsi="Book Antiqua" w:cs="Arial"/>
        </w:rPr>
        <w:t>Appellant</w:t>
      </w:r>
      <w:r w:rsidR="004033F1">
        <w:rPr>
          <w:rFonts w:ascii="Book Antiqua" w:hAnsi="Book Antiqua" w:cs="Arial"/>
        </w:rPr>
        <w:t xml:space="preserve"> dated 26 May 2012 he had submitted a TOEIC certificate from ETS. The test scores were taken on 21 February 2012 at Alexander College but they had been cancelled by ETS. </w:t>
      </w:r>
    </w:p>
    <w:p w:rsidR="004033F1" w:rsidRDefault="00EA6CF0" w:rsidP="002B1AE7">
      <w:pPr>
        <w:numPr>
          <w:ilvl w:val="0"/>
          <w:numId w:val="3"/>
        </w:numPr>
        <w:spacing w:before="240"/>
        <w:jc w:val="both"/>
        <w:rPr>
          <w:rFonts w:ascii="Book Antiqua" w:hAnsi="Book Antiqua" w:cs="Arial"/>
        </w:rPr>
      </w:pPr>
      <w:r>
        <w:rPr>
          <w:rFonts w:ascii="Book Antiqua" w:hAnsi="Book Antiqua" w:cs="Arial"/>
        </w:rPr>
        <w:t xml:space="preserve">The judge considered this issue in brief terms at paragraphs 6 and 7. The judge stated as </w:t>
      </w:r>
      <w:proofErr w:type="gramStart"/>
      <w:r>
        <w:rPr>
          <w:rFonts w:ascii="Book Antiqua" w:hAnsi="Book Antiqua" w:cs="Arial"/>
        </w:rPr>
        <w:t>follows:-</w:t>
      </w:r>
      <w:proofErr w:type="gramEnd"/>
    </w:p>
    <w:p w:rsidR="00EA6CF0" w:rsidRPr="002B1AE7" w:rsidRDefault="00EA6CF0" w:rsidP="002B1AE7">
      <w:pPr>
        <w:spacing w:before="120"/>
        <w:ind w:left="1134" w:right="567"/>
        <w:jc w:val="both"/>
        <w:rPr>
          <w:rFonts w:ascii="Book Antiqua" w:hAnsi="Book Antiqua" w:cs="Arial"/>
          <w:sz w:val="22"/>
        </w:rPr>
      </w:pPr>
      <w:r w:rsidRPr="002B1AE7">
        <w:rPr>
          <w:rFonts w:ascii="Book Antiqua" w:hAnsi="Book Antiqua" w:cs="Arial"/>
          <w:sz w:val="22"/>
        </w:rPr>
        <w:t>ETS issue</w:t>
      </w:r>
    </w:p>
    <w:p w:rsidR="00EA6CF0" w:rsidRPr="002B1AE7" w:rsidRDefault="00EA6CF0" w:rsidP="002B1AE7">
      <w:pPr>
        <w:tabs>
          <w:tab w:val="left" w:pos="1701"/>
        </w:tabs>
        <w:spacing w:before="120"/>
        <w:ind w:left="1134" w:right="567"/>
        <w:jc w:val="both"/>
        <w:rPr>
          <w:rFonts w:ascii="Book Antiqua" w:hAnsi="Book Antiqua" w:cs="Arial"/>
          <w:sz w:val="22"/>
        </w:rPr>
      </w:pPr>
      <w:r w:rsidRPr="002B1AE7">
        <w:rPr>
          <w:rFonts w:ascii="Book Antiqua" w:hAnsi="Book Antiqua" w:cs="Arial"/>
          <w:sz w:val="22"/>
        </w:rPr>
        <w:t>6.</w:t>
      </w:r>
      <w:r w:rsidR="002B1AE7">
        <w:rPr>
          <w:rFonts w:ascii="Book Antiqua" w:hAnsi="Book Antiqua" w:cs="Arial"/>
          <w:sz w:val="22"/>
        </w:rPr>
        <w:tab/>
      </w:r>
      <w:r w:rsidRPr="002B1AE7">
        <w:rPr>
          <w:rFonts w:ascii="Book Antiqua" w:hAnsi="Book Antiqua" w:cs="Arial"/>
          <w:sz w:val="22"/>
        </w:rPr>
        <w:t xml:space="preserve">This issue must be considered first. I can state quite categorically that the </w:t>
      </w:r>
      <w:r w:rsidR="00714EE4" w:rsidRPr="002B1AE7">
        <w:rPr>
          <w:rFonts w:ascii="Book Antiqua" w:hAnsi="Book Antiqua" w:cs="Arial"/>
          <w:sz w:val="22"/>
        </w:rPr>
        <w:t>Respondent’s</w:t>
      </w:r>
      <w:r w:rsidRPr="002B1AE7">
        <w:rPr>
          <w:rFonts w:ascii="Book Antiqua" w:hAnsi="Book Antiqua" w:cs="Arial"/>
          <w:sz w:val="22"/>
        </w:rPr>
        <w:t xml:space="preserve"> case has no substance. It is the </w:t>
      </w:r>
      <w:r w:rsidR="00714EE4" w:rsidRPr="002B1AE7">
        <w:rPr>
          <w:rFonts w:ascii="Book Antiqua" w:hAnsi="Book Antiqua" w:cs="Arial"/>
          <w:sz w:val="22"/>
        </w:rPr>
        <w:t>Respondent’s</w:t>
      </w:r>
      <w:r w:rsidRPr="002B1AE7">
        <w:rPr>
          <w:rFonts w:ascii="Book Antiqua" w:hAnsi="Book Antiqua" w:cs="Arial"/>
          <w:sz w:val="22"/>
        </w:rPr>
        <w:t xml:space="preserve"> case that the </w:t>
      </w:r>
      <w:r w:rsidR="00714EE4" w:rsidRPr="002B1AE7">
        <w:rPr>
          <w:rFonts w:ascii="Book Antiqua" w:hAnsi="Book Antiqua" w:cs="Arial"/>
          <w:sz w:val="22"/>
        </w:rPr>
        <w:t>Appellant</w:t>
      </w:r>
      <w:r w:rsidRPr="002B1AE7">
        <w:rPr>
          <w:rFonts w:ascii="Book Antiqua" w:hAnsi="Book Antiqua" w:cs="Arial"/>
          <w:sz w:val="22"/>
        </w:rPr>
        <w:t xml:space="preserve"> undertook his test by proxy. Reliance is placed on witness statements from Rebecca Collings, Peter Millington and a report prepared by Prof Peter French. However, with respect, these are generic statements and nothing more. Mr Yusuf submitted that even on the day of the hearing the </w:t>
      </w:r>
      <w:r w:rsidR="00714EE4" w:rsidRPr="002B1AE7">
        <w:rPr>
          <w:rFonts w:ascii="Book Antiqua" w:hAnsi="Book Antiqua" w:cs="Arial"/>
          <w:sz w:val="22"/>
        </w:rPr>
        <w:t>Respondent</w:t>
      </w:r>
      <w:r w:rsidRPr="002B1AE7">
        <w:rPr>
          <w:rFonts w:ascii="Book Antiqua" w:hAnsi="Book Antiqua" w:cs="Arial"/>
          <w:sz w:val="22"/>
        </w:rPr>
        <w:t xml:space="preserve"> still relied on the generic evidence.</w:t>
      </w:r>
    </w:p>
    <w:p w:rsidR="00714EE4" w:rsidRPr="002B1AE7" w:rsidRDefault="00EA6CF0" w:rsidP="002B1AE7">
      <w:pPr>
        <w:tabs>
          <w:tab w:val="left" w:pos="1701"/>
        </w:tabs>
        <w:spacing w:before="120"/>
        <w:ind w:left="1134" w:right="567"/>
        <w:jc w:val="both"/>
        <w:rPr>
          <w:rFonts w:ascii="Book Antiqua" w:hAnsi="Book Antiqua" w:cs="Arial"/>
          <w:sz w:val="22"/>
        </w:rPr>
      </w:pPr>
      <w:r w:rsidRPr="002B1AE7">
        <w:rPr>
          <w:rFonts w:ascii="Book Antiqua" w:hAnsi="Book Antiqua" w:cs="Arial"/>
          <w:sz w:val="22"/>
        </w:rPr>
        <w:t>7.</w:t>
      </w:r>
      <w:r w:rsidR="002B1AE7">
        <w:rPr>
          <w:rFonts w:ascii="Book Antiqua" w:hAnsi="Book Antiqua" w:cs="Arial"/>
          <w:sz w:val="22"/>
        </w:rPr>
        <w:tab/>
      </w:r>
      <w:r w:rsidRPr="002B1AE7">
        <w:rPr>
          <w:rFonts w:ascii="Book Antiqua" w:hAnsi="Book Antiqua" w:cs="Arial"/>
          <w:sz w:val="22"/>
        </w:rPr>
        <w:t xml:space="preserve">During his evidence, the </w:t>
      </w:r>
      <w:r w:rsidR="00714EE4" w:rsidRPr="002B1AE7">
        <w:rPr>
          <w:rFonts w:ascii="Book Antiqua" w:hAnsi="Book Antiqua" w:cs="Arial"/>
          <w:sz w:val="22"/>
        </w:rPr>
        <w:t>Appellant</w:t>
      </w:r>
      <w:r w:rsidRPr="002B1AE7">
        <w:rPr>
          <w:rFonts w:ascii="Book Antiqua" w:hAnsi="Book Antiqua" w:cs="Arial"/>
          <w:sz w:val="22"/>
        </w:rPr>
        <w:t xml:space="preserve"> stated that he had undertaken the test himself. The </w:t>
      </w:r>
      <w:r w:rsidR="00714EE4" w:rsidRPr="002B1AE7">
        <w:rPr>
          <w:rFonts w:ascii="Book Antiqua" w:hAnsi="Book Antiqua" w:cs="Arial"/>
          <w:sz w:val="22"/>
        </w:rPr>
        <w:t>Appellant</w:t>
      </w:r>
      <w:r w:rsidRPr="002B1AE7">
        <w:rPr>
          <w:rFonts w:ascii="Book Antiqua" w:hAnsi="Book Antiqua" w:cs="Arial"/>
          <w:sz w:val="22"/>
        </w:rPr>
        <w:t xml:space="preserve"> said that the test comprised of listening, writing, reading and speaking. The </w:t>
      </w:r>
      <w:r w:rsidR="00714EE4" w:rsidRPr="002B1AE7">
        <w:rPr>
          <w:rFonts w:ascii="Book Antiqua" w:hAnsi="Book Antiqua" w:cs="Arial"/>
          <w:sz w:val="22"/>
        </w:rPr>
        <w:t>Appellant</w:t>
      </w:r>
      <w:r w:rsidRPr="002B1AE7">
        <w:rPr>
          <w:rFonts w:ascii="Book Antiqua" w:hAnsi="Book Antiqua" w:cs="Arial"/>
          <w:sz w:val="22"/>
        </w:rPr>
        <w:t xml:space="preserve"> was adamant that he had not paid anyone to undertake the test for him and confirmed that he had undertaken it. Ms Rands submitted that the </w:t>
      </w:r>
      <w:r w:rsidR="00714EE4" w:rsidRPr="002B1AE7">
        <w:rPr>
          <w:rFonts w:ascii="Book Antiqua" w:hAnsi="Book Antiqua" w:cs="Arial"/>
          <w:sz w:val="22"/>
        </w:rPr>
        <w:t>Appellant</w:t>
      </w:r>
      <w:r w:rsidRPr="002B1AE7">
        <w:rPr>
          <w:rFonts w:ascii="Book Antiqua" w:hAnsi="Book Antiqua" w:cs="Arial"/>
          <w:sz w:val="22"/>
        </w:rPr>
        <w:t xml:space="preserve"> had attempted to cheat the system</w:t>
      </w:r>
      <w:r w:rsidR="00714EE4" w:rsidRPr="002B1AE7">
        <w:rPr>
          <w:rFonts w:ascii="Book Antiqua" w:hAnsi="Book Antiqua" w:cs="Arial"/>
          <w:sz w:val="22"/>
        </w:rPr>
        <w:t>. There is no substance for</w:t>
      </w:r>
      <w:r w:rsidRPr="002B1AE7">
        <w:rPr>
          <w:rFonts w:ascii="Book Antiqua" w:hAnsi="Book Antiqua" w:cs="Arial"/>
          <w:sz w:val="22"/>
        </w:rPr>
        <w:t xml:space="preserve"> that submission. I bear in mind the </w:t>
      </w:r>
      <w:r w:rsidR="00714EE4" w:rsidRPr="002B1AE7">
        <w:rPr>
          <w:rFonts w:ascii="Book Antiqua" w:hAnsi="Book Antiqua" w:cs="Arial"/>
          <w:sz w:val="22"/>
        </w:rPr>
        <w:t>Tribunal</w:t>
      </w:r>
      <w:r w:rsidRPr="002B1AE7">
        <w:rPr>
          <w:rFonts w:ascii="Book Antiqua" w:hAnsi="Book Antiqua" w:cs="Arial"/>
          <w:sz w:val="22"/>
        </w:rPr>
        <w:t xml:space="preserve"> decision in the case of </w:t>
      </w:r>
      <w:r w:rsidRPr="002B1AE7">
        <w:rPr>
          <w:rFonts w:ascii="Book Antiqua" w:hAnsi="Book Antiqua" w:cs="Arial"/>
          <w:i/>
          <w:sz w:val="22"/>
        </w:rPr>
        <w:t>SM and Qadir v SSHD (ETS-Evidence-burden of proof)</w:t>
      </w:r>
      <w:r w:rsidRPr="002B1AE7">
        <w:rPr>
          <w:rFonts w:ascii="Book Antiqua" w:hAnsi="Book Antiqua" w:cs="Arial"/>
          <w:sz w:val="22"/>
        </w:rPr>
        <w:t xml:space="preserve"> [2016] UK UT 229. There is no specific evidence to establish that the </w:t>
      </w:r>
      <w:r w:rsidR="00714EE4" w:rsidRPr="002B1AE7">
        <w:rPr>
          <w:rFonts w:ascii="Book Antiqua" w:hAnsi="Book Antiqua" w:cs="Arial"/>
          <w:sz w:val="22"/>
        </w:rPr>
        <w:t>Appellant</w:t>
      </w:r>
      <w:r w:rsidRPr="002B1AE7">
        <w:rPr>
          <w:rFonts w:ascii="Book Antiqua" w:hAnsi="Book Antiqua" w:cs="Arial"/>
          <w:sz w:val="22"/>
        </w:rPr>
        <w:t xml:space="preserve"> had obtained fraudulently the TOEIC certificate. There is an evidential burden on the </w:t>
      </w:r>
      <w:r w:rsidR="00714EE4" w:rsidRPr="002B1AE7">
        <w:rPr>
          <w:rFonts w:ascii="Book Antiqua" w:hAnsi="Book Antiqua" w:cs="Arial"/>
          <w:sz w:val="22"/>
        </w:rPr>
        <w:t>Respondent</w:t>
      </w:r>
      <w:r w:rsidRPr="002B1AE7">
        <w:rPr>
          <w:rFonts w:ascii="Book Antiqua" w:hAnsi="Book Antiqua" w:cs="Arial"/>
          <w:sz w:val="22"/>
        </w:rPr>
        <w:t xml:space="preserve">, which has not been discharged. Accordingly, I find the </w:t>
      </w:r>
      <w:r w:rsidR="00714EE4" w:rsidRPr="002B1AE7">
        <w:rPr>
          <w:rFonts w:ascii="Book Antiqua" w:hAnsi="Book Antiqua" w:cs="Arial"/>
          <w:sz w:val="22"/>
        </w:rPr>
        <w:t>Respondent</w:t>
      </w:r>
      <w:r w:rsidRPr="002B1AE7">
        <w:rPr>
          <w:rFonts w:ascii="Book Antiqua" w:hAnsi="Book Antiqua" w:cs="Arial"/>
          <w:sz w:val="22"/>
        </w:rPr>
        <w:t xml:space="preserve"> has not established that the </w:t>
      </w:r>
      <w:r w:rsidR="00714EE4" w:rsidRPr="002B1AE7">
        <w:rPr>
          <w:rFonts w:ascii="Book Antiqua" w:hAnsi="Book Antiqua" w:cs="Arial"/>
          <w:sz w:val="22"/>
        </w:rPr>
        <w:t>Appellant’s</w:t>
      </w:r>
      <w:r w:rsidRPr="002B1AE7">
        <w:rPr>
          <w:rFonts w:ascii="Book Antiqua" w:hAnsi="Book Antiqua" w:cs="Arial"/>
          <w:sz w:val="22"/>
        </w:rPr>
        <w:t xml:space="preserve"> presence in the United Kingdom is not conducive to the public good.”</w:t>
      </w:r>
    </w:p>
    <w:p w:rsidR="00714EE4" w:rsidRDefault="00714EE4" w:rsidP="002B1AE7">
      <w:pPr>
        <w:spacing w:before="240"/>
        <w:ind w:left="567" w:hanging="567"/>
        <w:jc w:val="both"/>
        <w:rPr>
          <w:rFonts w:ascii="Book Antiqua" w:hAnsi="Book Antiqua" w:cs="Arial"/>
        </w:rPr>
      </w:pPr>
      <w:r>
        <w:rPr>
          <w:rFonts w:ascii="Book Antiqua" w:hAnsi="Book Antiqua" w:cs="Arial"/>
        </w:rPr>
        <w:t>20.</w:t>
      </w:r>
      <w:r>
        <w:rPr>
          <w:rFonts w:ascii="Book Antiqua" w:hAnsi="Book Antiqua" w:cs="Arial"/>
        </w:rPr>
        <w:tab/>
      </w:r>
      <w:r w:rsidR="00EA6CF0">
        <w:rPr>
          <w:rFonts w:ascii="Book Antiqua" w:hAnsi="Book Antiqua" w:cs="Arial"/>
        </w:rPr>
        <w:t xml:space="preserve">It is submitted on behalf of the </w:t>
      </w:r>
      <w:r>
        <w:rPr>
          <w:rFonts w:ascii="Book Antiqua" w:hAnsi="Book Antiqua" w:cs="Arial"/>
        </w:rPr>
        <w:t>Respondent</w:t>
      </w:r>
      <w:r w:rsidR="00EA6CF0">
        <w:rPr>
          <w:rFonts w:ascii="Book Antiqua" w:hAnsi="Book Antiqua" w:cs="Arial"/>
        </w:rPr>
        <w:t xml:space="preserve"> that the judge failed to correctly assess the burden of proof in line with the case that was cited and that the generic evidence combined with evidence particular to </w:t>
      </w:r>
      <w:r>
        <w:rPr>
          <w:rFonts w:ascii="Book Antiqua" w:hAnsi="Book Antiqua" w:cs="Arial"/>
        </w:rPr>
        <w:t>Appellant</w:t>
      </w:r>
      <w:r w:rsidR="00EA6CF0">
        <w:rPr>
          <w:rFonts w:ascii="Book Antiqua" w:hAnsi="Book Antiqua" w:cs="Arial"/>
        </w:rPr>
        <w:t xml:space="preserve"> did, in fact, discharge the evidential burden of proving that a TOEIC certificate had been procured by dishonesty. Ms Aboni relied upon the written grounds where at paragraph 4 it had been stated that there was documentary evidence that the </w:t>
      </w:r>
      <w:r>
        <w:rPr>
          <w:rFonts w:ascii="Book Antiqua" w:hAnsi="Book Antiqua" w:cs="Arial"/>
        </w:rPr>
        <w:t>Appellant</w:t>
      </w:r>
      <w:r w:rsidR="00EA6CF0">
        <w:rPr>
          <w:rFonts w:ascii="Book Antiqua" w:hAnsi="Book Antiqua" w:cs="Arial"/>
        </w:rPr>
        <w:t xml:space="preserve"> test result had been identified as </w:t>
      </w:r>
      <w:r w:rsidR="00285DEE">
        <w:rPr>
          <w:rFonts w:ascii="Book Antiqua" w:hAnsi="Book Antiqua" w:cs="Arial"/>
        </w:rPr>
        <w:t>“</w:t>
      </w:r>
      <w:r w:rsidR="00EA6CF0">
        <w:rPr>
          <w:rFonts w:ascii="Book Antiqua" w:hAnsi="Book Antiqua" w:cs="Arial"/>
        </w:rPr>
        <w:t>invalid</w:t>
      </w:r>
      <w:r w:rsidR="00285DEE">
        <w:rPr>
          <w:rFonts w:ascii="Book Antiqua" w:hAnsi="Book Antiqua" w:cs="Arial"/>
        </w:rPr>
        <w:t>”</w:t>
      </w:r>
      <w:r w:rsidR="00EA6CF0">
        <w:rPr>
          <w:rFonts w:ascii="Book Antiqua" w:hAnsi="Book Antiqua" w:cs="Arial"/>
        </w:rPr>
        <w:t xml:space="preserve"> by the use of this method. In her submissions she made reference to the spreadsheet provided to demonstrate the necessary evidence to show that the </w:t>
      </w:r>
      <w:r>
        <w:rPr>
          <w:rFonts w:ascii="Book Antiqua" w:hAnsi="Book Antiqua" w:cs="Arial"/>
        </w:rPr>
        <w:t>Appellant</w:t>
      </w:r>
      <w:r w:rsidR="00EA6CF0">
        <w:rPr>
          <w:rFonts w:ascii="Book Antiqua" w:hAnsi="Book Antiqua" w:cs="Arial"/>
        </w:rPr>
        <w:t xml:space="preserve"> did em</w:t>
      </w:r>
      <w:r w:rsidR="00285DEE">
        <w:rPr>
          <w:rFonts w:ascii="Book Antiqua" w:hAnsi="Book Antiqua" w:cs="Arial"/>
        </w:rPr>
        <w:t>ploy deception. In particular as</w:t>
      </w:r>
      <w:r w:rsidR="00EA6CF0">
        <w:rPr>
          <w:rFonts w:ascii="Book Antiqua" w:hAnsi="Book Antiqua" w:cs="Arial"/>
        </w:rPr>
        <w:t xml:space="preserve"> the grounds set out, it was submitted that the </w:t>
      </w:r>
      <w:r>
        <w:rPr>
          <w:rFonts w:ascii="Book Antiqua" w:hAnsi="Book Antiqua" w:cs="Arial"/>
        </w:rPr>
        <w:t>Tribunal</w:t>
      </w:r>
      <w:r w:rsidR="00EA6CF0">
        <w:rPr>
          <w:rFonts w:ascii="Book Antiqua" w:hAnsi="Book Antiqua" w:cs="Arial"/>
        </w:rPr>
        <w:t xml:space="preserve"> had misinterpreted the evidence and had failed to have regard to the ETS lookup tool attached to the </w:t>
      </w:r>
      <w:r>
        <w:rPr>
          <w:rFonts w:ascii="Book Antiqua" w:hAnsi="Book Antiqua" w:cs="Arial"/>
        </w:rPr>
        <w:t>Respondent’s</w:t>
      </w:r>
      <w:r w:rsidR="00EA6CF0">
        <w:rPr>
          <w:rFonts w:ascii="Book Antiqua" w:hAnsi="Book Antiqua" w:cs="Arial"/>
        </w:rPr>
        <w:t xml:space="preserve"> bundle at Annex I which was identified </w:t>
      </w:r>
      <w:r w:rsidR="00EA6CF0">
        <w:rPr>
          <w:rFonts w:ascii="Book Antiqua" w:hAnsi="Book Antiqua" w:cs="Arial"/>
        </w:rPr>
        <w:lastRenderedPageBreak/>
        <w:t xml:space="preserve">as the evidence that was in fact specific to the </w:t>
      </w:r>
      <w:r>
        <w:rPr>
          <w:rFonts w:ascii="Book Antiqua" w:hAnsi="Book Antiqua" w:cs="Arial"/>
        </w:rPr>
        <w:t>Appellant</w:t>
      </w:r>
      <w:r w:rsidR="00EA6CF0">
        <w:rPr>
          <w:rFonts w:ascii="Book Antiqua" w:hAnsi="Book Antiqua" w:cs="Arial"/>
        </w:rPr>
        <w:t xml:space="preserve">. The grounds go on to state that had the judge properly considered the </w:t>
      </w:r>
      <w:r>
        <w:rPr>
          <w:rFonts w:ascii="Book Antiqua" w:hAnsi="Book Antiqua" w:cs="Arial"/>
        </w:rPr>
        <w:t>Respondent</w:t>
      </w:r>
      <w:r w:rsidR="00EA6CF0">
        <w:rPr>
          <w:rFonts w:ascii="Book Antiqua" w:hAnsi="Book Antiqua" w:cs="Arial"/>
        </w:rPr>
        <w:t xml:space="preserve"> evidence, it would have been clear that the deception had been demonstrated to the standard of the balance of probabilities.</w:t>
      </w:r>
    </w:p>
    <w:p w:rsidR="00EA6CF0" w:rsidRDefault="00714EE4" w:rsidP="002B1AE7">
      <w:pPr>
        <w:spacing w:before="240"/>
        <w:ind w:left="567" w:hanging="567"/>
        <w:jc w:val="both"/>
        <w:rPr>
          <w:rFonts w:ascii="Book Antiqua" w:hAnsi="Book Antiqua" w:cs="Arial"/>
        </w:rPr>
      </w:pPr>
      <w:r>
        <w:rPr>
          <w:rFonts w:ascii="Book Antiqua" w:hAnsi="Book Antiqua" w:cs="Arial"/>
        </w:rPr>
        <w:t>21.</w:t>
      </w:r>
      <w:r>
        <w:rPr>
          <w:rFonts w:ascii="Book Antiqua" w:hAnsi="Book Antiqua" w:cs="Arial"/>
        </w:rPr>
        <w:tab/>
      </w:r>
      <w:r w:rsidR="0075624E">
        <w:rPr>
          <w:rFonts w:ascii="Book Antiqua" w:hAnsi="Book Antiqua" w:cs="Arial"/>
        </w:rPr>
        <w:t xml:space="preserve">I have therefore considered the evidence that was before the judge as set out in the </w:t>
      </w:r>
      <w:r>
        <w:rPr>
          <w:rFonts w:ascii="Book Antiqua" w:hAnsi="Book Antiqua" w:cs="Arial"/>
        </w:rPr>
        <w:t>Tribunal</w:t>
      </w:r>
      <w:r w:rsidR="0075624E">
        <w:rPr>
          <w:rFonts w:ascii="Book Antiqua" w:hAnsi="Book Antiqua" w:cs="Arial"/>
        </w:rPr>
        <w:t xml:space="preserve"> papers before me. There is no dispute that the </w:t>
      </w:r>
      <w:r>
        <w:rPr>
          <w:rFonts w:ascii="Book Antiqua" w:hAnsi="Book Antiqua" w:cs="Arial"/>
        </w:rPr>
        <w:t>Respondent</w:t>
      </w:r>
      <w:r w:rsidR="0075624E">
        <w:rPr>
          <w:rFonts w:ascii="Book Antiqua" w:hAnsi="Book Antiqua" w:cs="Arial"/>
        </w:rPr>
        <w:t xml:space="preserve"> relied upon the witness statements from Rebecca Collings, Peter Millington and the report prepared by Prof Peter French. The significance of the expert report by Prof</w:t>
      </w:r>
      <w:r w:rsidR="00285DEE">
        <w:rPr>
          <w:rFonts w:ascii="Book Antiqua" w:hAnsi="Book Antiqua" w:cs="Arial"/>
        </w:rPr>
        <w:t xml:space="preserve"> Peter French is that it countered</w:t>
      </w:r>
      <w:r w:rsidR="0075624E">
        <w:rPr>
          <w:rFonts w:ascii="Book Antiqua" w:hAnsi="Book Antiqua" w:cs="Arial"/>
        </w:rPr>
        <w:t xml:space="preserve"> the expert evidence of Dr Harrison which was adduced in the decision of SM and Qadir (as cited above) and which was the foundation of the </w:t>
      </w:r>
      <w:r w:rsidR="00285DEE">
        <w:rPr>
          <w:rFonts w:ascii="Book Antiqua" w:hAnsi="Book Antiqua" w:cs="Arial"/>
        </w:rPr>
        <w:t xml:space="preserve">Upper </w:t>
      </w:r>
      <w:r>
        <w:rPr>
          <w:rFonts w:ascii="Book Antiqua" w:hAnsi="Book Antiqua" w:cs="Arial"/>
        </w:rPr>
        <w:t>Tribunal</w:t>
      </w:r>
      <w:r w:rsidR="0075624E">
        <w:rPr>
          <w:rFonts w:ascii="Book Antiqua" w:hAnsi="Book Antiqua" w:cs="Arial"/>
        </w:rPr>
        <w:t xml:space="preserve">’s findings at [68]. In reaching that conclusion that the standard generic evidence only </w:t>
      </w:r>
      <w:proofErr w:type="gramStart"/>
      <w:r w:rsidR="0075624E">
        <w:rPr>
          <w:rFonts w:ascii="Book Antiqua" w:hAnsi="Book Antiqua" w:cs="Arial"/>
        </w:rPr>
        <w:t>discharge</w:t>
      </w:r>
      <w:proofErr w:type="gramEnd"/>
      <w:r w:rsidR="0075624E">
        <w:rPr>
          <w:rFonts w:ascii="Book Antiqua" w:hAnsi="Book Antiqua" w:cs="Arial"/>
        </w:rPr>
        <w:t xml:space="preserve"> the evidential burden by a narrow margin, the </w:t>
      </w:r>
      <w:r>
        <w:rPr>
          <w:rFonts w:ascii="Book Antiqua" w:hAnsi="Book Antiqua" w:cs="Arial"/>
        </w:rPr>
        <w:t>Tribunal</w:t>
      </w:r>
      <w:r w:rsidR="0075624E">
        <w:rPr>
          <w:rFonts w:ascii="Book Antiqua" w:hAnsi="Book Antiqua" w:cs="Arial"/>
        </w:rPr>
        <w:t xml:space="preserve"> attached weight to the expert evidence of Dr Harrison who was of the opinion that the ETS method of </w:t>
      </w:r>
      <w:r w:rsidR="00285DEE">
        <w:rPr>
          <w:rFonts w:ascii="Book Antiqua" w:hAnsi="Book Antiqua" w:cs="Arial"/>
        </w:rPr>
        <w:t xml:space="preserve">analysing the TOEIC test </w:t>
      </w:r>
      <w:r w:rsidR="002B1AE7">
        <w:rPr>
          <w:rFonts w:ascii="Book Antiqua" w:hAnsi="Book Antiqua" w:cs="Arial"/>
        </w:rPr>
        <w:t>data was</w:t>
      </w:r>
      <w:r w:rsidR="0075624E">
        <w:rPr>
          <w:rFonts w:ascii="Book Antiqua" w:hAnsi="Book Antiqua" w:cs="Arial"/>
        </w:rPr>
        <w:t xml:space="preserve"> deeply flawed and capable of generating a very high number of false positives. Prof French’s report is a direct riposte to the expert evidence of Dr Harrison. </w:t>
      </w:r>
    </w:p>
    <w:p w:rsidR="0075624E" w:rsidRDefault="00714EE4" w:rsidP="002B1AE7">
      <w:pPr>
        <w:spacing w:before="240"/>
        <w:ind w:left="567" w:hanging="567"/>
        <w:jc w:val="both"/>
        <w:rPr>
          <w:rFonts w:ascii="Book Antiqua" w:hAnsi="Book Antiqua" w:cs="Arial"/>
        </w:rPr>
      </w:pPr>
      <w:r>
        <w:rPr>
          <w:rFonts w:ascii="Book Antiqua" w:hAnsi="Book Antiqua" w:cs="Arial"/>
        </w:rPr>
        <w:t>22.</w:t>
      </w:r>
      <w:r>
        <w:rPr>
          <w:rFonts w:ascii="Book Antiqua" w:hAnsi="Book Antiqua" w:cs="Arial"/>
        </w:rPr>
        <w:tab/>
      </w:r>
      <w:r w:rsidR="0075624E">
        <w:rPr>
          <w:rFonts w:ascii="Book Antiqua" w:hAnsi="Book Antiqua" w:cs="Arial"/>
        </w:rPr>
        <w:t xml:space="preserve">Whilst the grounds relied upon by the </w:t>
      </w:r>
      <w:r>
        <w:rPr>
          <w:rFonts w:ascii="Book Antiqua" w:hAnsi="Book Antiqua" w:cs="Arial"/>
        </w:rPr>
        <w:t>Respondent</w:t>
      </w:r>
      <w:r w:rsidR="0075624E">
        <w:rPr>
          <w:rFonts w:ascii="Book Antiqua" w:hAnsi="Book Antiqua" w:cs="Arial"/>
        </w:rPr>
        <w:t xml:space="preserve"> make reference to there being more than the generic statements and evidence and specifically state that there was evidence that was specific to the </w:t>
      </w:r>
      <w:r>
        <w:rPr>
          <w:rFonts w:ascii="Book Antiqua" w:hAnsi="Book Antiqua" w:cs="Arial"/>
        </w:rPr>
        <w:t>Appellant</w:t>
      </w:r>
      <w:r w:rsidR="0075624E">
        <w:rPr>
          <w:rFonts w:ascii="Book Antiqua" w:hAnsi="Book Antiqua" w:cs="Arial"/>
        </w:rPr>
        <w:t xml:space="preserve"> in the form of an “invalid” </w:t>
      </w:r>
      <w:r w:rsidR="00285DEE">
        <w:rPr>
          <w:rFonts w:ascii="Book Antiqua" w:hAnsi="Book Antiqua" w:cs="Arial"/>
        </w:rPr>
        <w:t>result that</w:t>
      </w:r>
      <w:r w:rsidR="0075624E">
        <w:rPr>
          <w:rFonts w:ascii="Book Antiqua" w:hAnsi="Book Antiqua" w:cs="Arial"/>
        </w:rPr>
        <w:t xml:space="preserve"> is not supported by the evidence that was in fact before the </w:t>
      </w:r>
      <w:r>
        <w:rPr>
          <w:rFonts w:ascii="Book Antiqua" w:hAnsi="Book Antiqua" w:cs="Arial"/>
        </w:rPr>
        <w:t>Tribunal</w:t>
      </w:r>
      <w:r w:rsidR="0075624E">
        <w:rPr>
          <w:rFonts w:ascii="Book Antiqua" w:hAnsi="Book Antiqua" w:cs="Arial"/>
        </w:rPr>
        <w:t>.</w:t>
      </w:r>
    </w:p>
    <w:p w:rsidR="0075624E" w:rsidRDefault="00714EE4" w:rsidP="002B1AE7">
      <w:pPr>
        <w:spacing w:before="240"/>
        <w:ind w:left="567" w:hanging="567"/>
        <w:jc w:val="both"/>
        <w:rPr>
          <w:rFonts w:ascii="Book Antiqua" w:hAnsi="Book Antiqua" w:cs="Arial"/>
        </w:rPr>
      </w:pPr>
      <w:r>
        <w:rPr>
          <w:rFonts w:ascii="Book Antiqua" w:hAnsi="Book Antiqua" w:cs="Arial"/>
        </w:rPr>
        <w:t>23.</w:t>
      </w:r>
      <w:r>
        <w:rPr>
          <w:rFonts w:ascii="Book Antiqua" w:hAnsi="Book Antiqua" w:cs="Arial"/>
        </w:rPr>
        <w:tab/>
      </w:r>
      <w:r w:rsidR="0075624E">
        <w:rPr>
          <w:rFonts w:ascii="Book Antiqua" w:hAnsi="Book Antiqua" w:cs="Arial"/>
        </w:rPr>
        <w:t xml:space="preserve">There were two bundles of evidence submitted on behalf of the </w:t>
      </w:r>
      <w:r>
        <w:rPr>
          <w:rFonts w:ascii="Book Antiqua" w:hAnsi="Book Antiqua" w:cs="Arial"/>
        </w:rPr>
        <w:t>Respondent</w:t>
      </w:r>
      <w:r w:rsidR="0075624E">
        <w:rPr>
          <w:rFonts w:ascii="Book Antiqua" w:hAnsi="Book Antiqua" w:cs="Arial"/>
        </w:rPr>
        <w:t xml:space="preserve">. They contained the witness statements of Rebecca Collings, Peter Millington and the report of Prof Peter French. In </w:t>
      </w:r>
      <w:proofErr w:type="gramStart"/>
      <w:r w:rsidR="0075624E">
        <w:rPr>
          <w:rFonts w:ascii="Book Antiqua" w:hAnsi="Book Antiqua" w:cs="Arial"/>
        </w:rPr>
        <w:t>addition</w:t>
      </w:r>
      <w:proofErr w:type="gramEnd"/>
      <w:r w:rsidR="0075624E">
        <w:rPr>
          <w:rFonts w:ascii="Book Antiqua" w:hAnsi="Book Antiqua" w:cs="Arial"/>
        </w:rPr>
        <w:t xml:space="preserve"> there was a witness statement from Mr J. Singh. The witness statement was dated 21 September 2017 and expressly </w:t>
      </w:r>
      <w:r w:rsidR="00285DEE">
        <w:rPr>
          <w:rFonts w:ascii="Book Antiqua" w:hAnsi="Book Antiqua" w:cs="Arial"/>
        </w:rPr>
        <w:t xml:space="preserve">at </w:t>
      </w:r>
      <w:r w:rsidR="0075624E">
        <w:rPr>
          <w:rFonts w:ascii="Book Antiqua" w:hAnsi="Book Antiqua" w:cs="Arial"/>
        </w:rPr>
        <w:t>paragraph 9 referred to the evidence of Rebecca Collings whose witness statement explain</w:t>
      </w:r>
      <w:r w:rsidR="00285DEE">
        <w:rPr>
          <w:rFonts w:ascii="Book Antiqua" w:hAnsi="Book Antiqua" w:cs="Arial"/>
        </w:rPr>
        <w:t>ed</w:t>
      </w:r>
      <w:r w:rsidR="0075624E">
        <w:rPr>
          <w:rFonts w:ascii="Book Antiqua" w:hAnsi="Book Antiqua" w:cs="Arial"/>
        </w:rPr>
        <w:t xml:space="preserve"> how the Home Office concluded on the basis of information provided by ETS that the </w:t>
      </w:r>
      <w:r>
        <w:rPr>
          <w:rFonts w:ascii="Book Antiqua" w:hAnsi="Book Antiqua" w:cs="Arial"/>
        </w:rPr>
        <w:t>Appellant</w:t>
      </w:r>
      <w:r w:rsidR="0075624E">
        <w:rPr>
          <w:rFonts w:ascii="Book Antiqua" w:hAnsi="Book Antiqua" w:cs="Arial"/>
        </w:rPr>
        <w:t xml:space="preserve"> exercise</w:t>
      </w:r>
      <w:r w:rsidR="00285DEE">
        <w:rPr>
          <w:rFonts w:ascii="Book Antiqua" w:hAnsi="Book Antiqua" w:cs="Arial"/>
        </w:rPr>
        <w:t>d</w:t>
      </w:r>
      <w:r w:rsidR="0075624E">
        <w:rPr>
          <w:rFonts w:ascii="Book Antiqua" w:hAnsi="Book Antiqua" w:cs="Arial"/>
        </w:rPr>
        <w:t xml:space="preserve"> deception. The witness statement went on to state “by way of this process, the Home Office identified that the </w:t>
      </w:r>
      <w:r>
        <w:rPr>
          <w:rFonts w:ascii="Book Antiqua" w:hAnsi="Book Antiqua" w:cs="Arial"/>
        </w:rPr>
        <w:t>Appellant</w:t>
      </w:r>
      <w:r w:rsidR="0075624E">
        <w:rPr>
          <w:rFonts w:ascii="Book Antiqua" w:hAnsi="Book Antiqua" w:cs="Arial"/>
        </w:rPr>
        <w:t xml:space="preserve"> had</w:t>
      </w:r>
      <w:r w:rsidR="00285DEE">
        <w:rPr>
          <w:rFonts w:ascii="Book Antiqua" w:hAnsi="Book Antiqua" w:cs="Arial"/>
        </w:rPr>
        <w:t xml:space="preserve"> a pending application </w:t>
      </w:r>
      <w:r w:rsidR="0075624E">
        <w:rPr>
          <w:rFonts w:ascii="Book Antiqua" w:hAnsi="Book Antiqua" w:cs="Arial"/>
        </w:rPr>
        <w:t xml:space="preserve">for leave and in support, was seeking to rely upon the invalid certificate. As a </w:t>
      </w:r>
      <w:proofErr w:type="gramStart"/>
      <w:r w:rsidR="0075624E">
        <w:rPr>
          <w:rFonts w:ascii="Book Antiqua" w:hAnsi="Book Antiqua" w:cs="Arial"/>
        </w:rPr>
        <w:t>result</w:t>
      </w:r>
      <w:proofErr w:type="gramEnd"/>
      <w:r w:rsidR="0075624E">
        <w:rPr>
          <w:rFonts w:ascii="Book Antiqua" w:hAnsi="Book Antiqua" w:cs="Arial"/>
        </w:rPr>
        <w:t xml:space="preserve"> the </w:t>
      </w:r>
      <w:r>
        <w:rPr>
          <w:rFonts w:ascii="Book Antiqua" w:hAnsi="Book Antiqua" w:cs="Arial"/>
        </w:rPr>
        <w:t>Appellant</w:t>
      </w:r>
      <w:r w:rsidR="00285DEE">
        <w:rPr>
          <w:rFonts w:ascii="Book Antiqua" w:hAnsi="Book Antiqua" w:cs="Arial"/>
        </w:rPr>
        <w:t xml:space="preserve"> fell</w:t>
      </w:r>
      <w:r w:rsidR="0075624E">
        <w:rPr>
          <w:rFonts w:ascii="Book Antiqua" w:hAnsi="Book Antiqua" w:cs="Arial"/>
        </w:rPr>
        <w:t xml:space="preserve"> to be considered for enforcement action set out in paragraph 35 to 38 of Rebecca Collings witness statement.” The contents of that witness statement can properly be regarded as “generic </w:t>
      </w:r>
      <w:r w:rsidR="00285DEE">
        <w:rPr>
          <w:rFonts w:ascii="Book Antiqua" w:hAnsi="Book Antiqua" w:cs="Arial"/>
        </w:rPr>
        <w:t>evidence” in the sense that none of it was</w:t>
      </w:r>
      <w:r w:rsidR="0075624E">
        <w:rPr>
          <w:rFonts w:ascii="Book Antiqua" w:hAnsi="Book Antiqua" w:cs="Arial"/>
        </w:rPr>
        <w:t xml:space="preserve"> specific to the </w:t>
      </w:r>
      <w:r>
        <w:rPr>
          <w:rFonts w:ascii="Book Antiqua" w:hAnsi="Book Antiqua" w:cs="Arial"/>
        </w:rPr>
        <w:t>Appellant</w:t>
      </w:r>
      <w:r w:rsidR="0075624E">
        <w:rPr>
          <w:rFonts w:ascii="Book Antiqua" w:hAnsi="Book Antiqua" w:cs="Arial"/>
        </w:rPr>
        <w:t xml:space="preserve">. It is right to state that in an additional paragraph following on from paragraph 9 it is stated “or: By way of this process, Home Office identified that the </w:t>
      </w:r>
      <w:r>
        <w:rPr>
          <w:rFonts w:ascii="Book Antiqua" w:hAnsi="Book Antiqua" w:cs="Arial"/>
        </w:rPr>
        <w:t>Appellant</w:t>
      </w:r>
      <w:r w:rsidR="0075624E">
        <w:rPr>
          <w:rFonts w:ascii="Book Antiqua" w:hAnsi="Book Antiqua" w:cs="Arial"/>
        </w:rPr>
        <w:t xml:space="preserve"> was relying upon the invalid certificate when seeking leave to enter to UK. As a result, the </w:t>
      </w:r>
      <w:r>
        <w:rPr>
          <w:rFonts w:ascii="Book Antiqua" w:hAnsi="Book Antiqua" w:cs="Arial"/>
        </w:rPr>
        <w:t>Appellant</w:t>
      </w:r>
      <w:r w:rsidR="0075624E">
        <w:rPr>
          <w:rFonts w:ascii="Book Antiqua" w:hAnsi="Book Antiqua" w:cs="Arial"/>
        </w:rPr>
        <w:t xml:space="preserve"> fell to be refused leave to enter”. However as can be seen from its contents, this was a recitation of an alternative paragraph which did not relate to the </w:t>
      </w:r>
      <w:r>
        <w:rPr>
          <w:rFonts w:ascii="Book Antiqua" w:hAnsi="Book Antiqua" w:cs="Arial"/>
        </w:rPr>
        <w:t>Appellant’s</w:t>
      </w:r>
      <w:r w:rsidR="0075624E">
        <w:rPr>
          <w:rFonts w:ascii="Book Antiqua" w:hAnsi="Book Antiqua" w:cs="Arial"/>
        </w:rPr>
        <w:t xml:space="preserve"> claim.</w:t>
      </w:r>
    </w:p>
    <w:p w:rsidR="0075624E" w:rsidRDefault="00714EE4" w:rsidP="002B1AE7">
      <w:pPr>
        <w:spacing w:before="240"/>
        <w:ind w:left="567" w:hanging="567"/>
        <w:jc w:val="both"/>
        <w:rPr>
          <w:rFonts w:ascii="Book Antiqua" w:hAnsi="Book Antiqua" w:cs="Arial"/>
        </w:rPr>
      </w:pPr>
      <w:r>
        <w:rPr>
          <w:rFonts w:ascii="Book Antiqua" w:hAnsi="Book Antiqua" w:cs="Arial"/>
        </w:rPr>
        <w:t>24.</w:t>
      </w:r>
      <w:r>
        <w:rPr>
          <w:rFonts w:ascii="Book Antiqua" w:hAnsi="Book Antiqua" w:cs="Arial"/>
        </w:rPr>
        <w:tab/>
      </w:r>
      <w:r w:rsidR="0075624E">
        <w:rPr>
          <w:rFonts w:ascii="Book Antiqua" w:hAnsi="Book Antiqua" w:cs="Arial"/>
        </w:rPr>
        <w:t>Attached to the witness statement was the ETS look up tool which related to Alexander College at the test centre with the tes</w:t>
      </w:r>
      <w:r w:rsidR="00285DEE">
        <w:rPr>
          <w:rFonts w:ascii="Book Antiqua" w:hAnsi="Book Antiqua" w:cs="Arial"/>
        </w:rPr>
        <w:t>t date of 21 February 2012. It r</w:t>
      </w:r>
      <w:r w:rsidR="0075624E">
        <w:rPr>
          <w:rFonts w:ascii="Book Antiqua" w:hAnsi="Book Antiqua" w:cs="Arial"/>
        </w:rPr>
        <w:t xml:space="preserve">eferred to 106 total tests taken and that 57% were questionable and 43% were invalid. There then followed a number of sheets showing the certificate number and its status of either </w:t>
      </w:r>
      <w:r w:rsidR="00285DEE">
        <w:rPr>
          <w:rFonts w:ascii="Book Antiqua" w:hAnsi="Book Antiqua" w:cs="Arial"/>
        </w:rPr>
        <w:t>“invalid”</w:t>
      </w:r>
      <w:r w:rsidR="0075624E">
        <w:rPr>
          <w:rFonts w:ascii="Book Antiqua" w:hAnsi="Book Antiqua" w:cs="Arial"/>
        </w:rPr>
        <w:t xml:space="preserve"> or </w:t>
      </w:r>
      <w:r w:rsidR="00285DEE">
        <w:rPr>
          <w:rFonts w:ascii="Book Antiqua" w:hAnsi="Book Antiqua" w:cs="Arial"/>
        </w:rPr>
        <w:t>“</w:t>
      </w:r>
      <w:r w:rsidR="0075624E">
        <w:rPr>
          <w:rFonts w:ascii="Book Antiqua" w:hAnsi="Book Antiqua" w:cs="Arial"/>
        </w:rPr>
        <w:t>questionable</w:t>
      </w:r>
      <w:r w:rsidR="00285DEE">
        <w:rPr>
          <w:rFonts w:ascii="Book Antiqua" w:hAnsi="Book Antiqua" w:cs="Arial"/>
        </w:rPr>
        <w:t>”</w:t>
      </w:r>
      <w:r w:rsidR="0075624E">
        <w:rPr>
          <w:rFonts w:ascii="Book Antiqua" w:hAnsi="Book Antiqua" w:cs="Arial"/>
        </w:rPr>
        <w:t xml:space="preserve">. The certificate that related to this particular </w:t>
      </w:r>
      <w:r>
        <w:rPr>
          <w:rFonts w:ascii="Book Antiqua" w:hAnsi="Book Antiqua" w:cs="Arial"/>
        </w:rPr>
        <w:t>Appellant</w:t>
      </w:r>
      <w:r w:rsidR="00285DEE">
        <w:rPr>
          <w:rFonts w:ascii="Book Antiqua" w:hAnsi="Book Antiqua" w:cs="Arial"/>
        </w:rPr>
        <w:t xml:space="preserve"> was identified </w:t>
      </w:r>
      <w:r w:rsidR="00285DEE">
        <w:rPr>
          <w:rFonts w:ascii="Book Antiqua" w:hAnsi="Book Antiqua" w:cs="Arial"/>
        </w:rPr>
        <w:lastRenderedPageBreak/>
        <w:t>as xxxxxxxx</w:t>
      </w:r>
      <w:r w:rsidR="0075624E">
        <w:rPr>
          <w:rFonts w:ascii="Book Antiqua" w:hAnsi="Book Antiqua" w:cs="Arial"/>
        </w:rPr>
        <w:t xml:space="preserve">34004044. </w:t>
      </w:r>
      <w:proofErr w:type="gramStart"/>
      <w:r w:rsidR="0075624E">
        <w:rPr>
          <w:rFonts w:ascii="Book Antiqua" w:hAnsi="Book Antiqua" w:cs="Arial"/>
        </w:rPr>
        <w:t>However</w:t>
      </w:r>
      <w:proofErr w:type="gramEnd"/>
      <w:r w:rsidR="0075624E">
        <w:rPr>
          <w:rFonts w:ascii="Book Antiqua" w:hAnsi="Book Antiqua" w:cs="Arial"/>
        </w:rPr>
        <w:t xml:space="preserve"> it is plain that the sheet it is not identified as “invalid” but identified as “questionable”. There is no other evidence in that bundle that demonstrates that there was any further evidence that was specific to this </w:t>
      </w:r>
      <w:r>
        <w:rPr>
          <w:rFonts w:ascii="Book Antiqua" w:hAnsi="Book Antiqua" w:cs="Arial"/>
        </w:rPr>
        <w:t>Appellant</w:t>
      </w:r>
      <w:r w:rsidR="0075624E">
        <w:rPr>
          <w:rFonts w:ascii="Book Antiqua" w:hAnsi="Book Antiqua" w:cs="Arial"/>
        </w:rPr>
        <w:t xml:space="preserve">. The grounds referred to Annex H and </w:t>
      </w:r>
      <w:r w:rsidR="00285DEE">
        <w:rPr>
          <w:rFonts w:ascii="Book Antiqua" w:hAnsi="Book Antiqua" w:cs="Arial"/>
        </w:rPr>
        <w:t>I, however A</w:t>
      </w:r>
      <w:r w:rsidR="0075624E">
        <w:rPr>
          <w:rFonts w:ascii="Book Antiqua" w:hAnsi="Book Antiqua" w:cs="Arial"/>
        </w:rPr>
        <w:t>nnex H1 makes reference to the certifica</w:t>
      </w:r>
      <w:r w:rsidR="00285DEE">
        <w:rPr>
          <w:rFonts w:ascii="Book Antiqua" w:hAnsi="Book Antiqua" w:cs="Arial"/>
        </w:rPr>
        <w:t>te number as set out above and A</w:t>
      </w:r>
      <w:r w:rsidR="0075624E">
        <w:rPr>
          <w:rFonts w:ascii="Book Antiqua" w:hAnsi="Book Antiqua" w:cs="Arial"/>
        </w:rPr>
        <w:t>nnex I again makes it plain that it was “questionable” not invalid.</w:t>
      </w:r>
    </w:p>
    <w:p w:rsidR="0075624E" w:rsidRDefault="00714EE4" w:rsidP="002B1AE7">
      <w:pPr>
        <w:spacing w:before="240"/>
        <w:ind w:left="567" w:hanging="567"/>
        <w:jc w:val="both"/>
        <w:rPr>
          <w:rFonts w:ascii="Book Antiqua" w:hAnsi="Book Antiqua" w:cs="Arial"/>
        </w:rPr>
      </w:pPr>
      <w:r>
        <w:rPr>
          <w:rFonts w:ascii="Book Antiqua" w:hAnsi="Book Antiqua" w:cs="Arial"/>
        </w:rPr>
        <w:t>25.</w:t>
      </w:r>
      <w:r>
        <w:rPr>
          <w:rFonts w:ascii="Book Antiqua" w:hAnsi="Book Antiqua" w:cs="Arial"/>
        </w:rPr>
        <w:tab/>
      </w:r>
      <w:r w:rsidR="0075624E">
        <w:rPr>
          <w:rFonts w:ascii="Book Antiqua" w:hAnsi="Book Antiqua" w:cs="Arial"/>
        </w:rPr>
        <w:t xml:space="preserve">In the papers before the </w:t>
      </w:r>
      <w:r>
        <w:rPr>
          <w:rFonts w:ascii="Book Antiqua" w:hAnsi="Book Antiqua" w:cs="Arial"/>
        </w:rPr>
        <w:t>Tribunal</w:t>
      </w:r>
      <w:r w:rsidR="0075624E">
        <w:rPr>
          <w:rFonts w:ascii="Book Antiqua" w:hAnsi="Book Antiqua" w:cs="Arial"/>
        </w:rPr>
        <w:t xml:space="preserve"> there was also an individual witness statement of Mr J. Singh on behalf of the </w:t>
      </w:r>
      <w:r>
        <w:rPr>
          <w:rFonts w:ascii="Book Antiqua" w:hAnsi="Book Antiqua" w:cs="Arial"/>
        </w:rPr>
        <w:t>Respondent</w:t>
      </w:r>
      <w:r w:rsidR="0075624E">
        <w:rPr>
          <w:rFonts w:ascii="Book Antiqua" w:hAnsi="Book Antiqua" w:cs="Arial"/>
        </w:rPr>
        <w:t xml:space="preserve"> which states that it was made on 2 May 2017 and therefore was earlier than the later statements relied upon by the </w:t>
      </w:r>
      <w:r>
        <w:rPr>
          <w:rFonts w:ascii="Book Antiqua" w:hAnsi="Book Antiqua" w:cs="Arial"/>
        </w:rPr>
        <w:t>Respondent</w:t>
      </w:r>
      <w:r w:rsidR="0075624E">
        <w:rPr>
          <w:rFonts w:ascii="Book Antiqua" w:hAnsi="Book Antiqua" w:cs="Arial"/>
        </w:rPr>
        <w:t xml:space="preserve"> and set out in the bundles dated September 2017. In that witness statement, at paragraph 7, it made reference to the Rebecca Collings witness statement and the process involved and at paragraph 8 made reference to the witness statement of Peter Millington; both in generic terms. </w:t>
      </w:r>
      <w:proofErr w:type="gramStart"/>
      <w:r w:rsidR="0075624E">
        <w:rPr>
          <w:rFonts w:ascii="Book Antiqua" w:hAnsi="Book Antiqua" w:cs="Arial"/>
        </w:rPr>
        <w:t>However</w:t>
      </w:r>
      <w:proofErr w:type="gramEnd"/>
      <w:r w:rsidR="0075624E">
        <w:rPr>
          <w:rFonts w:ascii="Book Antiqua" w:hAnsi="Book Antiqua" w:cs="Arial"/>
        </w:rPr>
        <w:t xml:space="preserve"> at paragraph 9 the witness statement set out as follows:</w:t>
      </w:r>
    </w:p>
    <w:p w:rsidR="0075624E" w:rsidRDefault="0075624E" w:rsidP="002B1AE7">
      <w:pPr>
        <w:tabs>
          <w:tab w:val="left" w:pos="1701"/>
        </w:tabs>
        <w:spacing w:before="120"/>
        <w:ind w:left="1134"/>
        <w:jc w:val="both"/>
        <w:rPr>
          <w:rFonts w:ascii="Book Antiqua" w:hAnsi="Book Antiqua" w:cs="Arial"/>
        </w:rPr>
      </w:pPr>
      <w:r>
        <w:rPr>
          <w:rFonts w:ascii="Book Antiqua" w:hAnsi="Book Antiqua" w:cs="Arial"/>
        </w:rPr>
        <w:t>“9.</w:t>
      </w:r>
      <w:r w:rsidR="002B1AE7">
        <w:rPr>
          <w:rFonts w:ascii="Book Antiqua" w:hAnsi="Book Antiqua" w:cs="Arial"/>
        </w:rPr>
        <w:tab/>
      </w:r>
      <w:r>
        <w:rPr>
          <w:rFonts w:ascii="Book Antiqua" w:hAnsi="Book Antiqua" w:cs="Arial"/>
        </w:rPr>
        <w:t xml:space="preserve">As a result of the questionable result the Home Office invited the </w:t>
      </w:r>
      <w:r w:rsidR="00714EE4">
        <w:rPr>
          <w:rFonts w:ascii="Book Antiqua" w:hAnsi="Book Antiqua" w:cs="Arial"/>
        </w:rPr>
        <w:t>Appellant</w:t>
      </w:r>
      <w:r>
        <w:rPr>
          <w:rFonts w:ascii="Book Antiqua" w:hAnsi="Book Antiqua" w:cs="Arial"/>
        </w:rPr>
        <w:t xml:space="preserve"> to interview. Following a review of the interview and consideration of the questionable result from ETS, it has been concluded the deception has been practised by the </w:t>
      </w:r>
      <w:r w:rsidR="00714EE4">
        <w:rPr>
          <w:rFonts w:ascii="Book Antiqua" w:hAnsi="Book Antiqua" w:cs="Arial"/>
        </w:rPr>
        <w:t>Appellant</w:t>
      </w:r>
      <w:r>
        <w:rPr>
          <w:rFonts w:ascii="Book Antiqua" w:hAnsi="Book Antiqua" w:cs="Arial"/>
        </w:rPr>
        <w:t xml:space="preserve"> on the basis of the standard of English used during the interview, compared to the scores he claimed to have achieved from his English language test.”</w:t>
      </w:r>
    </w:p>
    <w:p w:rsidR="0075624E" w:rsidRDefault="00714EE4" w:rsidP="002B1AE7">
      <w:pPr>
        <w:spacing w:before="240"/>
        <w:ind w:left="567" w:hanging="567"/>
        <w:jc w:val="both"/>
        <w:rPr>
          <w:rFonts w:ascii="Book Antiqua" w:hAnsi="Book Antiqua" w:cs="Arial"/>
        </w:rPr>
      </w:pPr>
      <w:r>
        <w:rPr>
          <w:rFonts w:ascii="Book Antiqua" w:hAnsi="Book Antiqua" w:cs="Arial"/>
        </w:rPr>
        <w:t>26.</w:t>
      </w:r>
      <w:r>
        <w:rPr>
          <w:rFonts w:ascii="Book Antiqua" w:hAnsi="Book Antiqua" w:cs="Arial"/>
        </w:rPr>
        <w:tab/>
      </w:r>
      <w:r w:rsidR="0075624E">
        <w:rPr>
          <w:rFonts w:ascii="Book Antiqua" w:hAnsi="Book Antiqua" w:cs="Arial"/>
        </w:rPr>
        <w:t>Attached to that witness statement was a further document giving the certificate number that I have cited above which was found to be “questionable” but underneath it makes reference to a different certificate relating to Alexander College on 21 March 2012 which refers to “invalid”.</w:t>
      </w:r>
    </w:p>
    <w:p w:rsidR="0075624E" w:rsidRDefault="00714EE4" w:rsidP="002B1AE7">
      <w:pPr>
        <w:spacing w:before="240"/>
        <w:ind w:left="567" w:hanging="567"/>
        <w:jc w:val="both"/>
        <w:rPr>
          <w:rFonts w:ascii="Book Antiqua" w:hAnsi="Book Antiqua" w:cs="Arial"/>
        </w:rPr>
      </w:pPr>
      <w:r>
        <w:rPr>
          <w:rFonts w:ascii="Book Antiqua" w:hAnsi="Book Antiqua" w:cs="Arial"/>
        </w:rPr>
        <w:t>27.</w:t>
      </w:r>
      <w:r>
        <w:rPr>
          <w:rFonts w:ascii="Book Antiqua" w:hAnsi="Book Antiqua" w:cs="Arial"/>
        </w:rPr>
        <w:tab/>
      </w:r>
      <w:r w:rsidR="0075624E">
        <w:rPr>
          <w:rFonts w:ascii="Book Antiqua" w:hAnsi="Book Antiqua" w:cs="Arial"/>
        </w:rPr>
        <w:t xml:space="preserve">It had not been the </w:t>
      </w:r>
      <w:r>
        <w:rPr>
          <w:rFonts w:ascii="Book Antiqua" w:hAnsi="Book Antiqua" w:cs="Arial"/>
        </w:rPr>
        <w:t>Respondent’s</w:t>
      </w:r>
      <w:r w:rsidR="0075624E">
        <w:rPr>
          <w:rFonts w:ascii="Book Antiqua" w:hAnsi="Book Antiqua" w:cs="Arial"/>
        </w:rPr>
        <w:t xml:space="preserve"> case that the </w:t>
      </w:r>
      <w:r>
        <w:rPr>
          <w:rFonts w:ascii="Book Antiqua" w:hAnsi="Book Antiqua" w:cs="Arial"/>
        </w:rPr>
        <w:t>Appellant</w:t>
      </w:r>
      <w:r w:rsidR="0075624E">
        <w:rPr>
          <w:rFonts w:ascii="Book Antiqua" w:hAnsi="Book Antiqua" w:cs="Arial"/>
        </w:rPr>
        <w:t xml:space="preserve"> had attended a test on 21 March 2012 his certificate had been obtained as a result of attending a test on 21 February 2012. The certificate number, while stating the same name, was different from the original certificate number referred to in the documents. Neither representative made any submissions about the difference between the certificates. Nor was there any reference made by the judge to that evidence.</w:t>
      </w:r>
    </w:p>
    <w:p w:rsidR="0075624E" w:rsidRDefault="00714EE4" w:rsidP="002B1AE7">
      <w:pPr>
        <w:spacing w:before="240"/>
        <w:ind w:left="567" w:hanging="567"/>
        <w:jc w:val="both"/>
        <w:rPr>
          <w:rFonts w:ascii="Book Antiqua" w:hAnsi="Book Antiqua" w:cs="Arial"/>
        </w:rPr>
      </w:pPr>
      <w:r>
        <w:rPr>
          <w:rFonts w:ascii="Book Antiqua" w:hAnsi="Book Antiqua" w:cs="Arial"/>
        </w:rPr>
        <w:t>28.</w:t>
      </w:r>
      <w:r>
        <w:rPr>
          <w:rFonts w:ascii="Book Antiqua" w:hAnsi="Book Antiqua" w:cs="Arial"/>
        </w:rPr>
        <w:tab/>
      </w:r>
      <w:r w:rsidR="0075624E">
        <w:rPr>
          <w:rFonts w:ascii="Book Antiqua" w:hAnsi="Book Antiqua" w:cs="Arial"/>
        </w:rPr>
        <w:t xml:space="preserve">As set out above, the witness statement of Mr Singh gave details at paragraph 9 which made reference to the </w:t>
      </w:r>
      <w:r w:rsidR="00011841">
        <w:rPr>
          <w:rFonts w:ascii="Book Antiqua" w:hAnsi="Book Antiqua" w:cs="Arial"/>
        </w:rPr>
        <w:t>“</w:t>
      </w:r>
      <w:r w:rsidR="0075624E">
        <w:rPr>
          <w:rFonts w:ascii="Book Antiqua" w:hAnsi="Book Antiqua" w:cs="Arial"/>
        </w:rPr>
        <w:t>questionable</w:t>
      </w:r>
      <w:r w:rsidR="00011841">
        <w:rPr>
          <w:rFonts w:ascii="Book Antiqua" w:hAnsi="Book Antiqua" w:cs="Arial"/>
        </w:rPr>
        <w:t>” test</w:t>
      </w:r>
      <w:r w:rsidR="0075624E">
        <w:rPr>
          <w:rFonts w:ascii="Book Antiqua" w:hAnsi="Book Antiqua" w:cs="Arial"/>
        </w:rPr>
        <w:t xml:space="preserve"> score which led to the </w:t>
      </w:r>
      <w:r>
        <w:rPr>
          <w:rFonts w:ascii="Book Antiqua" w:hAnsi="Book Antiqua" w:cs="Arial"/>
        </w:rPr>
        <w:t>Appellant</w:t>
      </w:r>
      <w:r w:rsidR="0075624E">
        <w:rPr>
          <w:rFonts w:ascii="Book Antiqua" w:hAnsi="Book Antiqua" w:cs="Arial"/>
        </w:rPr>
        <w:t xml:space="preserve"> being interviewed. There is a copy of the interview in the </w:t>
      </w:r>
      <w:r>
        <w:rPr>
          <w:rFonts w:ascii="Book Antiqua" w:hAnsi="Book Antiqua" w:cs="Arial"/>
        </w:rPr>
        <w:t>Tribunal</w:t>
      </w:r>
      <w:r w:rsidR="0075624E">
        <w:rPr>
          <w:rFonts w:ascii="Book Antiqua" w:hAnsi="Book Antiqua" w:cs="Arial"/>
        </w:rPr>
        <w:t xml:space="preserve"> papers. The interview took place on 25 February 2016 and it is plain that the interview was to cover two issues; firstly, the issue of whether this was a genuine and subsisting relationship and secondly the issue relating to deception. In respect of the first issue, the interviewer identified discrepancies or unsatisfactory answers which had been provided by the parties in response to the questions asked. The conclusion reached was that the discrepancies provided at the marriage interview cast significant doubt over the credibility of the marriage. </w:t>
      </w:r>
      <w:proofErr w:type="gramStart"/>
      <w:r w:rsidR="0075624E">
        <w:rPr>
          <w:rFonts w:ascii="Book Antiqua" w:hAnsi="Book Antiqua" w:cs="Arial"/>
        </w:rPr>
        <w:t>However</w:t>
      </w:r>
      <w:proofErr w:type="gramEnd"/>
      <w:r w:rsidR="0075624E">
        <w:rPr>
          <w:rFonts w:ascii="Book Antiqua" w:hAnsi="Book Antiqua" w:cs="Arial"/>
        </w:rPr>
        <w:t xml:space="preserve"> it is plain that the hearing before the judge</w:t>
      </w:r>
      <w:r w:rsidR="00011841">
        <w:rPr>
          <w:rFonts w:ascii="Book Antiqua" w:hAnsi="Book Antiqua" w:cs="Arial"/>
        </w:rPr>
        <w:t>,</w:t>
      </w:r>
      <w:r w:rsidR="0075624E">
        <w:rPr>
          <w:rFonts w:ascii="Book Antiqua" w:hAnsi="Book Antiqua" w:cs="Arial"/>
        </w:rPr>
        <w:t xml:space="preserve"> the </w:t>
      </w:r>
      <w:r>
        <w:rPr>
          <w:rFonts w:ascii="Book Antiqua" w:hAnsi="Book Antiqua" w:cs="Arial"/>
        </w:rPr>
        <w:t>Respondent</w:t>
      </w:r>
      <w:r w:rsidR="0075624E">
        <w:rPr>
          <w:rFonts w:ascii="Book Antiqua" w:hAnsi="Book Antiqua" w:cs="Arial"/>
        </w:rPr>
        <w:t xml:space="preserve"> did not seek to rely upon the parts of the decision letter which had relied upon the interview responses and that the judge was invited to consider the appeal on the basis that this was a genuine and subsisting marriage.</w:t>
      </w:r>
    </w:p>
    <w:p w:rsidR="00427DF5" w:rsidRDefault="00714EE4" w:rsidP="002B1AE7">
      <w:pPr>
        <w:spacing w:before="240"/>
        <w:ind w:left="567" w:hanging="567"/>
        <w:jc w:val="both"/>
        <w:rPr>
          <w:rFonts w:ascii="Book Antiqua" w:hAnsi="Book Antiqua" w:cs="Arial"/>
        </w:rPr>
      </w:pPr>
      <w:r>
        <w:rPr>
          <w:rFonts w:ascii="Book Antiqua" w:hAnsi="Book Antiqua" w:cs="Arial"/>
        </w:rPr>
        <w:lastRenderedPageBreak/>
        <w:t>29.</w:t>
      </w:r>
      <w:r>
        <w:rPr>
          <w:rFonts w:ascii="Book Antiqua" w:hAnsi="Book Antiqua" w:cs="Arial"/>
        </w:rPr>
        <w:tab/>
      </w:r>
      <w:r w:rsidR="0075624E">
        <w:rPr>
          <w:rFonts w:ascii="Book Antiqua" w:hAnsi="Book Antiqua" w:cs="Arial"/>
        </w:rPr>
        <w:t xml:space="preserve">As to the second issue the </w:t>
      </w:r>
      <w:r>
        <w:rPr>
          <w:rFonts w:ascii="Book Antiqua" w:hAnsi="Book Antiqua" w:cs="Arial"/>
        </w:rPr>
        <w:t>Appellant</w:t>
      </w:r>
      <w:r w:rsidR="0075624E">
        <w:rPr>
          <w:rFonts w:ascii="Book Antiqua" w:hAnsi="Book Antiqua" w:cs="Arial"/>
        </w:rPr>
        <w:t xml:space="preserve"> was asked a number of questions relating to the test at questions 41 – 53. In those answers the </w:t>
      </w:r>
      <w:r>
        <w:rPr>
          <w:rFonts w:ascii="Book Antiqua" w:hAnsi="Book Antiqua" w:cs="Arial"/>
        </w:rPr>
        <w:t>Appellant</w:t>
      </w:r>
      <w:r w:rsidR="0075624E">
        <w:rPr>
          <w:rFonts w:ascii="Book Antiqua" w:hAnsi="Book Antiqua" w:cs="Arial"/>
        </w:rPr>
        <w:t xml:space="preserve"> stated that he had taken a test in 2011 (see question 46) and gave details of the test.</w:t>
      </w:r>
      <w:r w:rsidR="003672C9">
        <w:rPr>
          <w:rFonts w:ascii="Book Antiqua" w:hAnsi="Book Antiqua" w:cs="Arial"/>
        </w:rPr>
        <w:t xml:space="preserve"> In the recommendation section of the interview it </w:t>
      </w:r>
      <w:proofErr w:type="gramStart"/>
      <w:r w:rsidR="003672C9">
        <w:rPr>
          <w:rFonts w:ascii="Book Antiqua" w:hAnsi="Book Antiqua" w:cs="Arial"/>
        </w:rPr>
        <w:t>stated</w:t>
      </w:r>
      <w:proofErr w:type="gramEnd"/>
      <w:r w:rsidR="003672C9">
        <w:rPr>
          <w:rFonts w:ascii="Book Antiqua" w:hAnsi="Book Antiqua" w:cs="Arial"/>
        </w:rPr>
        <w:t xml:space="preserve"> “marriage of convenience” which related to the first issue. </w:t>
      </w:r>
      <w:proofErr w:type="gramStart"/>
      <w:r w:rsidR="003672C9">
        <w:rPr>
          <w:rFonts w:ascii="Book Antiqua" w:hAnsi="Book Antiqua" w:cs="Arial"/>
        </w:rPr>
        <w:t>However</w:t>
      </w:r>
      <w:proofErr w:type="gramEnd"/>
      <w:r w:rsidR="003672C9">
        <w:rPr>
          <w:rFonts w:ascii="Book Antiqua" w:hAnsi="Book Antiqua" w:cs="Arial"/>
        </w:rPr>
        <w:t xml:space="preserve"> in relation to the second issue of deception it stated “ETS/TOEIC: credible”</w:t>
      </w:r>
      <w:r>
        <w:rPr>
          <w:rFonts w:ascii="Book Antiqua" w:hAnsi="Book Antiqua" w:cs="Arial"/>
        </w:rPr>
        <w:t xml:space="preserve"> </w:t>
      </w:r>
      <w:r w:rsidR="003672C9">
        <w:rPr>
          <w:rFonts w:ascii="Book Antiqua" w:hAnsi="Book Antiqua" w:cs="Arial"/>
        </w:rPr>
        <w:t xml:space="preserve">and further stated “applicant stated that he took a TOEIC in 2011. </w:t>
      </w:r>
      <w:proofErr w:type="gramStart"/>
      <w:r w:rsidR="003672C9">
        <w:rPr>
          <w:rFonts w:ascii="Book Antiqua" w:hAnsi="Book Antiqua" w:cs="Arial"/>
        </w:rPr>
        <w:t>Consequently</w:t>
      </w:r>
      <w:proofErr w:type="gramEnd"/>
      <w:r w:rsidR="003672C9">
        <w:rPr>
          <w:rFonts w:ascii="Book Antiqua" w:hAnsi="Book Antiqua" w:cs="Arial"/>
        </w:rPr>
        <w:t xml:space="preserve"> I am not satisfied that the information obtained at interview links him to the test mention on the referral please see questions 41 – 53”.</w:t>
      </w:r>
    </w:p>
    <w:p w:rsidR="00BB77F2" w:rsidRDefault="00427DF5" w:rsidP="002B1AE7">
      <w:pPr>
        <w:spacing w:before="240"/>
        <w:ind w:left="567" w:hanging="567"/>
        <w:jc w:val="both"/>
        <w:rPr>
          <w:rFonts w:ascii="Book Antiqua" w:hAnsi="Book Antiqua" w:cs="Arial"/>
        </w:rPr>
      </w:pPr>
      <w:r>
        <w:rPr>
          <w:rFonts w:ascii="Book Antiqua" w:hAnsi="Book Antiqua" w:cs="Arial"/>
        </w:rPr>
        <w:t>30.</w:t>
      </w:r>
      <w:r>
        <w:rPr>
          <w:rFonts w:ascii="Book Antiqua" w:hAnsi="Book Antiqua" w:cs="Arial"/>
        </w:rPr>
        <w:tab/>
      </w:r>
      <w:proofErr w:type="gramStart"/>
      <w:r w:rsidR="003672C9">
        <w:rPr>
          <w:rFonts w:ascii="Book Antiqua" w:hAnsi="Book Antiqua" w:cs="Arial"/>
        </w:rPr>
        <w:t>Therefore</w:t>
      </w:r>
      <w:proofErr w:type="gramEnd"/>
      <w:r w:rsidR="003672C9">
        <w:rPr>
          <w:rFonts w:ascii="Book Antiqua" w:hAnsi="Book Antiqua" w:cs="Arial"/>
        </w:rPr>
        <w:t xml:space="preserve"> on the face of that document, the reference made in the witness statement of Mr Singh is incorrect. </w:t>
      </w:r>
      <w:proofErr w:type="gramStart"/>
      <w:r w:rsidR="003672C9">
        <w:rPr>
          <w:rFonts w:ascii="Book Antiqua" w:hAnsi="Book Antiqua" w:cs="Arial"/>
        </w:rPr>
        <w:t>Again</w:t>
      </w:r>
      <w:proofErr w:type="gramEnd"/>
      <w:r w:rsidR="003672C9">
        <w:rPr>
          <w:rFonts w:ascii="Book Antiqua" w:hAnsi="Book Antiqua" w:cs="Arial"/>
        </w:rPr>
        <w:t xml:space="preserve"> neither advocate made any reference to that interview and there is no reference made by the judge. </w:t>
      </w:r>
      <w:bookmarkStart w:id="2" w:name="para34"/>
      <w:r w:rsidRPr="00B16F6E">
        <w:rPr>
          <w:rFonts w:ascii="Book Antiqua" w:hAnsi="Book Antiqua"/>
        </w:rPr>
        <w:t xml:space="preserve">Has the judge approached the matter in the manner directed by the Court of Appeal in </w:t>
      </w:r>
      <w:r w:rsidRPr="00B16F6E">
        <w:rPr>
          <w:rFonts w:ascii="Book Antiqua" w:hAnsi="Book Antiqua"/>
          <w:i/>
          <w:iCs/>
        </w:rPr>
        <w:t xml:space="preserve">SM &amp; Qadir </w:t>
      </w:r>
      <w:bookmarkEnd w:id="2"/>
      <w:r w:rsidR="00765EF0">
        <w:rPr>
          <w:rFonts w:ascii="Book Antiqua" w:hAnsi="Book Antiqua"/>
        </w:rPr>
        <w:t>[2016] EWCA Civ 1167?</w:t>
      </w:r>
      <w:r>
        <w:rPr>
          <w:rFonts w:ascii="Book Antiqua" w:hAnsi="Book Antiqua"/>
        </w:rPr>
        <w:t xml:space="preserve"> </w:t>
      </w:r>
      <w:r w:rsidRPr="00B16F6E">
        <w:rPr>
          <w:rFonts w:ascii="Book Antiqua" w:hAnsi="Book Antiqua"/>
        </w:rPr>
        <w:t>That involves considering, first, whether the Secretary of State has met the burden on her of identifying evidence that the TOEIC certificate was obtained by deception; second whether the claimant satisfies the evidential burden on her of raising an innocent explanation for the suggested deception; and third, if so, whether the Secretary of State can meet the legal burden of showing, on the balance of probabilities, th</w:t>
      </w:r>
      <w:r>
        <w:rPr>
          <w:rFonts w:ascii="Book Antiqua" w:hAnsi="Book Antiqua"/>
        </w:rPr>
        <w:t>at deception in fact took place.</w:t>
      </w:r>
    </w:p>
    <w:p w:rsidR="003672C9" w:rsidRDefault="00714EE4" w:rsidP="002B1AE7">
      <w:pPr>
        <w:spacing w:before="240"/>
        <w:ind w:left="567" w:hanging="567"/>
        <w:jc w:val="both"/>
        <w:rPr>
          <w:rFonts w:ascii="Book Antiqua" w:hAnsi="Book Antiqua" w:cs="Arial"/>
        </w:rPr>
      </w:pPr>
      <w:r>
        <w:rPr>
          <w:rFonts w:ascii="Book Antiqua" w:hAnsi="Book Antiqua" w:cs="Arial"/>
        </w:rPr>
        <w:t>31.</w:t>
      </w:r>
      <w:r>
        <w:rPr>
          <w:rFonts w:ascii="Book Antiqua" w:hAnsi="Book Antiqua" w:cs="Arial"/>
        </w:rPr>
        <w:tab/>
      </w:r>
      <w:r w:rsidR="003672C9">
        <w:rPr>
          <w:rFonts w:ascii="Book Antiqua" w:hAnsi="Book Antiqua" w:cs="Arial"/>
        </w:rPr>
        <w:t xml:space="preserve">I conclude from the evidence that was before the FtTJ that the only evidence that related to the </w:t>
      </w:r>
      <w:r>
        <w:rPr>
          <w:rFonts w:ascii="Book Antiqua" w:hAnsi="Book Antiqua" w:cs="Arial"/>
        </w:rPr>
        <w:t>Appellant</w:t>
      </w:r>
      <w:r w:rsidR="003672C9">
        <w:rPr>
          <w:rFonts w:ascii="Book Antiqua" w:hAnsi="Book Antiqua" w:cs="Arial"/>
        </w:rPr>
        <w:t xml:space="preserve"> and was identified as such was a “questionable” test and not an invalid one for the reasons set out above. The certificate number was different and related to a test taken on a date not relied upon by the </w:t>
      </w:r>
      <w:r>
        <w:rPr>
          <w:rFonts w:ascii="Book Antiqua" w:hAnsi="Book Antiqua" w:cs="Arial"/>
        </w:rPr>
        <w:t>Respondent</w:t>
      </w:r>
      <w:r w:rsidR="003672C9">
        <w:rPr>
          <w:rFonts w:ascii="Book Antiqua" w:hAnsi="Book Antiqua" w:cs="Arial"/>
        </w:rPr>
        <w:t xml:space="preserve"> and the interview, which was said to underpin the asserted invalid test, made no reference to his English language ability.</w:t>
      </w:r>
    </w:p>
    <w:p w:rsidR="003672C9" w:rsidRDefault="00714EE4" w:rsidP="002B1AE7">
      <w:pPr>
        <w:spacing w:before="240"/>
        <w:ind w:left="567" w:hanging="567"/>
        <w:jc w:val="both"/>
        <w:rPr>
          <w:rFonts w:ascii="Book Antiqua" w:hAnsi="Book Antiqua" w:cs="Arial"/>
        </w:rPr>
      </w:pPr>
      <w:r>
        <w:rPr>
          <w:rFonts w:ascii="Book Antiqua" w:hAnsi="Book Antiqua" w:cs="Arial"/>
        </w:rPr>
        <w:t>32.</w:t>
      </w:r>
      <w:r>
        <w:rPr>
          <w:rFonts w:ascii="Book Antiqua" w:hAnsi="Book Antiqua" w:cs="Arial"/>
        </w:rPr>
        <w:tab/>
      </w:r>
      <w:r w:rsidR="003672C9">
        <w:rPr>
          <w:rFonts w:ascii="Book Antiqua" w:hAnsi="Book Antiqua" w:cs="Arial"/>
        </w:rPr>
        <w:t>In this context I have considered the de</w:t>
      </w:r>
      <w:r w:rsidR="00427DF5">
        <w:rPr>
          <w:rFonts w:ascii="Book Antiqua" w:hAnsi="Book Antiqua" w:cs="Arial"/>
        </w:rPr>
        <w:t xml:space="preserve">cision of the Court of Appeal </w:t>
      </w:r>
      <w:r w:rsidR="00285DEE">
        <w:rPr>
          <w:rFonts w:ascii="Book Antiqua" w:hAnsi="Book Antiqua" w:cs="Arial"/>
        </w:rPr>
        <w:t>(as</w:t>
      </w:r>
      <w:r w:rsidR="00427DF5">
        <w:rPr>
          <w:rFonts w:ascii="Book Antiqua" w:hAnsi="Book Antiqua" w:cs="Arial"/>
        </w:rPr>
        <w:t xml:space="preserve"> cited</w:t>
      </w:r>
      <w:r w:rsidR="00011841">
        <w:rPr>
          <w:rFonts w:ascii="Book Antiqua" w:hAnsi="Book Antiqua" w:cs="Arial"/>
        </w:rPr>
        <w:t xml:space="preserve"> above</w:t>
      </w:r>
      <w:r w:rsidR="00285DEE">
        <w:rPr>
          <w:rFonts w:ascii="Book Antiqua" w:hAnsi="Book Antiqua" w:cs="Arial"/>
        </w:rPr>
        <w:t>) in</w:t>
      </w:r>
      <w:r w:rsidR="003672C9">
        <w:rPr>
          <w:rFonts w:ascii="Book Antiqua" w:hAnsi="Book Antiqua" w:cs="Arial"/>
        </w:rPr>
        <w:t xml:space="preserve"> respect of the test results which are said to be “questionable”. What is set out at paragraph [25 – 30] is that a questionable designation means there may not have been deception because unlike where there has been an invalid designation, there was not a matched voice with the person who took a test using a different name. The Court of Appeal concluded that the Secretary of State would face difficulties in respect of the evidential burden if there is no individual evidence which shows that test results were invalid.</w:t>
      </w:r>
    </w:p>
    <w:p w:rsidR="00980906" w:rsidRDefault="00714EE4" w:rsidP="002B1AE7">
      <w:pPr>
        <w:spacing w:before="240"/>
        <w:ind w:left="567" w:hanging="567"/>
        <w:jc w:val="both"/>
        <w:rPr>
          <w:rFonts w:ascii="Book Antiqua" w:hAnsi="Book Antiqua" w:cs="Arial"/>
        </w:rPr>
      </w:pPr>
      <w:r>
        <w:rPr>
          <w:rFonts w:ascii="Book Antiqua" w:hAnsi="Book Antiqua" w:cs="Arial"/>
        </w:rPr>
        <w:t>33.</w:t>
      </w:r>
      <w:r>
        <w:rPr>
          <w:rFonts w:ascii="Book Antiqua" w:hAnsi="Book Antiqua" w:cs="Arial"/>
        </w:rPr>
        <w:tab/>
      </w:r>
      <w:r w:rsidR="003672C9">
        <w:rPr>
          <w:rFonts w:ascii="Book Antiqua" w:hAnsi="Book Antiqua" w:cs="Arial"/>
        </w:rPr>
        <w:t xml:space="preserve">Whilst the judge did not make reference to that decision, the conclusions reached at paragraph 6 and 7 of his decision make it plain that his assessment of the evidence was to the effect that the only evidence before the </w:t>
      </w:r>
      <w:r>
        <w:rPr>
          <w:rFonts w:ascii="Book Antiqua" w:hAnsi="Book Antiqua" w:cs="Arial"/>
        </w:rPr>
        <w:t>Tribunal</w:t>
      </w:r>
      <w:r w:rsidR="003672C9">
        <w:rPr>
          <w:rFonts w:ascii="Book Antiqua" w:hAnsi="Book Antiqua" w:cs="Arial"/>
        </w:rPr>
        <w:t xml:space="preserve"> was in the form of generic statements and that there was no specific evidence to establish that the </w:t>
      </w:r>
      <w:r>
        <w:rPr>
          <w:rFonts w:ascii="Book Antiqua" w:hAnsi="Book Antiqua" w:cs="Arial"/>
        </w:rPr>
        <w:t>Appellant</w:t>
      </w:r>
      <w:r w:rsidR="003672C9">
        <w:rPr>
          <w:rFonts w:ascii="Book Antiqua" w:hAnsi="Book Antiqua" w:cs="Arial"/>
        </w:rPr>
        <w:t xml:space="preserve"> had obtained fraudulently the TOEIC certificate. The judge concluded that the evidential burden on the </w:t>
      </w:r>
      <w:r>
        <w:rPr>
          <w:rFonts w:ascii="Book Antiqua" w:hAnsi="Book Antiqua" w:cs="Arial"/>
        </w:rPr>
        <w:t>Respondent</w:t>
      </w:r>
      <w:r w:rsidR="003672C9">
        <w:rPr>
          <w:rFonts w:ascii="Book Antiqua" w:hAnsi="Book Antiqua" w:cs="Arial"/>
        </w:rPr>
        <w:t xml:space="preserve"> had not been discharged. Given the evidence that I have set out above, that was a decision that was open to the judge to reach. It would have been preferable for the judge to make reference to the inconsistent evidence advanced by the </w:t>
      </w:r>
      <w:r>
        <w:rPr>
          <w:rFonts w:ascii="Book Antiqua" w:hAnsi="Book Antiqua" w:cs="Arial"/>
        </w:rPr>
        <w:t>Respondent</w:t>
      </w:r>
      <w:r w:rsidR="003672C9">
        <w:rPr>
          <w:rFonts w:ascii="Book Antiqua" w:hAnsi="Book Antiqua" w:cs="Arial"/>
        </w:rPr>
        <w:t xml:space="preserve">, but having considered the evidence that was before the </w:t>
      </w:r>
      <w:r>
        <w:rPr>
          <w:rFonts w:ascii="Book Antiqua" w:hAnsi="Book Antiqua" w:cs="Arial"/>
        </w:rPr>
        <w:t>Tribunal</w:t>
      </w:r>
      <w:r w:rsidR="003672C9">
        <w:rPr>
          <w:rFonts w:ascii="Book Antiqua" w:hAnsi="Book Antiqua" w:cs="Arial"/>
        </w:rPr>
        <w:t xml:space="preserve"> and in the light of the grounds which make reference to an invalid certificate when </w:t>
      </w:r>
      <w:r w:rsidR="003672C9">
        <w:rPr>
          <w:rFonts w:ascii="Book Antiqua" w:hAnsi="Book Antiqua" w:cs="Arial"/>
        </w:rPr>
        <w:lastRenderedPageBreak/>
        <w:t>that was not the case, I am not satisfied that the judge erred in law in reaching that decision.</w:t>
      </w:r>
    </w:p>
    <w:p w:rsidR="00980906" w:rsidRDefault="00714EE4" w:rsidP="002B1AE7">
      <w:pPr>
        <w:spacing w:before="240"/>
        <w:ind w:left="567" w:hanging="567"/>
        <w:jc w:val="both"/>
        <w:rPr>
          <w:rFonts w:ascii="Book Antiqua" w:hAnsi="Book Antiqua" w:cs="Arial"/>
        </w:rPr>
      </w:pPr>
      <w:r>
        <w:rPr>
          <w:rFonts w:ascii="Book Antiqua" w:hAnsi="Book Antiqua" w:cs="Arial"/>
        </w:rPr>
        <w:t>34.</w:t>
      </w:r>
      <w:r>
        <w:rPr>
          <w:rFonts w:ascii="Book Antiqua" w:hAnsi="Book Antiqua" w:cs="Arial"/>
        </w:rPr>
        <w:tab/>
      </w:r>
      <w:r w:rsidR="00980906">
        <w:rPr>
          <w:rFonts w:ascii="Book Antiqua" w:hAnsi="Book Antiqua" w:cs="Arial"/>
        </w:rPr>
        <w:t xml:space="preserve"> I now turn to the second part of the grounds relied upon which relate to the </w:t>
      </w:r>
      <w:r w:rsidR="00285DEE">
        <w:rPr>
          <w:rFonts w:ascii="Book Antiqua" w:hAnsi="Book Antiqua" w:cs="Arial"/>
        </w:rPr>
        <w:t>Article 8</w:t>
      </w:r>
      <w:r w:rsidR="00980906">
        <w:rPr>
          <w:rFonts w:ascii="Book Antiqua" w:hAnsi="Book Antiqua" w:cs="Arial"/>
        </w:rPr>
        <w:t xml:space="preserve"> assessment. The grounds at paragraph 12 make reference to the s</w:t>
      </w:r>
      <w:r w:rsidR="00011841">
        <w:rPr>
          <w:rFonts w:ascii="Book Antiqua" w:hAnsi="Book Antiqua" w:cs="Arial"/>
        </w:rPr>
        <w:t>uitability requirements of the Immigration R</w:t>
      </w:r>
      <w:r w:rsidR="00980906">
        <w:rPr>
          <w:rFonts w:ascii="Book Antiqua" w:hAnsi="Book Antiqua" w:cs="Arial"/>
        </w:rPr>
        <w:t xml:space="preserve">ules and that obtaining leave to remain by deception is evidence of criminality and therefore there are powerful reasons to render it reasonable for family life to continue abroad. </w:t>
      </w:r>
      <w:proofErr w:type="gramStart"/>
      <w:r w:rsidR="00980906">
        <w:rPr>
          <w:rFonts w:ascii="Book Antiqua" w:hAnsi="Book Antiqua" w:cs="Arial"/>
        </w:rPr>
        <w:t>However</w:t>
      </w:r>
      <w:proofErr w:type="gramEnd"/>
      <w:r w:rsidR="00980906">
        <w:rPr>
          <w:rFonts w:ascii="Book Antiqua" w:hAnsi="Book Antiqua" w:cs="Arial"/>
        </w:rPr>
        <w:t xml:space="preserve"> in the light of the judge</w:t>
      </w:r>
      <w:r w:rsidR="00011841">
        <w:rPr>
          <w:rFonts w:ascii="Book Antiqua" w:hAnsi="Book Antiqua" w:cs="Arial"/>
        </w:rPr>
        <w:t>’</w:t>
      </w:r>
      <w:r w:rsidR="00980906">
        <w:rPr>
          <w:rFonts w:ascii="Book Antiqua" w:hAnsi="Book Antiqua" w:cs="Arial"/>
        </w:rPr>
        <w:t xml:space="preserve">s assessment that he was not satisfied that the </w:t>
      </w:r>
      <w:r>
        <w:rPr>
          <w:rFonts w:ascii="Book Antiqua" w:hAnsi="Book Antiqua" w:cs="Arial"/>
        </w:rPr>
        <w:t>Respondent</w:t>
      </w:r>
      <w:r w:rsidR="00980906">
        <w:rPr>
          <w:rFonts w:ascii="Book Antiqua" w:hAnsi="Book Antiqua" w:cs="Arial"/>
        </w:rPr>
        <w:t xml:space="preserve"> </w:t>
      </w:r>
      <w:r w:rsidR="00011841">
        <w:rPr>
          <w:rFonts w:ascii="Book Antiqua" w:hAnsi="Book Antiqua" w:cs="Arial"/>
        </w:rPr>
        <w:t xml:space="preserve">had </w:t>
      </w:r>
      <w:r w:rsidR="00980906">
        <w:rPr>
          <w:rFonts w:ascii="Book Antiqua" w:hAnsi="Book Antiqua" w:cs="Arial"/>
        </w:rPr>
        <w:t xml:space="preserve">discharged the evidential burden of proof, and in the light of this </w:t>
      </w:r>
      <w:r>
        <w:rPr>
          <w:rFonts w:ascii="Book Antiqua" w:hAnsi="Book Antiqua" w:cs="Arial"/>
        </w:rPr>
        <w:t>Tribunal</w:t>
      </w:r>
      <w:r w:rsidR="00980906">
        <w:rPr>
          <w:rFonts w:ascii="Book Antiqua" w:hAnsi="Book Antiqua" w:cs="Arial"/>
        </w:rPr>
        <w:t xml:space="preserve"> reaching the decision that that was a conclusion open to the judge on the evidence before the </w:t>
      </w:r>
      <w:r>
        <w:rPr>
          <w:rFonts w:ascii="Book Antiqua" w:hAnsi="Book Antiqua" w:cs="Arial"/>
        </w:rPr>
        <w:t>Tribunal</w:t>
      </w:r>
      <w:r w:rsidR="00980906">
        <w:rPr>
          <w:rFonts w:ascii="Book Antiqua" w:hAnsi="Book Antiqua" w:cs="Arial"/>
        </w:rPr>
        <w:t>, it must follow that the ground cannot succeed. Furthermore, the grounds at paragraph 14 cannot succeed where it was asserted that the proportionality assessment had been coloured by the judge</w:t>
      </w:r>
      <w:r w:rsidR="00BB77F2">
        <w:rPr>
          <w:rFonts w:ascii="Book Antiqua" w:hAnsi="Book Antiqua" w:cs="Arial"/>
        </w:rPr>
        <w:t>’</w:t>
      </w:r>
      <w:r w:rsidR="00980906">
        <w:rPr>
          <w:rFonts w:ascii="Book Antiqua" w:hAnsi="Book Antiqua" w:cs="Arial"/>
        </w:rPr>
        <w:t xml:space="preserve">s error in respect of his finding of the </w:t>
      </w:r>
      <w:r>
        <w:rPr>
          <w:rFonts w:ascii="Book Antiqua" w:hAnsi="Book Antiqua" w:cs="Arial"/>
        </w:rPr>
        <w:t>Appellant’s</w:t>
      </w:r>
      <w:r w:rsidR="00980906">
        <w:rPr>
          <w:rFonts w:ascii="Book Antiqua" w:hAnsi="Book Antiqua" w:cs="Arial"/>
        </w:rPr>
        <w:t xml:space="preserve"> use of deception.</w:t>
      </w:r>
    </w:p>
    <w:p w:rsidR="00980906" w:rsidRDefault="00714EE4" w:rsidP="002B1AE7">
      <w:pPr>
        <w:spacing w:before="240"/>
        <w:ind w:left="567" w:hanging="567"/>
        <w:jc w:val="both"/>
        <w:rPr>
          <w:rFonts w:ascii="Book Antiqua" w:hAnsi="Book Antiqua" w:cs="Arial"/>
        </w:rPr>
      </w:pPr>
      <w:r>
        <w:rPr>
          <w:rFonts w:ascii="Book Antiqua" w:hAnsi="Book Antiqua" w:cs="Arial"/>
        </w:rPr>
        <w:t>35.</w:t>
      </w:r>
      <w:r>
        <w:rPr>
          <w:rFonts w:ascii="Book Antiqua" w:hAnsi="Book Antiqua" w:cs="Arial"/>
        </w:rPr>
        <w:tab/>
      </w:r>
      <w:r w:rsidR="00980906">
        <w:rPr>
          <w:rFonts w:ascii="Book Antiqua" w:hAnsi="Book Antiqua" w:cs="Arial"/>
        </w:rPr>
        <w:t xml:space="preserve">However further grounds that are relied upon by the </w:t>
      </w:r>
      <w:r>
        <w:rPr>
          <w:rFonts w:ascii="Book Antiqua" w:hAnsi="Book Antiqua" w:cs="Arial"/>
        </w:rPr>
        <w:t>Respondent</w:t>
      </w:r>
      <w:r w:rsidR="00980906">
        <w:rPr>
          <w:rFonts w:ascii="Book Antiqua" w:hAnsi="Book Antiqua" w:cs="Arial"/>
        </w:rPr>
        <w:t xml:space="preserve"> and set out in the submissions of Ms Aboni relate to the judge erring in law by finding that the </w:t>
      </w:r>
      <w:r>
        <w:rPr>
          <w:rFonts w:ascii="Book Antiqua" w:hAnsi="Book Antiqua" w:cs="Arial"/>
        </w:rPr>
        <w:t>Appellant’s</w:t>
      </w:r>
      <w:r w:rsidR="00980906">
        <w:rPr>
          <w:rFonts w:ascii="Book Antiqua" w:hAnsi="Book Antiqua" w:cs="Arial"/>
        </w:rPr>
        <w:t xml:space="preserve"> status in the UK was not precarious </w:t>
      </w:r>
      <w:r w:rsidR="00285DEE">
        <w:rPr>
          <w:rFonts w:ascii="Book Antiqua" w:hAnsi="Book Antiqua" w:cs="Arial"/>
        </w:rPr>
        <w:t>(see</w:t>
      </w:r>
      <w:r w:rsidR="00980906">
        <w:rPr>
          <w:rFonts w:ascii="Book Antiqua" w:hAnsi="Book Antiqua" w:cs="Arial"/>
        </w:rPr>
        <w:t xml:space="preserve"> paragraph [18]) and that there was nothing to prevent the </w:t>
      </w:r>
      <w:r>
        <w:rPr>
          <w:rFonts w:ascii="Book Antiqua" w:hAnsi="Book Antiqua" w:cs="Arial"/>
        </w:rPr>
        <w:t>Appellant</w:t>
      </w:r>
      <w:r w:rsidR="00980906">
        <w:rPr>
          <w:rFonts w:ascii="Book Antiqua" w:hAnsi="Book Antiqua" w:cs="Arial"/>
        </w:rPr>
        <w:t xml:space="preserve"> returning to Pakistan with or without his family member</w:t>
      </w:r>
      <w:r w:rsidR="00011841">
        <w:rPr>
          <w:rFonts w:ascii="Book Antiqua" w:hAnsi="Book Antiqua" w:cs="Arial"/>
        </w:rPr>
        <w:t xml:space="preserve">s in order to apply for </w:t>
      </w:r>
      <w:r w:rsidR="00980906">
        <w:rPr>
          <w:rFonts w:ascii="Book Antiqua" w:hAnsi="Book Antiqua" w:cs="Arial"/>
        </w:rPr>
        <w:t>entry clearance. This was on the basis that any separation would be temporary and proportionate in the interests of an effective immigration control.</w:t>
      </w:r>
      <w:r w:rsidR="003672C9">
        <w:rPr>
          <w:rFonts w:ascii="Book Antiqua" w:hAnsi="Book Antiqua" w:cs="Arial"/>
        </w:rPr>
        <w:t xml:space="preserve"> </w:t>
      </w:r>
    </w:p>
    <w:p w:rsidR="00980906" w:rsidRDefault="00714EE4" w:rsidP="002B1AE7">
      <w:pPr>
        <w:spacing w:before="240"/>
        <w:ind w:left="567" w:hanging="567"/>
        <w:jc w:val="both"/>
        <w:rPr>
          <w:rFonts w:ascii="Book Antiqua" w:hAnsi="Book Antiqua" w:cs="Arial"/>
        </w:rPr>
      </w:pPr>
      <w:r>
        <w:rPr>
          <w:rFonts w:ascii="Book Antiqua" w:hAnsi="Book Antiqua" w:cs="Arial"/>
        </w:rPr>
        <w:t xml:space="preserve">36. </w:t>
      </w:r>
      <w:r w:rsidR="00011841">
        <w:rPr>
          <w:rFonts w:ascii="Book Antiqua" w:hAnsi="Book Antiqua" w:cs="Arial"/>
        </w:rPr>
        <w:t xml:space="preserve">   </w:t>
      </w:r>
      <w:r w:rsidR="00980906">
        <w:rPr>
          <w:rFonts w:ascii="Book Antiqua" w:hAnsi="Book Antiqua" w:cs="Arial"/>
        </w:rPr>
        <w:t>I have therefore considered those grounds.</w:t>
      </w:r>
      <w:r w:rsidR="0075624E">
        <w:rPr>
          <w:rFonts w:ascii="Book Antiqua" w:hAnsi="Book Antiqua" w:cs="Arial"/>
        </w:rPr>
        <w:tab/>
      </w:r>
      <w:r w:rsidR="00980906">
        <w:rPr>
          <w:rFonts w:ascii="Book Antiqua" w:hAnsi="Book Antiqua" w:cs="Arial"/>
        </w:rPr>
        <w:t xml:space="preserve"> </w:t>
      </w:r>
    </w:p>
    <w:p w:rsidR="00980906" w:rsidRDefault="00714EE4" w:rsidP="002B1AE7">
      <w:pPr>
        <w:spacing w:before="240"/>
        <w:ind w:left="567" w:hanging="567"/>
        <w:jc w:val="both"/>
        <w:rPr>
          <w:rFonts w:ascii="Book Antiqua" w:hAnsi="Book Antiqua" w:cs="Arial"/>
        </w:rPr>
      </w:pPr>
      <w:r>
        <w:rPr>
          <w:rFonts w:ascii="Book Antiqua" w:hAnsi="Book Antiqua" w:cs="Arial"/>
        </w:rPr>
        <w:t>37.</w:t>
      </w:r>
      <w:r>
        <w:rPr>
          <w:rFonts w:ascii="Book Antiqua" w:hAnsi="Book Antiqua" w:cs="Arial"/>
        </w:rPr>
        <w:tab/>
      </w:r>
      <w:r w:rsidR="008C3924" w:rsidRPr="00541C0C">
        <w:rPr>
          <w:rFonts w:ascii="Book Antiqua" w:hAnsi="Book Antiqua"/>
        </w:rPr>
        <w:t>A</w:t>
      </w:r>
      <w:r w:rsidR="0075624E">
        <w:rPr>
          <w:rFonts w:ascii="Book Antiqua" w:hAnsi="Book Antiqua"/>
        </w:rPr>
        <w:t>pp</w:t>
      </w:r>
      <w:r w:rsidR="008C3924" w:rsidRPr="00541C0C">
        <w:rPr>
          <w:rFonts w:ascii="Book Antiqua" w:hAnsi="Book Antiqua"/>
        </w:rPr>
        <w:t>endix FM, "Family Members", begins with a general statement which explains that it sets out the requirements to be met by those seeking to enter or remain in the UK on the basis of their family life with a person who is a British citizen, is settled in the UK, or is in the UK with limited leave as a refugee or person granted humanitarian protection (para GEN.1.1). It</w:t>
      </w:r>
      <w:r w:rsidR="00D00C5A" w:rsidRPr="00541C0C">
        <w:rPr>
          <w:rFonts w:ascii="Book Antiqua" w:hAnsi="Book Antiqua"/>
        </w:rPr>
        <w:t xml:space="preserve"> is said to reflect how, under </w:t>
      </w:r>
      <w:r w:rsidR="00285DEE">
        <w:rPr>
          <w:rFonts w:ascii="Book Antiqua" w:hAnsi="Book Antiqua"/>
        </w:rPr>
        <w:t xml:space="preserve">Article </w:t>
      </w:r>
      <w:r w:rsidR="00285DEE" w:rsidRPr="00541C0C">
        <w:rPr>
          <w:rFonts w:ascii="Book Antiqua" w:hAnsi="Book Antiqua"/>
        </w:rPr>
        <w:t>8</w:t>
      </w:r>
      <w:r w:rsidR="008C3924" w:rsidRPr="00541C0C">
        <w:rPr>
          <w:rFonts w:ascii="Book Antiqua" w:hAnsi="Book Antiqua"/>
        </w:rPr>
        <w:t xml:space="preserve">, the balance will be struck between the right to respect for private and family life and the legitimate aims listed in </w:t>
      </w:r>
      <w:r w:rsidR="00285DEE">
        <w:rPr>
          <w:rFonts w:ascii="Book Antiqua" w:hAnsi="Book Antiqua"/>
        </w:rPr>
        <w:t xml:space="preserve">Article </w:t>
      </w:r>
      <w:r w:rsidR="00285DEE" w:rsidRPr="00541C0C">
        <w:rPr>
          <w:rFonts w:ascii="Book Antiqua" w:hAnsi="Book Antiqua"/>
        </w:rPr>
        <w:t>8</w:t>
      </w:r>
      <w:r w:rsidR="008C3924" w:rsidRPr="00541C0C">
        <w:rPr>
          <w:rFonts w:ascii="Book Antiqua" w:hAnsi="Book Antiqua"/>
        </w:rPr>
        <w:t>(2). The Appendix nevertheless contemplates that the Rules will not cover all the circumstances in which a person may have a valid claim to enter or remain in th</w:t>
      </w:r>
      <w:r w:rsidR="00F42F0F" w:rsidRPr="00541C0C">
        <w:rPr>
          <w:rFonts w:ascii="Book Antiqua" w:hAnsi="Book Antiqua"/>
        </w:rPr>
        <w:t xml:space="preserve">e UK as a result of his or her </w:t>
      </w:r>
      <w:r w:rsidR="00285DEE">
        <w:rPr>
          <w:rFonts w:ascii="Book Antiqua" w:hAnsi="Book Antiqua"/>
        </w:rPr>
        <w:t xml:space="preserve">Article </w:t>
      </w:r>
      <w:r w:rsidR="00285DEE" w:rsidRPr="00541C0C">
        <w:rPr>
          <w:rFonts w:ascii="Book Antiqua" w:hAnsi="Book Antiqua"/>
        </w:rPr>
        <w:t>8</w:t>
      </w:r>
      <w:r w:rsidR="008C3924" w:rsidRPr="00541C0C">
        <w:rPr>
          <w:rFonts w:ascii="Book Antiqua" w:hAnsi="Book Antiqua"/>
        </w:rPr>
        <w:t xml:space="preserve"> rights. Paragraphs GEN.1.10 and GEN.1.11 both make provision for situations "where an applicant does not meet the requirements of this Appendix as a partner or parent but the decision-maker grants entry clearance or leave to enter </w:t>
      </w:r>
      <w:r w:rsidR="00F42F0F" w:rsidRPr="00541C0C">
        <w:rPr>
          <w:rFonts w:ascii="Book Antiqua" w:hAnsi="Book Antiqua"/>
        </w:rPr>
        <w:t xml:space="preserve">or remain outside the Rules on </w:t>
      </w:r>
      <w:r w:rsidR="00285DEE">
        <w:rPr>
          <w:rFonts w:ascii="Book Antiqua" w:hAnsi="Book Antiqua"/>
        </w:rPr>
        <w:t xml:space="preserve">Article </w:t>
      </w:r>
      <w:r w:rsidR="00285DEE" w:rsidRPr="00541C0C">
        <w:rPr>
          <w:rFonts w:ascii="Book Antiqua" w:hAnsi="Book Antiqua"/>
        </w:rPr>
        <w:t>8</w:t>
      </w:r>
      <w:r w:rsidR="008C3924" w:rsidRPr="00541C0C">
        <w:rPr>
          <w:rFonts w:ascii="Book Antiqua" w:hAnsi="Book Antiqua"/>
        </w:rPr>
        <w:t xml:space="preserve"> grounds".</w:t>
      </w:r>
      <w:bookmarkEnd w:id="1"/>
    </w:p>
    <w:p w:rsidR="00011841" w:rsidRDefault="00714EE4" w:rsidP="002B1AE7">
      <w:pPr>
        <w:spacing w:before="240"/>
        <w:ind w:left="567" w:hanging="567"/>
        <w:jc w:val="both"/>
        <w:rPr>
          <w:rFonts w:ascii="Book Antiqua" w:hAnsi="Book Antiqua" w:cs="Arial"/>
        </w:rPr>
      </w:pPr>
      <w:r>
        <w:rPr>
          <w:rFonts w:ascii="Book Antiqua" w:hAnsi="Book Antiqua" w:cs="Arial"/>
        </w:rPr>
        <w:t>38.</w:t>
      </w:r>
      <w:r>
        <w:rPr>
          <w:rFonts w:ascii="Book Antiqua" w:hAnsi="Book Antiqua" w:cs="Arial"/>
        </w:rPr>
        <w:tab/>
      </w:r>
      <w:r w:rsidR="00503B23">
        <w:rPr>
          <w:rFonts w:ascii="Book Antiqua" w:hAnsi="Book Antiqua"/>
        </w:rPr>
        <w:t xml:space="preserve">In this appeal, </w:t>
      </w:r>
      <w:r w:rsidR="00DD28A6" w:rsidRPr="00541C0C">
        <w:rPr>
          <w:rFonts w:ascii="Book Antiqua" w:hAnsi="Book Antiqua"/>
        </w:rPr>
        <w:t xml:space="preserve">the judge </w:t>
      </w:r>
      <w:r w:rsidR="00503B23">
        <w:rPr>
          <w:rFonts w:ascii="Book Antiqua" w:hAnsi="Book Antiqua"/>
        </w:rPr>
        <w:t xml:space="preserve">made an </w:t>
      </w:r>
      <w:r w:rsidR="00285DEE">
        <w:rPr>
          <w:rFonts w:ascii="Book Antiqua" w:hAnsi="Book Antiqua"/>
        </w:rPr>
        <w:t xml:space="preserve">Article </w:t>
      </w:r>
      <w:r w:rsidR="00285DEE" w:rsidRPr="00541C0C">
        <w:rPr>
          <w:rFonts w:ascii="Book Antiqua" w:hAnsi="Book Antiqua"/>
        </w:rPr>
        <w:t>8</w:t>
      </w:r>
      <w:r w:rsidR="00503B23">
        <w:rPr>
          <w:rFonts w:ascii="Book Antiqua" w:hAnsi="Book Antiqua"/>
        </w:rPr>
        <w:t xml:space="preserve"> </w:t>
      </w:r>
      <w:r w:rsidR="00537CB5" w:rsidRPr="00541C0C">
        <w:rPr>
          <w:rFonts w:ascii="Book Antiqua" w:hAnsi="Book Antiqua"/>
        </w:rPr>
        <w:t xml:space="preserve">assessment </w:t>
      </w:r>
      <w:r w:rsidR="00503B23">
        <w:rPr>
          <w:rFonts w:ascii="Book Antiqua" w:hAnsi="Book Antiqua"/>
        </w:rPr>
        <w:t xml:space="preserve">which included consideration of the relevant Rules and </w:t>
      </w:r>
      <w:r w:rsidR="00537CB5" w:rsidRPr="00541C0C">
        <w:rPr>
          <w:rFonts w:ascii="Book Antiqua" w:hAnsi="Book Antiqua"/>
        </w:rPr>
        <w:t>outside of the Rules.</w:t>
      </w:r>
      <w:r w:rsidR="00DF5B55" w:rsidRPr="00541C0C">
        <w:rPr>
          <w:rFonts w:ascii="Book Antiqua" w:hAnsi="Book Antiqua"/>
        </w:rPr>
        <w:t xml:space="preserve"> It is not disputed that the </w:t>
      </w:r>
      <w:r>
        <w:rPr>
          <w:rFonts w:ascii="Book Antiqua" w:hAnsi="Book Antiqua"/>
        </w:rPr>
        <w:t>Appellant</w:t>
      </w:r>
      <w:r w:rsidR="00DF5B55" w:rsidRPr="00541C0C">
        <w:rPr>
          <w:rFonts w:ascii="Book Antiqua" w:hAnsi="Book Antiqua"/>
        </w:rPr>
        <w:t xml:space="preserve"> has a wife and child in the UK who are bo</w:t>
      </w:r>
      <w:r w:rsidR="006E3256">
        <w:rPr>
          <w:rFonts w:ascii="Book Antiqua" w:hAnsi="Book Antiqua"/>
        </w:rPr>
        <w:t xml:space="preserve">th British citizens and that contrary to the decision letter, at the hearing before the FtTJ it was accepted by the </w:t>
      </w:r>
      <w:r>
        <w:rPr>
          <w:rFonts w:ascii="Book Antiqua" w:hAnsi="Book Antiqua"/>
        </w:rPr>
        <w:t>Respondent</w:t>
      </w:r>
      <w:r w:rsidR="006E3256">
        <w:rPr>
          <w:rFonts w:ascii="Book Antiqua" w:hAnsi="Book Antiqua"/>
        </w:rPr>
        <w:t xml:space="preserve"> that the </w:t>
      </w:r>
      <w:r>
        <w:rPr>
          <w:rFonts w:ascii="Book Antiqua" w:hAnsi="Book Antiqua"/>
        </w:rPr>
        <w:t>Appellant</w:t>
      </w:r>
      <w:r w:rsidR="006E3256">
        <w:rPr>
          <w:rFonts w:ascii="Book Antiqua" w:hAnsi="Book Antiqua"/>
        </w:rPr>
        <w:t xml:space="preserve"> was in a genuine and subsisting relationship with his partner </w:t>
      </w:r>
      <w:r w:rsidR="00285DEE">
        <w:rPr>
          <w:rFonts w:ascii="Book Antiqua" w:hAnsi="Book Antiqua"/>
        </w:rPr>
        <w:t>(see</w:t>
      </w:r>
      <w:r w:rsidR="006E3256">
        <w:rPr>
          <w:rFonts w:ascii="Book Antiqua" w:hAnsi="Book Antiqua"/>
        </w:rPr>
        <w:t xml:space="preserve"> paragraph 4).  Since the application had been made, a child was born of the relationship which the judge did take into account.</w:t>
      </w:r>
    </w:p>
    <w:p w:rsidR="00980906" w:rsidRDefault="00011841" w:rsidP="002B1AE7">
      <w:pPr>
        <w:spacing w:before="240"/>
        <w:ind w:left="567" w:hanging="567"/>
        <w:jc w:val="both"/>
        <w:rPr>
          <w:rFonts w:ascii="Book Antiqua" w:hAnsi="Book Antiqua" w:cs="Arial"/>
        </w:rPr>
      </w:pPr>
      <w:r>
        <w:rPr>
          <w:rFonts w:ascii="Book Antiqua" w:hAnsi="Book Antiqua" w:cs="Arial"/>
        </w:rPr>
        <w:lastRenderedPageBreak/>
        <w:t>39.</w:t>
      </w:r>
      <w:r>
        <w:rPr>
          <w:rFonts w:ascii="Book Antiqua" w:hAnsi="Book Antiqua" w:cs="Arial"/>
        </w:rPr>
        <w:tab/>
      </w:r>
      <w:r w:rsidR="00503B23">
        <w:rPr>
          <w:rFonts w:ascii="Book Antiqua" w:hAnsi="Book Antiqua"/>
        </w:rPr>
        <w:t>It is plain that at paragraphs 8</w:t>
      </w:r>
      <w:r w:rsidR="00DF5B55" w:rsidRPr="00541C0C">
        <w:rPr>
          <w:rFonts w:ascii="Book Antiqua" w:hAnsi="Book Antiqua"/>
        </w:rPr>
        <w:t xml:space="preserve"> </w:t>
      </w:r>
      <w:r w:rsidR="00503B23">
        <w:rPr>
          <w:rFonts w:ascii="Book Antiqua" w:hAnsi="Book Antiqua"/>
        </w:rPr>
        <w:t xml:space="preserve">-9 </w:t>
      </w:r>
      <w:r w:rsidR="00DF5B55" w:rsidRPr="00541C0C">
        <w:rPr>
          <w:rFonts w:ascii="Book Antiqua" w:hAnsi="Book Antiqua"/>
        </w:rPr>
        <w:t xml:space="preserve">that </w:t>
      </w:r>
      <w:r w:rsidR="00503B23">
        <w:rPr>
          <w:rFonts w:ascii="Book Antiqua" w:hAnsi="Book Antiqua"/>
        </w:rPr>
        <w:t xml:space="preserve">the judge concluded that </w:t>
      </w:r>
      <w:r w:rsidR="00DF5B55" w:rsidRPr="00541C0C">
        <w:rPr>
          <w:rFonts w:ascii="Book Antiqua" w:hAnsi="Book Antiqua"/>
        </w:rPr>
        <w:t xml:space="preserve">removal of the </w:t>
      </w:r>
      <w:r w:rsidR="00714EE4">
        <w:rPr>
          <w:rFonts w:ascii="Book Antiqua" w:hAnsi="Book Antiqua"/>
        </w:rPr>
        <w:t>Appellant</w:t>
      </w:r>
      <w:r w:rsidR="00503B23">
        <w:rPr>
          <w:rFonts w:ascii="Book Antiqua" w:hAnsi="Book Antiqua"/>
        </w:rPr>
        <w:t xml:space="preserve"> and as a consequence of the decision was</w:t>
      </w:r>
      <w:r w:rsidR="00DF5B55" w:rsidRPr="00541C0C">
        <w:rPr>
          <w:rFonts w:ascii="Book Antiqua" w:hAnsi="Book Antiqua"/>
        </w:rPr>
        <w:t xml:space="preserve"> likely to interfere with his family life in a sufficiently grave way to engage the operation of </w:t>
      </w:r>
      <w:r w:rsidR="002B1AE7">
        <w:rPr>
          <w:rFonts w:ascii="Book Antiqua" w:hAnsi="Book Antiqua"/>
        </w:rPr>
        <w:t xml:space="preserve">Article </w:t>
      </w:r>
      <w:r w:rsidR="002B1AE7" w:rsidRPr="00541C0C">
        <w:rPr>
          <w:rFonts w:ascii="Book Antiqua" w:hAnsi="Book Antiqua"/>
        </w:rPr>
        <w:t>8</w:t>
      </w:r>
      <w:r w:rsidR="00DF5B55" w:rsidRPr="00541C0C">
        <w:rPr>
          <w:rFonts w:ascii="Book Antiqua" w:hAnsi="Book Antiqua"/>
        </w:rPr>
        <w:t xml:space="preserve"> (points (</w:t>
      </w:r>
      <w:proofErr w:type="spellStart"/>
      <w:r w:rsidR="00DF5B55" w:rsidRPr="00541C0C">
        <w:rPr>
          <w:rFonts w:ascii="Book Antiqua" w:hAnsi="Book Antiqua"/>
        </w:rPr>
        <w:t>i</w:t>
      </w:r>
      <w:proofErr w:type="spellEnd"/>
      <w:r w:rsidR="00DF5B55" w:rsidRPr="00541C0C">
        <w:rPr>
          <w:rFonts w:ascii="Book Antiqua" w:hAnsi="Book Antiqua"/>
        </w:rPr>
        <w:t>) &amp; (ii) of Lord Bingham's five stage approach in</w:t>
      </w:r>
      <w:r w:rsidR="00503B23">
        <w:rPr>
          <w:rFonts w:ascii="Book Antiqua" w:hAnsi="Book Antiqua"/>
        </w:rPr>
        <w:t xml:space="preserve"> </w:t>
      </w:r>
      <w:r w:rsidR="00503B23" w:rsidRPr="00011841">
        <w:rPr>
          <w:rFonts w:ascii="Book Antiqua" w:hAnsi="Book Antiqua"/>
          <w:i/>
        </w:rPr>
        <w:t>Razgar v SSHD</w:t>
      </w:r>
      <w:r w:rsidR="00503B23">
        <w:rPr>
          <w:rFonts w:ascii="Book Antiqua" w:hAnsi="Book Antiqua"/>
        </w:rPr>
        <w:t xml:space="preserve"> [2004] INLR 349) and then considered the issues of EX1 in relation to both limbs – as a partner and as a parent of a qualifying child </w:t>
      </w:r>
      <w:proofErr w:type="gramStart"/>
      <w:r w:rsidR="00503B23">
        <w:rPr>
          <w:rFonts w:ascii="Book Antiqua" w:hAnsi="Book Antiqua"/>
        </w:rPr>
        <w:t>( also</w:t>
      </w:r>
      <w:proofErr w:type="gramEnd"/>
      <w:r w:rsidR="00503B23">
        <w:rPr>
          <w:rFonts w:ascii="Book Antiqua" w:hAnsi="Book Antiqua"/>
        </w:rPr>
        <w:t xml:space="preserve"> see S117B(6)</w:t>
      </w:r>
      <w:r>
        <w:rPr>
          <w:rFonts w:ascii="Book Antiqua" w:hAnsi="Book Antiqua"/>
        </w:rPr>
        <w:t>)</w:t>
      </w:r>
      <w:r w:rsidR="00503B23">
        <w:rPr>
          <w:rFonts w:ascii="Book Antiqua" w:hAnsi="Book Antiqua"/>
        </w:rPr>
        <w:t>.</w:t>
      </w:r>
    </w:p>
    <w:p w:rsidR="00011841" w:rsidRDefault="00011841" w:rsidP="002B1AE7">
      <w:pPr>
        <w:spacing w:before="240"/>
        <w:ind w:left="567" w:hanging="567"/>
        <w:jc w:val="both"/>
        <w:rPr>
          <w:rFonts w:ascii="Book Antiqua" w:hAnsi="Book Antiqua"/>
        </w:rPr>
      </w:pPr>
      <w:r>
        <w:rPr>
          <w:rFonts w:ascii="Book Antiqua" w:hAnsi="Book Antiqua" w:cs="Arial"/>
        </w:rPr>
        <w:t>40.</w:t>
      </w:r>
      <w:r>
        <w:rPr>
          <w:rFonts w:ascii="Book Antiqua" w:hAnsi="Book Antiqua" w:cs="Arial"/>
        </w:rPr>
        <w:tab/>
      </w:r>
      <w:r w:rsidR="00DF5B55" w:rsidRPr="00541C0C">
        <w:rPr>
          <w:rFonts w:ascii="Book Antiqua" w:hAnsi="Book Antiqua"/>
        </w:rPr>
        <w:t xml:space="preserve">The state can lawfully interfere with an </w:t>
      </w:r>
      <w:r w:rsidR="00714EE4">
        <w:rPr>
          <w:rFonts w:ascii="Book Antiqua" w:hAnsi="Book Antiqua"/>
        </w:rPr>
        <w:t>Appellant’s</w:t>
      </w:r>
      <w:r w:rsidR="00DF5B55" w:rsidRPr="00541C0C">
        <w:rPr>
          <w:rFonts w:ascii="Book Antiqua" w:hAnsi="Book Antiqua"/>
        </w:rPr>
        <w:t xml:space="preserve"> family life if it is pursuing a legitimate aim and it is necessary and proportionate in all the circumstances of the case.</w:t>
      </w:r>
    </w:p>
    <w:p w:rsidR="00980906" w:rsidRDefault="00011841" w:rsidP="002B1AE7">
      <w:pPr>
        <w:spacing w:before="240"/>
        <w:ind w:left="567" w:hanging="567"/>
        <w:jc w:val="both"/>
        <w:rPr>
          <w:rFonts w:ascii="Book Antiqua" w:hAnsi="Book Antiqua" w:cs="Arial"/>
        </w:rPr>
      </w:pPr>
      <w:r>
        <w:rPr>
          <w:rFonts w:ascii="Book Antiqua" w:hAnsi="Book Antiqua"/>
        </w:rPr>
        <w:t xml:space="preserve">41.   </w:t>
      </w:r>
      <w:r w:rsidR="00DF5B55" w:rsidRPr="00541C0C">
        <w:rPr>
          <w:rFonts w:ascii="Book Antiqua" w:hAnsi="Book Antiqua"/>
        </w:rPr>
        <w:t xml:space="preserve"> In cases involving human rights issues under </w:t>
      </w:r>
      <w:r w:rsidR="00285DEE">
        <w:rPr>
          <w:rFonts w:ascii="Book Antiqua" w:hAnsi="Book Antiqua"/>
        </w:rPr>
        <w:t xml:space="preserve">Article </w:t>
      </w:r>
      <w:r w:rsidR="00285DEE" w:rsidRPr="00541C0C">
        <w:rPr>
          <w:rFonts w:ascii="Book Antiqua" w:hAnsi="Book Antiqua"/>
        </w:rPr>
        <w:t>8</w:t>
      </w:r>
      <w:r w:rsidR="00DF5B55" w:rsidRPr="00541C0C">
        <w:rPr>
          <w:rFonts w:ascii="Book Antiqua" w:hAnsi="Book Antiqua"/>
        </w:rPr>
        <w:t xml:space="preserve">, the heart of the assessment is whether the decision strikes a fair balance between the due weight to be given to the public interest in maintaining an effective system of immigration control and the impact of the decision on the individual's private or family life. In assessing whether the decision strikes a fair balance a court or </w:t>
      </w:r>
      <w:r w:rsidR="00714EE4">
        <w:rPr>
          <w:rFonts w:ascii="Book Antiqua" w:hAnsi="Book Antiqua"/>
        </w:rPr>
        <w:t>Tribunal</w:t>
      </w:r>
      <w:r w:rsidR="00DF5B55" w:rsidRPr="00541C0C">
        <w:rPr>
          <w:rFonts w:ascii="Book Antiqua" w:hAnsi="Book Antiqua"/>
        </w:rPr>
        <w:t xml:space="preserve"> should give appropriate weight to Parliament's and the Secretary of State's assessment of the strength of the general public interest as expressed in the relevant rules and statutes: see </w:t>
      </w:r>
      <w:r w:rsidR="00DF5B55" w:rsidRPr="00011841">
        <w:rPr>
          <w:rFonts w:ascii="Book Antiqua" w:hAnsi="Book Antiqua"/>
          <w:u w:val="single"/>
        </w:rPr>
        <w:t>Hesham Ali v SSHD</w:t>
      </w:r>
      <w:r w:rsidR="00DF5B55" w:rsidRPr="00541C0C">
        <w:rPr>
          <w:rFonts w:ascii="Book Antiqua" w:hAnsi="Book Antiqua"/>
        </w:rPr>
        <w:t xml:space="preserve"> [2016] UKSC 60 and</w:t>
      </w:r>
      <w:r w:rsidR="00F33E35" w:rsidRPr="00541C0C">
        <w:rPr>
          <w:rFonts w:ascii="Book Antiqua" w:hAnsi="Book Antiqua"/>
        </w:rPr>
        <w:t xml:space="preserve"> </w:t>
      </w:r>
      <w:r w:rsidR="00F0271F" w:rsidRPr="00541C0C">
        <w:rPr>
          <w:rFonts w:ascii="Book Antiqua" w:hAnsi="Book Antiqua"/>
        </w:rPr>
        <w:t>see</w:t>
      </w:r>
      <w:r w:rsidR="00F33E35" w:rsidRPr="00541C0C">
        <w:rPr>
          <w:rFonts w:ascii="Book Antiqua" w:hAnsi="Book Antiqua"/>
        </w:rPr>
        <w:t xml:space="preserve"> </w:t>
      </w:r>
      <w:r w:rsidR="007B5655" w:rsidRPr="00541C0C">
        <w:rPr>
          <w:rFonts w:ascii="Book Antiqua" w:hAnsi="Book Antiqua"/>
        </w:rPr>
        <w:t xml:space="preserve">  </w:t>
      </w:r>
      <w:r w:rsidR="00F0271F" w:rsidRPr="00541C0C">
        <w:rPr>
          <w:rFonts w:ascii="Book Antiqua" w:hAnsi="Book Antiqua"/>
          <w:u w:val="single"/>
        </w:rPr>
        <w:t>R (</w:t>
      </w:r>
      <w:r w:rsidR="007B5655" w:rsidRPr="00541C0C">
        <w:rPr>
          <w:rFonts w:ascii="Book Antiqua" w:hAnsi="Book Antiqua"/>
          <w:u w:val="single"/>
        </w:rPr>
        <w:t xml:space="preserve">MM and others) (Lebanon) v </w:t>
      </w:r>
      <w:r w:rsidR="005A1CFD" w:rsidRPr="00541C0C">
        <w:rPr>
          <w:rFonts w:ascii="Book Antiqua" w:hAnsi="Book Antiqua"/>
          <w:u w:val="single"/>
        </w:rPr>
        <w:t>Secretary</w:t>
      </w:r>
      <w:r w:rsidR="007B5655" w:rsidRPr="00541C0C">
        <w:rPr>
          <w:rFonts w:ascii="Book Antiqua" w:hAnsi="Book Antiqua"/>
          <w:u w:val="single"/>
        </w:rPr>
        <w:t xml:space="preserve"> of State for the Home Department</w:t>
      </w:r>
      <w:r w:rsidR="007B5655" w:rsidRPr="00541C0C">
        <w:rPr>
          <w:rFonts w:ascii="Book Antiqua" w:hAnsi="Book Antiqua"/>
        </w:rPr>
        <w:t xml:space="preserve"> [2017] UKSC 10,</w:t>
      </w:r>
      <w:r w:rsidR="00F33E35" w:rsidRPr="00541C0C">
        <w:rPr>
          <w:rFonts w:ascii="Book Antiqua" w:hAnsi="Book Antiqua"/>
        </w:rPr>
        <w:t xml:space="preserve"> the Supreme Court at [43].</w:t>
      </w:r>
    </w:p>
    <w:p w:rsidR="00980906" w:rsidRDefault="00714EE4" w:rsidP="002B1AE7">
      <w:pPr>
        <w:spacing w:before="240"/>
        <w:ind w:left="567" w:hanging="567"/>
        <w:jc w:val="both"/>
        <w:rPr>
          <w:rFonts w:ascii="Book Antiqua" w:hAnsi="Book Antiqua" w:cs="Arial"/>
        </w:rPr>
      </w:pPr>
      <w:r>
        <w:rPr>
          <w:rFonts w:ascii="Book Antiqua" w:hAnsi="Book Antiqua" w:cs="Arial"/>
        </w:rPr>
        <w:t>42.</w:t>
      </w:r>
      <w:r>
        <w:rPr>
          <w:rFonts w:ascii="Book Antiqua" w:hAnsi="Book Antiqua" w:cs="Arial"/>
        </w:rPr>
        <w:tab/>
      </w:r>
      <w:r w:rsidR="00011841">
        <w:rPr>
          <w:rFonts w:ascii="Book Antiqua" w:hAnsi="Book Antiqua"/>
        </w:rPr>
        <w:t>In the</w:t>
      </w:r>
      <w:r w:rsidR="00285910" w:rsidRPr="00541C0C">
        <w:rPr>
          <w:rFonts w:ascii="Book Antiqua" w:hAnsi="Book Antiqua"/>
        </w:rPr>
        <w:t xml:space="preserve"> </w:t>
      </w:r>
      <w:r w:rsidR="00285910" w:rsidRPr="00541C0C">
        <w:rPr>
          <w:rFonts w:ascii="Book Antiqua" w:hAnsi="Book Antiqua" w:cs="Arial"/>
        </w:rPr>
        <w:t xml:space="preserve">assessment under </w:t>
      </w:r>
      <w:r w:rsidR="00285DEE">
        <w:rPr>
          <w:rFonts w:ascii="Book Antiqua" w:hAnsi="Book Antiqua" w:cs="Arial"/>
        </w:rPr>
        <w:t xml:space="preserve">Article </w:t>
      </w:r>
      <w:r w:rsidR="00285DEE" w:rsidRPr="00541C0C">
        <w:rPr>
          <w:rFonts w:ascii="Book Antiqua" w:hAnsi="Book Antiqua" w:cs="Arial"/>
        </w:rPr>
        <w:t>8</w:t>
      </w:r>
      <w:r w:rsidR="00285910" w:rsidRPr="00541C0C">
        <w:rPr>
          <w:rFonts w:ascii="Book Antiqua" w:hAnsi="Book Antiqua" w:cs="Arial"/>
        </w:rPr>
        <w:t>, the best interests of the child must be a prima</w:t>
      </w:r>
      <w:r w:rsidR="00011841">
        <w:rPr>
          <w:rFonts w:ascii="Book Antiqua" w:hAnsi="Book Antiqua" w:cs="Arial"/>
        </w:rPr>
        <w:t>ry consideration.  That means</w:t>
      </w:r>
      <w:r w:rsidR="00285910" w:rsidRPr="00541C0C">
        <w:rPr>
          <w:rFonts w:ascii="Book Antiqua" w:hAnsi="Book Antiqua" w:cs="Arial"/>
        </w:rPr>
        <w:t xml:space="preserve"> that they must be considered first.  They could, of course, be outweighed by the cumulative effect of other considerations.  </w:t>
      </w:r>
      <w:r w:rsidR="00285910" w:rsidRPr="00541C0C">
        <w:rPr>
          <w:rFonts w:ascii="Book Antiqua" w:hAnsi="Book Antiqua"/>
        </w:rPr>
        <w:t xml:space="preserve">In carrying out the balancing exercise and reaching a finding on proportionality, the </w:t>
      </w:r>
      <w:r>
        <w:rPr>
          <w:rFonts w:ascii="Book Antiqua" w:hAnsi="Book Antiqua"/>
        </w:rPr>
        <w:t>Tribunal</w:t>
      </w:r>
      <w:r w:rsidR="00285910" w:rsidRPr="00541C0C">
        <w:rPr>
          <w:rFonts w:ascii="Book Antiqua" w:hAnsi="Book Antiqua"/>
        </w:rPr>
        <w:t xml:space="preserve"> must “have regard” to the considerations set out in section 117B of the Nationality, immigration and Asylum Act 2002 (section 117A). Section 117A (2) of the 2002 Act provides that where a </w:t>
      </w:r>
      <w:r>
        <w:rPr>
          <w:rFonts w:ascii="Book Antiqua" w:hAnsi="Book Antiqua"/>
        </w:rPr>
        <w:t>Tribunal</w:t>
      </w:r>
      <w:r w:rsidR="00285910" w:rsidRPr="00541C0C">
        <w:rPr>
          <w:rFonts w:ascii="Book Antiqua" w:hAnsi="Book Antiqua"/>
        </w:rPr>
        <w:t xml:space="preserve"> is required to determine whether a decision made under the Immigration Acts would be unlawful under section 6 of the Human Rights Act 1998 it must, in considering 'the public interest question', have regard in all cases to the considerations listed in section117B of the Nationality, Immigration and Asylum Act 2002 (as amended by the Immigration Act 2014). Section 117 (3) provides that the 'public interest question' means the question of whether an interference with a person's right to respect for private and family life is justified under </w:t>
      </w:r>
      <w:r w:rsidR="00285DEE">
        <w:rPr>
          <w:rFonts w:ascii="Book Antiqua" w:hAnsi="Book Antiqua"/>
        </w:rPr>
        <w:t xml:space="preserve">Article </w:t>
      </w:r>
      <w:r w:rsidR="00285DEE" w:rsidRPr="00541C0C">
        <w:rPr>
          <w:rFonts w:ascii="Book Antiqua" w:hAnsi="Book Antiqua"/>
        </w:rPr>
        <w:t>8</w:t>
      </w:r>
      <w:r w:rsidR="00285910" w:rsidRPr="00541C0C">
        <w:rPr>
          <w:rFonts w:ascii="Book Antiqua" w:hAnsi="Book Antiqua"/>
        </w:rPr>
        <w:t>(2).</w:t>
      </w:r>
    </w:p>
    <w:p w:rsidR="00285910" w:rsidRPr="00980906" w:rsidRDefault="00714EE4" w:rsidP="002B1AE7">
      <w:pPr>
        <w:spacing w:before="240"/>
        <w:ind w:left="567" w:hanging="567"/>
        <w:jc w:val="both"/>
        <w:rPr>
          <w:rFonts w:ascii="Book Antiqua" w:hAnsi="Book Antiqua" w:cs="Arial"/>
        </w:rPr>
      </w:pPr>
      <w:r>
        <w:rPr>
          <w:rFonts w:ascii="Book Antiqua" w:hAnsi="Book Antiqua" w:cs="Arial"/>
        </w:rPr>
        <w:t>43.</w:t>
      </w:r>
      <w:r>
        <w:rPr>
          <w:rFonts w:ascii="Book Antiqua" w:hAnsi="Book Antiqua" w:cs="Arial"/>
        </w:rPr>
        <w:tab/>
      </w:r>
      <w:r w:rsidR="00285910" w:rsidRPr="00541C0C">
        <w:rPr>
          <w:rStyle w:val="legamendingtext"/>
          <w:rFonts w:ascii="Book Antiqua" w:hAnsi="Book Antiqua" w:cs="Arial"/>
          <w:color w:val="000000"/>
          <w:lang w:val="en"/>
        </w:rPr>
        <w:t xml:space="preserve">S117B </w:t>
      </w:r>
      <w:r w:rsidR="00285DEE">
        <w:rPr>
          <w:rStyle w:val="legamendingtext"/>
          <w:rFonts w:ascii="Book Antiqua" w:hAnsi="Book Antiqua" w:cs="Arial"/>
          <w:color w:val="000000"/>
          <w:lang w:val="en"/>
        </w:rPr>
        <w:t xml:space="preserve">Article </w:t>
      </w:r>
      <w:r w:rsidR="00285DEE" w:rsidRPr="00541C0C">
        <w:rPr>
          <w:rStyle w:val="legamendingtext"/>
          <w:rFonts w:ascii="Book Antiqua" w:hAnsi="Book Antiqua" w:cs="Arial"/>
          <w:color w:val="000000"/>
          <w:lang w:val="en"/>
        </w:rPr>
        <w:t>8</w:t>
      </w:r>
      <w:r w:rsidR="00285910" w:rsidRPr="00541C0C">
        <w:rPr>
          <w:rStyle w:val="legamendingtext"/>
          <w:rFonts w:ascii="Book Antiqua" w:hAnsi="Book Antiqua" w:cs="Arial"/>
          <w:color w:val="000000"/>
          <w:lang w:val="en"/>
        </w:rPr>
        <w:t>: public interest considerations applicable in all cases:</w:t>
      </w:r>
    </w:p>
    <w:p w:rsidR="00285910" w:rsidRPr="00541C0C" w:rsidRDefault="00285910" w:rsidP="002B1AE7">
      <w:pPr>
        <w:pStyle w:val="legclearfix2"/>
        <w:tabs>
          <w:tab w:val="left" w:pos="1701"/>
        </w:tabs>
        <w:spacing w:before="120" w:line="240" w:lineRule="auto"/>
        <w:ind w:left="1134"/>
        <w:rPr>
          <w:rFonts w:ascii="Book Antiqua" w:hAnsi="Book Antiqua" w:cs="Arial"/>
          <w:sz w:val="24"/>
          <w:szCs w:val="24"/>
          <w:lang w:val="en"/>
        </w:rPr>
      </w:pPr>
      <w:r w:rsidRPr="00541C0C">
        <w:rPr>
          <w:rStyle w:val="legamendingtext"/>
          <w:rFonts w:ascii="Book Antiqua" w:hAnsi="Book Antiqua" w:cs="Arial"/>
          <w:sz w:val="24"/>
          <w:szCs w:val="24"/>
          <w:lang w:val="en"/>
        </w:rPr>
        <w:t>(1)</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The maintenance of effective immigration controls is in the public interest.</w:t>
      </w:r>
    </w:p>
    <w:p w:rsidR="00285910" w:rsidRPr="00541C0C" w:rsidRDefault="00285910" w:rsidP="002B1AE7">
      <w:pPr>
        <w:pStyle w:val="legclearfix2"/>
        <w:tabs>
          <w:tab w:val="left" w:pos="1701"/>
        </w:tabs>
        <w:spacing w:before="120" w:line="240" w:lineRule="auto"/>
        <w:ind w:left="1134"/>
        <w:rPr>
          <w:rFonts w:ascii="Book Antiqua" w:hAnsi="Book Antiqua" w:cs="Arial"/>
          <w:sz w:val="24"/>
          <w:szCs w:val="24"/>
          <w:lang w:val="en"/>
        </w:rPr>
      </w:pPr>
      <w:r w:rsidRPr="00541C0C">
        <w:rPr>
          <w:rStyle w:val="legamendingtext"/>
          <w:rFonts w:ascii="Book Antiqua" w:hAnsi="Book Antiqua" w:cs="Arial"/>
          <w:sz w:val="24"/>
          <w:szCs w:val="24"/>
          <w:lang w:val="en"/>
        </w:rPr>
        <w:t>(2)</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 xml:space="preserve">It is in the public interest, and </w:t>
      </w:r>
      <w:proofErr w:type="gramStart"/>
      <w:r w:rsidRPr="00541C0C">
        <w:rPr>
          <w:rStyle w:val="legamendingtext"/>
          <w:rFonts w:ascii="Book Antiqua" w:hAnsi="Book Antiqua" w:cs="Arial"/>
          <w:sz w:val="24"/>
          <w:szCs w:val="24"/>
          <w:lang w:val="en"/>
        </w:rPr>
        <w:t>in particular in</w:t>
      </w:r>
      <w:proofErr w:type="gramEnd"/>
      <w:r w:rsidRPr="00541C0C">
        <w:rPr>
          <w:rStyle w:val="legamendingtext"/>
          <w:rFonts w:ascii="Book Antiqua" w:hAnsi="Book Antiqua" w:cs="Arial"/>
          <w:sz w:val="24"/>
          <w:szCs w:val="24"/>
          <w:lang w:val="en"/>
        </w:rPr>
        <w:t xml:space="preserve"> the interests of the economic well-being of the United Kingdom, that persons who seek to enter or remain in the United Kingdom are able to speak English, because persons who can speak English—</w:t>
      </w:r>
    </w:p>
    <w:p w:rsidR="00285910" w:rsidRPr="00541C0C" w:rsidRDefault="00285910" w:rsidP="002B1AE7">
      <w:pPr>
        <w:pStyle w:val="legclearfix2"/>
        <w:tabs>
          <w:tab w:val="left" w:pos="2268"/>
        </w:tabs>
        <w:spacing w:before="120" w:line="240" w:lineRule="auto"/>
        <w:ind w:left="1701"/>
        <w:rPr>
          <w:rFonts w:ascii="Book Antiqua" w:hAnsi="Book Antiqua" w:cs="Arial"/>
          <w:sz w:val="24"/>
          <w:szCs w:val="24"/>
          <w:lang w:val="en"/>
        </w:rPr>
      </w:pPr>
      <w:r w:rsidRPr="00541C0C">
        <w:rPr>
          <w:rStyle w:val="legamendingtext"/>
          <w:rFonts w:ascii="Book Antiqua" w:hAnsi="Book Antiqua" w:cs="Arial"/>
          <w:sz w:val="24"/>
          <w:szCs w:val="24"/>
          <w:lang w:val="en"/>
        </w:rPr>
        <w:t>(a)</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are less of a burden on taxpayers, and</w:t>
      </w:r>
    </w:p>
    <w:p w:rsidR="00285910" w:rsidRPr="00541C0C" w:rsidRDefault="00285910" w:rsidP="002B1AE7">
      <w:pPr>
        <w:pStyle w:val="legclearfix2"/>
        <w:tabs>
          <w:tab w:val="left" w:pos="2268"/>
        </w:tabs>
        <w:spacing w:before="120" w:line="240" w:lineRule="auto"/>
        <w:ind w:left="1701"/>
        <w:rPr>
          <w:rFonts w:ascii="Book Antiqua" w:hAnsi="Book Antiqua" w:cs="Arial"/>
          <w:sz w:val="24"/>
          <w:szCs w:val="24"/>
          <w:lang w:val="en"/>
        </w:rPr>
      </w:pPr>
      <w:r w:rsidRPr="00541C0C">
        <w:rPr>
          <w:rStyle w:val="legamendingtext"/>
          <w:rFonts w:ascii="Book Antiqua" w:hAnsi="Book Antiqua" w:cs="Arial"/>
          <w:sz w:val="24"/>
          <w:szCs w:val="24"/>
          <w:lang w:val="en"/>
        </w:rPr>
        <w:t>(b</w:t>
      </w:r>
      <w:r w:rsidR="00541C0C" w:rsidRPr="00541C0C">
        <w:rPr>
          <w:rStyle w:val="legamendingtext"/>
          <w:rFonts w:ascii="Book Antiqua" w:hAnsi="Book Antiqua" w:cs="Arial"/>
          <w:sz w:val="24"/>
          <w:szCs w:val="24"/>
          <w:lang w:val="en"/>
        </w:rPr>
        <w:t>)</w:t>
      </w:r>
      <w:r w:rsidR="002B1AE7">
        <w:rPr>
          <w:rStyle w:val="legamendingtext"/>
          <w:rFonts w:ascii="Book Antiqua" w:hAnsi="Book Antiqua" w:cs="Arial"/>
          <w:sz w:val="24"/>
          <w:szCs w:val="24"/>
          <w:lang w:val="en"/>
        </w:rPr>
        <w:tab/>
      </w:r>
      <w:r w:rsidR="00541C0C" w:rsidRPr="00541C0C">
        <w:rPr>
          <w:rStyle w:val="legamendingtext"/>
          <w:rFonts w:ascii="Book Antiqua" w:hAnsi="Book Antiqua" w:cs="Arial"/>
          <w:sz w:val="24"/>
          <w:szCs w:val="24"/>
          <w:lang w:val="en"/>
        </w:rPr>
        <w:t>are</w:t>
      </w:r>
      <w:r w:rsidRPr="00541C0C">
        <w:rPr>
          <w:rStyle w:val="legamendingtext"/>
          <w:rFonts w:ascii="Book Antiqua" w:hAnsi="Book Antiqua" w:cs="Arial"/>
          <w:sz w:val="24"/>
          <w:szCs w:val="24"/>
          <w:lang w:val="en"/>
        </w:rPr>
        <w:t xml:space="preserve"> better able to integrate into society.</w:t>
      </w:r>
    </w:p>
    <w:p w:rsidR="00285910" w:rsidRPr="00541C0C" w:rsidRDefault="00285910" w:rsidP="002B1AE7">
      <w:pPr>
        <w:pStyle w:val="legclearfix2"/>
        <w:tabs>
          <w:tab w:val="left" w:pos="1701"/>
        </w:tabs>
        <w:spacing w:before="120" w:line="240" w:lineRule="auto"/>
        <w:ind w:left="1134"/>
        <w:rPr>
          <w:rFonts w:ascii="Book Antiqua" w:hAnsi="Book Antiqua" w:cs="Arial"/>
          <w:sz w:val="24"/>
          <w:szCs w:val="24"/>
          <w:lang w:val="en"/>
        </w:rPr>
      </w:pPr>
      <w:r w:rsidRPr="00541C0C">
        <w:rPr>
          <w:rStyle w:val="legamendingtext"/>
          <w:rFonts w:ascii="Book Antiqua" w:hAnsi="Book Antiqua" w:cs="Arial"/>
          <w:sz w:val="24"/>
          <w:szCs w:val="24"/>
          <w:lang w:val="en"/>
        </w:rPr>
        <w:lastRenderedPageBreak/>
        <w:t>(3)</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 xml:space="preserve">It is in the public interest, and </w:t>
      </w:r>
      <w:proofErr w:type="gramStart"/>
      <w:r w:rsidRPr="00541C0C">
        <w:rPr>
          <w:rStyle w:val="legamendingtext"/>
          <w:rFonts w:ascii="Book Antiqua" w:hAnsi="Book Antiqua" w:cs="Arial"/>
          <w:sz w:val="24"/>
          <w:szCs w:val="24"/>
          <w:lang w:val="en"/>
        </w:rPr>
        <w:t>in particular in</w:t>
      </w:r>
      <w:proofErr w:type="gramEnd"/>
      <w:r w:rsidRPr="00541C0C">
        <w:rPr>
          <w:rStyle w:val="legamendingtext"/>
          <w:rFonts w:ascii="Book Antiqua" w:hAnsi="Book Antiqua" w:cs="Arial"/>
          <w:sz w:val="24"/>
          <w:szCs w:val="24"/>
          <w:lang w:val="en"/>
        </w:rPr>
        <w:t xml:space="preserve"> the interests of the economic well-being of the United Kingdom, that persons who seek to enter or remain in the United Kingdom are financially independent, because such persons—</w:t>
      </w:r>
    </w:p>
    <w:p w:rsidR="00285910" w:rsidRPr="00541C0C" w:rsidRDefault="00285910" w:rsidP="002B1AE7">
      <w:pPr>
        <w:pStyle w:val="legclearfix2"/>
        <w:tabs>
          <w:tab w:val="left" w:pos="2268"/>
        </w:tabs>
        <w:spacing w:before="120" w:line="240" w:lineRule="auto"/>
        <w:ind w:left="1701"/>
        <w:rPr>
          <w:rFonts w:ascii="Book Antiqua" w:hAnsi="Book Antiqua" w:cs="Arial"/>
          <w:sz w:val="24"/>
          <w:szCs w:val="24"/>
          <w:lang w:val="en"/>
        </w:rPr>
      </w:pPr>
      <w:r w:rsidRPr="00541C0C">
        <w:rPr>
          <w:rStyle w:val="legamendingtext"/>
          <w:rFonts w:ascii="Book Antiqua" w:hAnsi="Book Antiqua" w:cs="Arial"/>
          <w:sz w:val="24"/>
          <w:szCs w:val="24"/>
          <w:lang w:val="en"/>
        </w:rPr>
        <w:t>(a)</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are not a burden on taxpayers, and</w:t>
      </w:r>
    </w:p>
    <w:p w:rsidR="00285910" w:rsidRPr="00541C0C" w:rsidRDefault="00285910" w:rsidP="002B1AE7">
      <w:pPr>
        <w:pStyle w:val="legclearfix2"/>
        <w:tabs>
          <w:tab w:val="left" w:pos="2268"/>
        </w:tabs>
        <w:spacing w:before="120" w:line="240" w:lineRule="auto"/>
        <w:ind w:left="1701"/>
        <w:rPr>
          <w:rFonts w:ascii="Book Antiqua" w:hAnsi="Book Antiqua" w:cs="Arial"/>
          <w:sz w:val="24"/>
          <w:szCs w:val="24"/>
          <w:lang w:val="en"/>
        </w:rPr>
      </w:pPr>
      <w:r w:rsidRPr="00541C0C">
        <w:rPr>
          <w:rStyle w:val="legamendingtext"/>
          <w:rFonts w:ascii="Book Antiqua" w:hAnsi="Book Antiqua" w:cs="Arial"/>
          <w:sz w:val="24"/>
          <w:szCs w:val="24"/>
          <w:lang w:val="en"/>
        </w:rPr>
        <w:t>(b)</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are better able to integrate into society.</w:t>
      </w:r>
    </w:p>
    <w:p w:rsidR="00285910" w:rsidRPr="00541C0C" w:rsidRDefault="00285910" w:rsidP="002B1AE7">
      <w:pPr>
        <w:pStyle w:val="legclearfix2"/>
        <w:tabs>
          <w:tab w:val="left" w:pos="1701"/>
        </w:tabs>
        <w:spacing w:before="120" w:line="240" w:lineRule="auto"/>
        <w:ind w:left="1134"/>
        <w:rPr>
          <w:rFonts w:ascii="Book Antiqua" w:hAnsi="Book Antiqua" w:cs="Arial"/>
          <w:sz w:val="24"/>
          <w:szCs w:val="24"/>
          <w:lang w:val="en"/>
        </w:rPr>
      </w:pPr>
      <w:r w:rsidRPr="00541C0C">
        <w:rPr>
          <w:rStyle w:val="legamendingtext"/>
          <w:rFonts w:ascii="Book Antiqua" w:hAnsi="Book Antiqua" w:cs="Arial"/>
          <w:sz w:val="24"/>
          <w:szCs w:val="24"/>
          <w:lang w:val="en"/>
        </w:rPr>
        <w:t>(4)</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Little weight should be given to—</w:t>
      </w:r>
    </w:p>
    <w:p w:rsidR="00285910" w:rsidRPr="00541C0C" w:rsidRDefault="00285910" w:rsidP="002B1AE7">
      <w:pPr>
        <w:pStyle w:val="legclearfix2"/>
        <w:tabs>
          <w:tab w:val="left" w:pos="2268"/>
        </w:tabs>
        <w:spacing w:before="120" w:line="240" w:lineRule="auto"/>
        <w:ind w:left="1701"/>
        <w:rPr>
          <w:rFonts w:ascii="Book Antiqua" w:hAnsi="Book Antiqua" w:cs="Arial"/>
          <w:sz w:val="24"/>
          <w:szCs w:val="24"/>
          <w:lang w:val="en"/>
        </w:rPr>
      </w:pPr>
      <w:r w:rsidRPr="00541C0C">
        <w:rPr>
          <w:rStyle w:val="legamendingtext"/>
          <w:rFonts w:ascii="Book Antiqua" w:hAnsi="Book Antiqua" w:cs="Arial"/>
          <w:sz w:val="24"/>
          <w:szCs w:val="24"/>
          <w:lang w:val="en"/>
        </w:rPr>
        <w:t>(a)</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a private life, or</w:t>
      </w:r>
    </w:p>
    <w:p w:rsidR="00285910" w:rsidRPr="00541C0C" w:rsidRDefault="00285910" w:rsidP="002B1AE7">
      <w:pPr>
        <w:pStyle w:val="legclearfix2"/>
        <w:tabs>
          <w:tab w:val="left" w:pos="2268"/>
        </w:tabs>
        <w:spacing w:before="120" w:line="240" w:lineRule="auto"/>
        <w:ind w:left="1701"/>
        <w:rPr>
          <w:rFonts w:ascii="Book Antiqua" w:hAnsi="Book Antiqua" w:cs="Arial"/>
          <w:sz w:val="24"/>
          <w:szCs w:val="24"/>
          <w:lang w:val="en"/>
        </w:rPr>
      </w:pPr>
      <w:r w:rsidRPr="00541C0C">
        <w:rPr>
          <w:rStyle w:val="legamendingtext"/>
          <w:rFonts w:ascii="Book Antiqua" w:hAnsi="Book Antiqua" w:cs="Arial"/>
          <w:sz w:val="24"/>
          <w:szCs w:val="24"/>
          <w:lang w:val="en"/>
        </w:rPr>
        <w:t>(b)</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a relationship formed with a qualifying partner,</w:t>
      </w:r>
    </w:p>
    <w:p w:rsidR="00285910" w:rsidRPr="00541C0C" w:rsidRDefault="00285910" w:rsidP="002B1AE7">
      <w:pPr>
        <w:pStyle w:val="legrhs1"/>
        <w:spacing w:before="120" w:line="240" w:lineRule="auto"/>
        <w:ind w:left="1134" w:firstLine="567"/>
        <w:jc w:val="left"/>
        <w:rPr>
          <w:rFonts w:ascii="Book Antiqua" w:hAnsi="Book Antiqua" w:cs="Arial"/>
          <w:sz w:val="24"/>
          <w:szCs w:val="24"/>
          <w:lang w:val="en"/>
        </w:rPr>
      </w:pPr>
      <w:r w:rsidRPr="00541C0C">
        <w:rPr>
          <w:rStyle w:val="legamendingtext"/>
          <w:rFonts w:ascii="Book Antiqua" w:hAnsi="Book Antiqua" w:cs="Arial"/>
          <w:sz w:val="24"/>
          <w:szCs w:val="24"/>
          <w:lang w:val="en"/>
        </w:rPr>
        <w:t>that is established by a person at a time when the person is in the United Kingdom unlawfully.</w:t>
      </w:r>
      <w:r w:rsidRPr="00541C0C">
        <w:rPr>
          <w:rFonts w:ascii="Book Antiqua" w:hAnsi="Book Antiqua" w:cs="Arial"/>
          <w:sz w:val="24"/>
          <w:szCs w:val="24"/>
          <w:lang w:val="en"/>
        </w:rPr>
        <w:t xml:space="preserve"> </w:t>
      </w:r>
    </w:p>
    <w:p w:rsidR="00285910" w:rsidRPr="00541C0C" w:rsidRDefault="00285910" w:rsidP="002B1AE7">
      <w:pPr>
        <w:pStyle w:val="legclearfix2"/>
        <w:tabs>
          <w:tab w:val="left" w:pos="1701"/>
        </w:tabs>
        <w:spacing w:before="120" w:line="240" w:lineRule="auto"/>
        <w:ind w:left="1134"/>
        <w:rPr>
          <w:rFonts w:ascii="Book Antiqua" w:hAnsi="Book Antiqua" w:cs="Arial"/>
          <w:sz w:val="24"/>
          <w:szCs w:val="24"/>
          <w:lang w:val="en"/>
        </w:rPr>
      </w:pPr>
      <w:r w:rsidRPr="00541C0C">
        <w:rPr>
          <w:rStyle w:val="legamendingtext"/>
          <w:rFonts w:ascii="Book Antiqua" w:hAnsi="Book Antiqua" w:cs="Arial"/>
          <w:sz w:val="24"/>
          <w:szCs w:val="24"/>
          <w:lang w:val="en"/>
        </w:rPr>
        <w:t>(5)</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Little weight should be given to a private life established by a person at a time when the person’s immigration status is precarious.</w:t>
      </w:r>
    </w:p>
    <w:p w:rsidR="00285910" w:rsidRPr="00541C0C" w:rsidRDefault="00285910" w:rsidP="002B1AE7">
      <w:pPr>
        <w:pStyle w:val="legclearfix2"/>
        <w:tabs>
          <w:tab w:val="left" w:pos="1701"/>
        </w:tabs>
        <w:spacing w:before="120" w:line="240" w:lineRule="auto"/>
        <w:ind w:left="1134"/>
        <w:rPr>
          <w:rFonts w:ascii="Book Antiqua" w:hAnsi="Book Antiqua" w:cs="Arial"/>
          <w:sz w:val="24"/>
          <w:szCs w:val="24"/>
          <w:lang w:val="en"/>
        </w:rPr>
      </w:pPr>
      <w:r w:rsidRPr="00541C0C">
        <w:rPr>
          <w:rStyle w:val="legamendingtext"/>
          <w:rFonts w:ascii="Book Antiqua" w:hAnsi="Book Antiqua" w:cs="Arial"/>
          <w:sz w:val="24"/>
          <w:szCs w:val="24"/>
          <w:lang w:val="en"/>
        </w:rPr>
        <w:t>(6)</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In the case of a person who is not liable to deportation, the public interest does not require the person’s removal where—</w:t>
      </w:r>
    </w:p>
    <w:p w:rsidR="00285910" w:rsidRPr="00541C0C" w:rsidRDefault="00285910" w:rsidP="002B1AE7">
      <w:pPr>
        <w:pStyle w:val="legclearfix2"/>
        <w:tabs>
          <w:tab w:val="left" w:pos="2268"/>
        </w:tabs>
        <w:spacing w:before="120" w:line="240" w:lineRule="auto"/>
        <w:ind w:left="1701"/>
        <w:rPr>
          <w:rFonts w:ascii="Book Antiqua" w:hAnsi="Book Antiqua" w:cs="Arial"/>
          <w:sz w:val="24"/>
          <w:szCs w:val="24"/>
          <w:lang w:val="en"/>
        </w:rPr>
      </w:pPr>
      <w:r w:rsidRPr="00541C0C">
        <w:rPr>
          <w:rStyle w:val="legamendingtext"/>
          <w:rFonts w:ascii="Book Antiqua" w:hAnsi="Book Antiqua" w:cs="Arial"/>
          <w:sz w:val="24"/>
          <w:szCs w:val="24"/>
          <w:lang w:val="en"/>
        </w:rPr>
        <w:t>(a)</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the person has a genuine and subsisting parental relationship with a qualifying child, and</w:t>
      </w:r>
    </w:p>
    <w:p w:rsidR="00285910" w:rsidRPr="00541C0C" w:rsidRDefault="00285910" w:rsidP="002B1AE7">
      <w:pPr>
        <w:pStyle w:val="legclearfix2"/>
        <w:tabs>
          <w:tab w:val="left" w:pos="2268"/>
        </w:tabs>
        <w:spacing w:before="120" w:line="240" w:lineRule="auto"/>
        <w:ind w:left="1701"/>
        <w:rPr>
          <w:rFonts w:ascii="Book Antiqua" w:hAnsi="Book Antiqua" w:cs="Arial"/>
          <w:sz w:val="24"/>
          <w:szCs w:val="24"/>
          <w:lang w:val="en"/>
        </w:rPr>
      </w:pPr>
      <w:r w:rsidRPr="00541C0C">
        <w:rPr>
          <w:rStyle w:val="legamendingtext"/>
          <w:rFonts w:ascii="Book Antiqua" w:hAnsi="Book Antiqua" w:cs="Arial"/>
          <w:sz w:val="24"/>
          <w:szCs w:val="24"/>
          <w:lang w:val="en"/>
        </w:rPr>
        <w:t>(b)</w:t>
      </w:r>
      <w:r w:rsidR="002B1AE7">
        <w:rPr>
          <w:rStyle w:val="legamendingtext"/>
          <w:rFonts w:ascii="Book Antiqua" w:hAnsi="Book Antiqua" w:cs="Arial"/>
          <w:sz w:val="24"/>
          <w:szCs w:val="24"/>
          <w:lang w:val="en"/>
        </w:rPr>
        <w:tab/>
      </w:r>
      <w:r w:rsidRPr="00541C0C">
        <w:rPr>
          <w:rStyle w:val="legamendingtext"/>
          <w:rFonts w:ascii="Book Antiqua" w:hAnsi="Book Antiqua" w:cs="Arial"/>
          <w:sz w:val="24"/>
          <w:szCs w:val="24"/>
          <w:lang w:val="en"/>
        </w:rPr>
        <w:t>it would not be reasonable to expect the child to leave the United Kingdom.</w:t>
      </w:r>
    </w:p>
    <w:p w:rsidR="00DF5B55" w:rsidRDefault="00DF5B55" w:rsidP="002B1AE7">
      <w:pPr>
        <w:numPr>
          <w:ilvl w:val="0"/>
          <w:numId w:val="30"/>
        </w:numPr>
        <w:spacing w:before="240"/>
        <w:ind w:left="567" w:hanging="567"/>
        <w:jc w:val="both"/>
        <w:rPr>
          <w:rFonts w:ascii="Book Antiqua" w:hAnsi="Book Antiqua"/>
        </w:rPr>
      </w:pPr>
      <w:r w:rsidRPr="00541C0C">
        <w:rPr>
          <w:rFonts w:ascii="Book Antiqua" w:hAnsi="Book Antiqua"/>
        </w:rPr>
        <w:t xml:space="preserve">Section 117B of the Nationality, Immigration and Asylum Act 2002 ("NIAA 2002") sets out a number of public interest considerations that a court or </w:t>
      </w:r>
      <w:r w:rsidR="00714EE4">
        <w:rPr>
          <w:rFonts w:ascii="Book Antiqua" w:hAnsi="Book Antiqua"/>
        </w:rPr>
        <w:t>Tribunal</w:t>
      </w:r>
      <w:r w:rsidRPr="00541C0C">
        <w:rPr>
          <w:rFonts w:ascii="Book Antiqua" w:hAnsi="Book Antiqua"/>
        </w:rPr>
        <w:t xml:space="preserve"> must take into account in assessing whether an interference with a person's right to respect for private and family life is justified and proportionate. </w:t>
      </w:r>
    </w:p>
    <w:p w:rsidR="00503B23" w:rsidRPr="00503B23" w:rsidRDefault="00503B23" w:rsidP="002B1AE7">
      <w:pPr>
        <w:numPr>
          <w:ilvl w:val="0"/>
          <w:numId w:val="30"/>
        </w:numPr>
        <w:spacing w:before="240"/>
        <w:ind w:left="567" w:hanging="567"/>
        <w:jc w:val="both"/>
        <w:rPr>
          <w:rFonts w:ascii="Book Antiqua" w:hAnsi="Book Antiqua"/>
        </w:rPr>
      </w:pPr>
      <w:r w:rsidRPr="00541C0C">
        <w:rPr>
          <w:rFonts w:ascii="Book Antiqua" w:hAnsi="Book Antiqua"/>
        </w:rPr>
        <w:t>When assessing the proportionality of the removal decision the judge was obliged to consider t</w:t>
      </w:r>
      <w:r>
        <w:rPr>
          <w:rFonts w:ascii="Book Antiqua" w:hAnsi="Book Antiqua"/>
        </w:rPr>
        <w:t>he best interest of the child</w:t>
      </w:r>
      <w:r w:rsidRPr="00541C0C">
        <w:rPr>
          <w:rFonts w:ascii="Book Antiqua" w:hAnsi="Book Antiqua"/>
        </w:rPr>
        <w:t>, who would be affected by the decision</w:t>
      </w:r>
      <w:r>
        <w:rPr>
          <w:rFonts w:ascii="Book Antiqua" w:hAnsi="Book Antiqua"/>
        </w:rPr>
        <w:t xml:space="preserve"> </w:t>
      </w:r>
      <w:r w:rsidR="00285DEE">
        <w:rPr>
          <w:rFonts w:ascii="Book Antiqua" w:hAnsi="Book Antiqua"/>
        </w:rPr>
        <w:t>(see</w:t>
      </w:r>
      <w:r>
        <w:rPr>
          <w:rFonts w:ascii="Book Antiqua" w:hAnsi="Book Antiqua"/>
        </w:rPr>
        <w:t xml:space="preserve"> paragraph 10).</w:t>
      </w:r>
    </w:p>
    <w:p w:rsidR="007A61CD" w:rsidRPr="00A204D2" w:rsidRDefault="00011841" w:rsidP="002B1AE7">
      <w:pPr>
        <w:numPr>
          <w:ilvl w:val="0"/>
          <w:numId w:val="30"/>
        </w:numPr>
        <w:spacing w:before="240"/>
        <w:ind w:left="567" w:hanging="567"/>
        <w:jc w:val="both"/>
        <w:rPr>
          <w:rFonts w:ascii="Book Antiqua" w:hAnsi="Book Antiqua"/>
        </w:rPr>
      </w:pPr>
      <w:r>
        <w:rPr>
          <w:rFonts w:ascii="Book Antiqua" w:hAnsi="Book Antiqua"/>
        </w:rPr>
        <w:t>On the evidence that was</w:t>
      </w:r>
      <w:r w:rsidR="00DF5B55" w:rsidRPr="00541C0C">
        <w:rPr>
          <w:rFonts w:ascii="Book Antiqua" w:hAnsi="Book Antiqua"/>
        </w:rPr>
        <w:t xml:space="preserve"> before the </w:t>
      </w:r>
      <w:r w:rsidR="00714EE4">
        <w:rPr>
          <w:rFonts w:ascii="Book Antiqua" w:hAnsi="Book Antiqua"/>
        </w:rPr>
        <w:t>Tribunal</w:t>
      </w:r>
      <w:r w:rsidR="00DF5B55" w:rsidRPr="00541C0C">
        <w:rPr>
          <w:rFonts w:ascii="Book Antiqua" w:hAnsi="Book Antiqua"/>
        </w:rPr>
        <w:t xml:space="preserve"> the only aspect of the </w:t>
      </w:r>
      <w:r w:rsidR="00714EE4">
        <w:rPr>
          <w:rFonts w:ascii="Book Antiqua" w:hAnsi="Book Antiqua"/>
        </w:rPr>
        <w:t>Appellant’s</w:t>
      </w:r>
      <w:r w:rsidR="00DF5B55" w:rsidRPr="00541C0C">
        <w:rPr>
          <w:rFonts w:ascii="Book Antiqua" w:hAnsi="Book Antiqua"/>
        </w:rPr>
        <w:t xml:space="preserve"> immigration history that gives weight t</w:t>
      </w:r>
      <w:r w:rsidR="00503B23">
        <w:rPr>
          <w:rFonts w:ascii="Book Antiqua" w:hAnsi="Book Antiqua"/>
        </w:rPr>
        <w:t xml:space="preserve">o public interest issue is the asserted deception. </w:t>
      </w:r>
      <w:proofErr w:type="gramStart"/>
      <w:r w:rsidR="00503B23">
        <w:rPr>
          <w:rFonts w:ascii="Book Antiqua" w:hAnsi="Book Antiqua"/>
        </w:rPr>
        <w:t>However</w:t>
      </w:r>
      <w:proofErr w:type="gramEnd"/>
      <w:r w:rsidR="00503B23">
        <w:rPr>
          <w:rFonts w:ascii="Book Antiqua" w:hAnsi="Book Antiqua"/>
        </w:rPr>
        <w:t xml:space="preserve"> as the judge found at paragraphs [6-7] and at [11] the deception was not made out by the </w:t>
      </w:r>
      <w:r w:rsidR="00714EE4">
        <w:rPr>
          <w:rFonts w:ascii="Book Antiqua" w:hAnsi="Book Antiqua"/>
        </w:rPr>
        <w:t>Respondent</w:t>
      </w:r>
      <w:r w:rsidR="00503B23">
        <w:rPr>
          <w:rFonts w:ascii="Book Antiqua" w:hAnsi="Book Antiqua"/>
        </w:rPr>
        <w:t xml:space="preserve">. The FtT Judge observed at paragraph [14] that he entered lawfully and had subsequently obtained extensions to his leave to remain and that “there was nothing to suggest at any time he has been in the UK without leave” and that </w:t>
      </w:r>
      <w:proofErr w:type="gramStart"/>
      <w:r w:rsidR="00503B23">
        <w:rPr>
          <w:rFonts w:ascii="Book Antiqua" w:hAnsi="Book Antiqua"/>
        </w:rPr>
        <w:t>“ his</w:t>
      </w:r>
      <w:proofErr w:type="gramEnd"/>
      <w:r w:rsidR="00503B23">
        <w:rPr>
          <w:rFonts w:ascii="Book Antiqua" w:hAnsi="Book Antiqua"/>
        </w:rPr>
        <w:t xml:space="preserve"> relationship with the partner was formed at a time when he was in the United Kingdom lawfully”.  Whilst that was correct, the grounds are also right in stating that his status whilst lawful was “precarious” because his leave was time limited and of a temporary nature </w:t>
      </w:r>
      <w:r w:rsidR="00285DEE">
        <w:rPr>
          <w:rFonts w:ascii="Book Antiqua" w:hAnsi="Book Antiqua"/>
        </w:rPr>
        <w:t>(see</w:t>
      </w:r>
      <w:r w:rsidR="00503B23">
        <w:rPr>
          <w:rFonts w:ascii="Book Antiqua" w:hAnsi="Book Antiqua"/>
        </w:rPr>
        <w:t xml:space="preserve"> ground</w:t>
      </w:r>
      <w:r>
        <w:rPr>
          <w:rFonts w:ascii="Book Antiqua" w:hAnsi="Book Antiqua"/>
        </w:rPr>
        <w:t>s at paragraph</w:t>
      </w:r>
      <w:r w:rsidR="00503B23">
        <w:rPr>
          <w:rFonts w:ascii="Book Antiqua" w:hAnsi="Book Antiqua"/>
        </w:rPr>
        <w:t xml:space="preserve"> 13).</w:t>
      </w:r>
    </w:p>
    <w:p w:rsidR="00E14BB4" w:rsidRPr="00541C0C" w:rsidRDefault="00DF5B55" w:rsidP="002B1AE7">
      <w:pPr>
        <w:numPr>
          <w:ilvl w:val="0"/>
          <w:numId w:val="30"/>
        </w:numPr>
        <w:spacing w:before="240"/>
        <w:ind w:left="567" w:hanging="567"/>
        <w:jc w:val="both"/>
        <w:rPr>
          <w:rFonts w:ascii="Book Antiqua" w:hAnsi="Book Antiqua"/>
        </w:rPr>
      </w:pPr>
      <w:r w:rsidRPr="00541C0C">
        <w:rPr>
          <w:rFonts w:ascii="Book Antiqua" w:hAnsi="Book Antiqua"/>
        </w:rPr>
        <w:t xml:space="preserve">In assessing whether </w:t>
      </w:r>
      <w:r w:rsidR="00415DB3" w:rsidRPr="00541C0C">
        <w:rPr>
          <w:rFonts w:ascii="Book Antiqua" w:hAnsi="Book Antiqua"/>
        </w:rPr>
        <w:t xml:space="preserve">the </w:t>
      </w:r>
      <w:r w:rsidRPr="00541C0C">
        <w:rPr>
          <w:rFonts w:ascii="Book Antiqua" w:hAnsi="Book Antiqua"/>
        </w:rPr>
        <w:t>public interest considerations are sufficiently serious to outweigh the be</w:t>
      </w:r>
      <w:r w:rsidR="00011841">
        <w:rPr>
          <w:rFonts w:ascii="Book Antiqua" w:hAnsi="Book Antiqua"/>
        </w:rPr>
        <w:t xml:space="preserve">st interests of the child the judge </w:t>
      </w:r>
      <w:proofErr w:type="gramStart"/>
      <w:r w:rsidR="00011841">
        <w:rPr>
          <w:rFonts w:ascii="Book Antiqua" w:hAnsi="Book Antiqua"/>
        </w:rPr>
        <w:t xml:space="preserve">took </w:t>
      </w:r>
      <w:r w:rsidRPr="00541C0C">
        <w:rPr>
          <w:rFonts w:ascii="Book Antiqua" w:hAnsi="Book Antiqua"/>
        </w:rPr>
        <w:t xml:space="preserve"> into</w:t>
      </w:r>
      <w:proofErr w:type="gramEnd"/>
      <w:r w:rsidRPr="00541C0C">
        <w:rPr>
          <w:rFonts w:ascii="Book Antiqua" w:hAnsi="Book Antiqua"/>
        </w:rPr>
        <w:t xml:space="preserve"> account the statutory provisions contained in section </w:t>
      </w:r>
      <w:r w:rsidR="00541C0C" w:rsidRPr="00541C0C">
        <w:rPr>
          <w:rFonts w:ascii="Book Antiqua" w:hAnsi="Book Antiqua"/>
        </w:rPr>
        <w:t>117B (</w:t>
      </w:r>
      <w:r w:rsidRPr="00541C0C">
        <w:rPr>
          <w:rFonts w:ascii="Book Antiqua" w:hAnsi="Book Antiqua"/>
        </w:rPr>
        <w:t xml:space="preserve">6), which states that the public interest will </w:t>
      </w:r>
      <w:r w:rsidRPr="00541C0C">
        <w:rPr>
          <w:rFonts w:ascii="Book Antiqua" w:hAnsi="Book Antiqua"/>
        </w:rPr>
        <w:lastRenderedPageBreak/>
        <w:t xml:space="preserve">not require the person's removal where he has a genuine and subsisting relationship with a 'qualifying child' and it would not be reasonable to expect the child to </w:t>
      </w:r>
      <w:r w:rsidR="00415DB3" w:rsidRPr="00541C0C">
        <w:rPr>
          <w:rFonts w:ascii="Book Antiqua" w:hAnsi="Book Antiqua"/>
        </w:rPr>
        <w:t xml:space="preserve">leave the United Kingdom. </w:t>
      </w:r>
    </w:p>
    <w:p w:rsidR="00503B23" w:rsidRDefault="00DF5B55" w:rsidP="002B1AE7">
      <w:pPr>
        <w:numPr>
          <w:ilvl w:val="0"/>
          <w:numId w:val="30"/>
        </w:numPr>
        <w:spacing w:before="240"/>
        <w:ind w:left="567" w:hanging="567"/>
        <w:jc w:val="both"/>
        <w:rPr>
          <w:rFonts w:ascii="Book Antiqua" w:hAnsi="Book Antiqua"/>
        </w:rPr>
      </w:pPr>
      <w:r w:rsidRPr="00541C0C">
        <w:rPr>
          <w:rFonts w:ascii="Book Antiqua" w:hAnsi="Book Antiqua"/>
        </w:rPr>
        <w:t xml:space="preserve">As </w:t>
      </w:r>
      <w:r w:rsidR="00011841">
        <w:rPr>
          <w:rFonts w:ascii="Book Antiqua" w:hAnsi="Book Antiqua"/>
        </w:rPr>
        <w:t xml:space="preserve">the judge recognised, as </w:t>
      </w:r>
      <w:r w:rsidRPr="00541C0C">
        <w:rPr>
          <w:rFonts w:ascii="Book Antiqua" w:hAnsi="Book Antiqua"/>
        </w:rPr>
        <w:t>a Bri</w:t>
      </w:r>
      <w:r w:rsidR="00503B23">
        <w:rPr>
          <w:rFonts w:ascii="Book Antiqua" w:hAnsi="Book Antiqua"/>
        </w:rPr>
        <w:t xml:space="preserve">tish </w:t>
      </w:r>
      <w:r w:rsidR="00285DEE">
        <w:rPr>
          <w:rFonts w:ascii="Book Antiqua" w:hAnsi="Book Antiqua"/>
        </w:rPr>
        <w:t>citizen the</w:t>
      </w:r>
      <w:r w:rsidR="00503B23">
        <w:rPr>
          <w:rFonts w:ascii="Book Antiqua" w:hAnsi="Book Antiqua"/>
        </w:rPr>
        <w:t xml:space="preserve"> relevant child</w:t>
      </w:r>
      <w:r w:rsidRPr="00541C0C">
        <w:rPr>
          <w:rFonts w:ascii="Book Antiqua" w:hAnsi="Book Antiqua"/>
        </w:rPr>
        <w:t xml:space="preserve"> is a 'qualifying child' for the purpose of section </w:t>
      </w:r>
      <w:r w:rsidR="00541C0C" w:rsidRPr="00541C0C">
        <w:rPr>
          <w:rFonts w:ascii="Book Antiqua" w:hAnsi="Book Antiqua"/>
        </w:rPr>
        <w:t>117B (</w:t>
      </w:r>
      <w:r w:rsidRPr="00541C0C">
        <w:rPr>
          <w:rFonts w:ascii="Book Antiqua" w:hAnsi="Book Antiqua"/>
        </w:rPr>
        <w:t xml:space="preserve">6). It is not disputed that the </w:t>
      </w:r>
      <w:r w:rsidR="00714EE4">
        <w:rPr>
          <w:rFonts w:ascii="Book Antiqua" w:hAnsi="Book Antiqua"/>
        </w:rPr>
        <w:t>Appellant</w:t>
      </w:r>
      <w:r w:rsidRPr="00541C0C">
        <w:rPr>
          <w:rFonts w:ascii="Book Antiqua" w:hAnsi="Book Antiqua"/>
        </w:rPr>
        <w:t xml:space="preserve"> has a genuine and subsisting parental relationship wi</w:t>
      </w:r>
      <w:r w:rsidR="00415DB3" w:rsidRPr="00541C0C">
        <w:rPr>
          <w:rFonts w:ascii="Book Antiqua" w:hAnsi="Book Antiqua"/>
        </w:rPr>
        <w:t>th th</w:t>
      </w:r>
      <w:r w:rsidR="00503B23">
        <w:rPr>
          <w:rFonts w:ascii="Book Antiqua" w:hAnsi="Book Antiqua"/>
        </w:rPr>
        <w:t xml:space="preserve">e child. The issue identified by the </w:t>
      </w:r>
      <w:proofErr w:type="spellStart"/>
      <w:r w:rsidR="00503B23">
        <w:rPr>
          <w:rFonts w:ascii="Book Antiqua" w:hAnsi="Book Antiqua"/>
        </w:rPr>
        <w:t>FtTJ</w:t>
      </w:r>
      <w:proofErr w:type="spellEnd"/>
      <w:r w:rsidRPr="00541C0C">
        <w:rPr>
          <w:rFonts w:ascii="Book Antiqua" w:hAnsi="Book Antiqua"/>
        </w:rPr>
        <w:t xml:space="preserve"> </w:t>
      </w:r>
      <w:r w:rsidR="00011841">
        <w:rPr>
          <w:rFonts w:ascii="Book Antiqua" w:hAnsi="Book Antiqua"/>
        </w:rPr>
        <w:t xml:space="preserve">was </w:t>
      </w:r>
      <w:r w:rsidRPr="00541C0C">
        <w:rPr>
          <w:rFonts w:ascii="Book Antiqua" w:hAnsi="Book Antiqua"/>
        </w:rPr>
        <w:t xml:space="preserve">whether it would be 'reasonable' to expect the child to leave the UK within the meaning of section </w:t>
      </w:r>
      <w:r w:rsidR="00541C0C" w:rsidRPr="00541C0C">
        <w:rPr>
          <w:rFonts w:ascii="Book Antiqua" w:hAnsi="Book Antiqua"/>
        </w:rPr>
        <w:t>117B (</w:t>
      </w:r>
      <w:r w:rsidRPr="00541C0C">
        <w:rPr>
          <w:rFonts w:ascii="Book Antiqua" w:hAnsi="Book Antiqua"/>
        </w:rPr>
        <w:t xml:space="preserve">6). In </w:t>
      </w:r>
      <w:r w:rsidRPr="00011841">
        <w:rPr>
          <w:rFonts w:ascii="Book Antiqua" w:hAnsi="Book Antiqua"/>
          <w:i/>
        </w:rPr>
        <w:t>MA (Pakistan) v SSHD</w:t>
      </w:r>
      <w:r w:rsidRPr="00541C0C">
        <w:rPr>
          <w:rFonts w:ascii="Book Antiqua" w:hAnsi="Book Antiqua"/>
        </w:rPr>
        <w:t xml:space="preserve"> [2016] EWCA Civ 705 the Court of Appeal expressed some doubt as to whether the 'reasonableness' test should include consideration of public interest factors, but declined to depart from the earlier decision in </w:t>
      </w:r>
      <w:r w:rsidRPr="00011841">
        <w:rPr>
          <w:rFonts w:ascii="Book Antiqua" w:hAnsi="Book Antiqua"/>
          <w:i/>
        </w:rPr>
        <w:t>MM (Uganda) v SSHD</w:t>
      </w:r>
      <w:r w:rsidRPr="00541C0C">
        <w:rPr>
          <w:rFonts w:ascii="Book Antiqua" w:hAnsi="Book Antiqua"/>
        </w:rPr>
        <w:t xml:space="preserve"> [2016] EWCA Civ 450, which concluded that it did. In </w:t>
      </w:r>
      <w:r w:rsidRPr="00011841">
        <w:rPr>
          <w:rFonts w:ascii="Book Antiqua" w:hAnsi="Book Antiqua"/>
          <w:i/>
        </w:rPr>
        <w:t>MA (Pakistan)</w:t>
      </w:r>
      <w:r w:rsidRPr="00541C0C">
        <w:rPr>
          <w:rFonts w:ascii="Book Antiqua" w:hAnsi="Book Antiqua"/>
        </w:rPr>
        <w:t xml:space="preserve"> Lord Justice Elias emphasised that significant weight should still be given to the interests of a child, especially with reference to the </w:t>
      </w:r>
      <w:r w:rsidR="00714EE4">
        <w:rPr>
          <w:rFonts w:ascii="Book Antiqua" w:hAnsi="Book Antiqua"/>
        </w:rPr>
        <w:t>Respondent’s</w:t>
      </w:r>
      <w:r w:rsidRPr="00541C0C">
        <w:rPr>
          <w:rFonts w:ascii="Book Antiqua" w:hAnsi="Book Antiqua"/>
        </w:rPr>
        <w:t xml:space="preserve"> published policy guidance</w:t>
      </w:r>
      <w:r w:rsidR="00415DB3" w:rsidRPr="00541C0C">
        <w:rPr>
          <w:rFonts w:ascii="Book Antiqua" w:hAnsi="Book Antiqua"/>
        </w:rPr>
        <w:t xml:space="preserve"> which has since been updated in February 2018. The FFTJ made no reference to the guidance</w:t>
      </w:r>
      <w:r w:rsidRPr="00541C0C">
        <w:rPr>
          <w:rFonts w:ascii="Book Antiqua" w:hAnsi="Book Antiqua"/>
        </w:rPr>
        <w:t>: Immigration Directorate Instructions "</w:t>
      </w:r>
      <w:r w:rsidR="00415DB3" w:rsidRPr="00541C0C">
        <w:rPr>
          <w:rFonts w:ascii="Book Antiqua" w:hAnsi="Book Antiqua"/>
        </w:rPr>
        <w:t xml:space="preserve">Family Migration </w:t>
      </w:r>
      <w:r w:rsidRPr="00541C0C">
        <w:rPr>
          <w:rFonts w:ascii="Book Antiqua" w:hAnsi="Book Antiqua"/>
        </w:rPr>
        <w:t>Appendix FM Section 1.0b Family Life (as a Partner or Parent) and Private Life: 10 Ye</w:t>
      </w:r>
      <w:r w:rsidR="00415DB3" w:rsidRPr="00541C0C">
        <w:rPr>
          <w:rFonts w:ascii="Book Antiqua" w:hAnsi="Book Antiqua"/>
        </w:rPr>
        <w:t xml:space="preserve">ar Routes" February 2018). </w:t>
      </w:r>
    </w:p>
    <w:p w:rsidR="00E14BB4" w:rsidRPr="00541C0C" w:rsidRDefault="00E14BB4" w:rsidP="002B1AE7">
      <w:pPr>
        <w:numPr>
          <w:ilvl w:val="0"/>
          <w:numId w:val="30"/>
        </w:numPr>
        <w:spacing w:before="240"/>
        <w:ind w:left="567" w:hanging="567"/>
        <w:jc w:val="both"/>
        <w:rPr>
          <w:rFonts w:ascii="Book Antiqua" w:hAnsi="Book Antiqua"/>
        </w:rPr>
      </w:pPr>
      <w:r w:rsidRPr="00541C0C">
        <w:rPr>
          <w:rFonts w:ascii="Book Antiqua" w:hAnsi="Book Antiqua"/>
        </w:rPr>
        <w:t xml:space="preserve">The guidance at page 35 begins with a heading “EX1(a) -reasonable to </w:t>
      </w:r>
      <w:proofErr w:type="gramStart"/>
      <w:r w:rsidRPr="00541C0C">
        <w:rPr>
          <w:rFonts w:ascii="Book Antiqua" w:hAnsi="Book Antiqua"/>
        </w:rPr>
        <w:t>expect”  and</w:t>
      </w:r>
      <w:proofErr w:type="gramEnd"/>
      <w:r w:rsidRPr="00541C0C">
        <w:rPr>
          <w:rFonts w:ascii="Book Antiqua" w:hAnsi="Book Antiqua"/>
        </w:rPr>
        <w:t xml:space="preserve"> states; </w:t>
      </w:r>
    </w:p>
    <w:p w:rsidR="00E14BB4" w:rsidRPr="00541C0C" w:rsidRDefault="00E14BB4" w:rsidP="002B1AE7">
      <w:pPr>
        <w:tabs>
          <w:tab w:val="left" w:pos="567"/>
        </w:tabs>
        <w:spacing w:before="120" w:after="120"/>
        <w:ind w:left="1134"/>
        <w:jc w:val="both"/>
        <w:rPr>
          <w:rFonts w:ascii="Book Antiqua" w:hAnsi="Book Antiqua" w:cs="Arial"/>
          <w:b/>
          <w:u w:val="single"/>
        </w:rPr>
      </w:pPr>
      <w:r w:rsidRPr="00541C0C">
        <w:rPr>
          <w:rFonts w:ascii="Book Antiqua" w:hAnsi="Book Antiqua" w:cs="Arial"/>
        </w:rPr>
        <w:t>“First, the decision maker must assess whether refusal of the application will mean that the child will have to leave the UK or is likely to have to do so.  Where the decision maker decides that the answer to this first stage is yes, then they must go on to consider secondly, whether, taking into account their best interests as a primary consideration, it is reasonable to expect the child to leave the UK…”</w:t>
      </w:r>
    </w:p>
    <w:p w:rsidR="00E14BB4" w:rsidRPr="00541C0C" w:rsidRDefault="00E14BB4" w:rsidP="002B1AE7">
      <w:pPr>
        <w:numPr>
          <w:ilvl w:val="0"/>
          <w:numId w:val="30"/>
        </w:numPr>
        <w:spacing w:before="240"/>
        <w:ind w:left="567" w:hanging="567"/>
        <w:jc w:val="both"/>
        <w:rPr>
          <w:rFonts w:ascii="Book Antiqua" w:hAnsi="Book Antiqua" w:cs="Arial"/>
          <w:b/>
          <w:u w:val="single"/>
        </w:rPr>
      </w:pPr>
      <w:r w:rsidRPr="00541C0C">
        <w:rPr>
          <w:rFonts w:ascii="Book Antiqua" w:hAnsi="Book Antiqua" w:cs="Arial"/>
        </w:rPr>
        <w:t xml:space="preserve">That interpretation of the provision whether it is reasonable to expect the child to leave also appears in the section of the Guidance which is headed </w:t>
      </w:r>
      <w:r w:rsidRPr="00541C0C">
        <w:rPr>
          <w:rFonts w:ascii="Book Antiqua" w:hAnsi="Book Antiqua" w:cs="Arial"/>
          <w:u w:val="single"/>
        </w:rPr>
        <w:t>“Reasonable to expect a child to leave the UK?</w:t>
      </w:r>
      <w:r w:rsidRPr="00541C0C">
        <w:rPr>
          <w:rFonts w:ascii="Book Antiqua" w:hAnsi="Book Antiqua" w:cs="Arial"/>
        </w:rPr>
        <w:t xml:space="preserve">” </w:t>
      </w:r>
      <w:proofErr w:type="gramStart"/>
      <w:r w:rsidRPr="00541C0C">
        <w:rPr>
          <w:rFonts w:ascii="Book Antiqua" w:hAnsi="Book Antiqua" w:cs="Arial"/>
        </w:rPr>
        <w:t>( see</w:t>
      </w:r>
      <w:proofErr w:type="gramEnd"/>
      <w:r w:rsidRPr="00541C0C">
        <w:rPr>
          <w:rFonts w:ascii="Book Antiqua" w:hAnsi="Book Antiqua" w:cs="Arial"/>
        </w:rPr>
        <w:t xml:space="preserve"> page 74 ) which begins with the following statement:</w:t>
      </w:r>
    </w:p>
    <w:p w:rsidR="00E14BB4" w:rsidRPr="00541C0C" w:rsidRDefault="00E14BB4" w:rsidP="002B1AE7">
      <w:pPr>
        <w:spacing w:before="120" w:after="120"/>
        <w:ind w:left="1134"/>
        <w:jc w:val="both"/>
        <w:rPr>
          <w:rFonts w:ascii="Book Antiqua" w:hAnsi="Book Antiqua" w:cs="Arial"/>
          <w:b/>
          <w:u w:val="single"/>
        </w:rPr>
      </w:pPr>
      <w:r w:rsidRPr="00541C0C">
        <w:rPr>
          <w:rFonts w:ascii="Book Antiqua" w:hAnsi="Book Antiqua" w:cs="Arial"/>
        </w:rPr>
        <w:t>“If the effect of the refusal of the application would be, or is likely to be, that the child would have to leave the UK, the decision maker must go on to consider whether it would be reasonable to expect the child to leave the UK.”</w:t>
      </w:r>
    </w:p>
    <w:p w:rsidR="00285910" w:rsidRPr="00541C0C" w:rsidRDefault="00285910" w:rsidP="002B1AE7">
      <w:pPr>
        <w:numPr>
          <w:ilvl w:val="0"/>
          <w:numId w:val="30"/>
        </w:numPr>
        <w:spacing w:before="240"/>
        <w:ind w:left="567" w:hanging="567"/>
        <w:jc w:val="both"/>
        <w:rPr>
          <w:rFonts w:ascii="Book Antiqua" w:hAnsi="Book Antiqua" w:cs="Arial"/>
          <w:b/>
          <w:u w:val="single"/>
        </w:rPr>
      </w:pPr>
      <w:r w:rsidRPr="00541C0C">
        <w:rPr>
          <w:rFonts w:ascii="Book Antiqua" w:hAnsi="Book Antiqua" w:cs="Arial"/>
        </w:rPr>
        <w:t>The G</w:t>
      </w:r>
      <w:r w:rsidR="006753FD" w:rsidRPr="00541C0C">
        <w:rPr>
          <w:rFonts w:ascii="Book Antiqua" w:hAnsi="Book Antiqua" w:cs="Arial"/>
        </w:rPr>
        <w:t>uidance sets out at</w:t>
      </w:r>
      <w:r w:rsidR="00E14BB4" w:rsidRPr="00541C0C">
        <w:rPr>
          <w:rFonts w:ascii="Book Antiqua" w:hAnsi="Book Antiqua" w:cs="Arial"/>
        </w:rPr>
        <w:t xml:space="preserve"> (</w:t>
      </w:r>
      <w:r w:rsidRPr="00541C0C">
        <w:rPr>
          <w:rFonts w:ascii="Book Antiqua" w:hAnsi="Book Antiqua" w:cs="Arial"/>
        </w:rPr>
        <w:t>p</w:t>
      </w:r>
      <w:r w:rsidR="00E14BB4" w:rsidRPr="00541C0C">
        <w:rPr>
          <w:rFonts w:ascii="Book Antiqua" w:hAnsi="Book Antiqua" w:cs="Arial"/>
        </w:rPr>
        <w:t xml:space="preserve">age </w:t>
      </w:r>
      <w:r w:rsidR="00541C0C" w:rsidRPr="00541C0C">
        <w:rPr>
          <w:rFonts w:ascii="Book Antiqua" w:hAnsi="Book Antiqua" w:cs="Arial"/>
        </w:rPr>
        <w:t>7</w:t>
      </w:r>
      <w:r w:rsidRPr="00541C0C">
        <w:rPr>
          <w:rFonts w:ascii="Book Antiqua" w:hAnsi="Book Antiqua" w:cs="Arial"/>
        </w:rPr>
        <w:t>):</w:t>
      </w:r>
    </w:p>
    <w:p w:rsidR="00285910" w:rsidRPr="00541C0C" w:rsidRDefault="00285910" w:rsidP="002B1AE7">
      <w:pPr>
        <w:spacing w:before="120" w:after="120"/>
        <w:ind w:left="1134"/>
        <w:jc w:val="both"/>
        <w:rPr>
          <w:rFonts w:ascii="Book Antiqua" w:hAnsi="Book Antiqua" w:cs="Arial"/>
          <w:b/>
        </w:rPr>
      </w:pPr>
      <w:r w:rsidRPr="00541C0C">
        <w:rPr>
          <w:rFonts w:ascii="Book Antiqua" w:hAnsi="Book Antiqua" w:cs="Arial"/>
          <w:b/>
        </w:rPr>
        <w:t>“Where the child is a British citizen</w:t>
      </w:r>
    </w:p>
    <w:p w:rsidR="00285910" w:rsidRPr="00541C0C" w:rsidRDefault="00285910" w:rsidP="002B1AE7">
      <w:pPr>
        <w:spacing w:before="120" w:after="120"/>
        <w:ind w:left="1134"/>
        <w:jc w:val="both"/>
        <w:rPr>
          <w:rFonts w:ascii="Book Antiqua" w:hAnsi="Book Antiqua" w:cs="Arial"/>
        </w:rPr>
      </w:pPr>
      <w:r w:rsidRPr="00541C0C">
        <w:rPr>
          <w:rFonts w:ascii="Book Antiqua" w:hAnsi="Book Antiqua" w:cs="Arial"/>
        </w:rPr>
        <w:t xml:space="preserve">Where the child is a British citizen, it will not be reasonable to expect them to leave the UK with the applicant parent or primary carer facing removal.  Accordingly, where this means that the child would have to leave to the UK because, in practice, the child will not, or is not likely to continue to live in the UK with another parent or primary carer, </w:t>
      </w:r>
      <w:r w:rsidR="00285DEE" w:rsidRPr="00541C0C">
        <w:rPr>
          <w:rFonts w:ascii="Book Antiqua" w:hAnsi="Book Antiqua" w:cs="Arial"/>
        </w:rPr>
        <w:t>EX.1 (</w:t>
      </w:r>
      <w:r w:rsidRPr="00541C0C">
        <w:rPr>
          <w:rFonts w:ascii="Book Antiqua" w:hAnsi="Book Antiqua" w:cs="Arial"/>
        </w:rPr>
        <w:t>a) is likely to apply.</w:t>
      </w:r>
    </w:p>
    <w:p w:rsidR="00285910" w:rsidRPr="00541C0C" w:rsidRDefault="00285910" w:rsidP="002B1AE7">
      <w:pPr>
        <w:spacing w:before="120" w:after="120"/>
        <w:ind w:left="1134"/>
        <w:jc w:val="both"/>
        <w:rPr>
          <w:rFonts w:ascii="Book Antiqua" w:hAnsi="Book Antiqua" w:cs="Arial"/>
          <w:u w:val="single"/>
        </w:rPr>
      </w:pPr>
      <w:r w:rsidRPr="00541C0C">
        <w:rPr>
          <w:rFonts w:ascii="Book Antiqua" w:hAnsi="Book Antiqua" w:cs="Arial"/>
        </w:rPr>
        <w:t xml:space="preserve">In particular circumstances it may be appropriate to refuse to grant leave to a parent or primary carer where their conduct gives rise to public interest considerations of such weight as to justify their removal, where the British citizen </w:t>
      </w:r>
      <w:r w:rsidRPr="00541C0C">
        <w:rPr>
          <w:rFonts w:ascii="Book Antiqua" w:hAnsi="Book Antiqua" w:cs="Arial"/>
        </w:rPr>
        <w:lastRenderedPageBreak/>
        <w:t>child could remain in the UK with another parent or alternative primary carer, who is a British citizen or settled in the UK or who has or is being granted leave to remain.  The circumstances envisaged include those in which to grant leave could undermine our immigration controls, for example the applicant has committed significant or persistent criminal offences falling below the thresholds for deportation set out in paragraph 398 of the Immigration Rules or has a very poor immigration history, having repeatedly and deliberately breached the Immigration Rules.”</w:t>
      </w:r>
    </w:p>
    <w:p w:rsidR="00503B23" w:rsidRPr="00503B23" w:rsidRDefault="00285910" w:rsidP="002B1AE7">
      <w:pPr>
        <w:numPr>
          <w:ilvl w:val="0"/>
          <w:numId w:val="30"/>
        </w:numPr>
        <w:spacing w:before="240"/>
        <w:ind w:left="567" w:hanging="567"/>
        <w:jc w:val="both"/>
        <w:rPr>
          <w:rFonts w:ascii="Book Antiqua" w:hAnsi="Book Antiqua" w:cs="Arial"/>
          <w:b/>
          <w:u w:val="single"/>
        </w:rPr>
      </w:pPr>
      <w:r w:rsidRPr="00541C0C">
        <w:rPr>
          <w:rFonts w:ascii="Book Antiqua" w:hAnsi="Book Antiqua" w:cs="Arial"/>
        </w:rPr>
        <w:t>The Guidance</w:t>
      </w:r>
      <w:r w:rsidR="006753FD" w:rsidRPr="00541C0C">
        <w:rPr>
          <w:rFonts w:ascii="Book Antiqua" w:hAnsi="Book Antiqua" w:cs="Arial"/>
        </w:rPr>
        <w:t xml:space="preserve"> appears to reflect matters set </w:t>
      </w:r>
      <w:r w:rsidR="00541C0C" w:rsidRPr="00541C0C">
        <w:rPr>
          <w:rFonts w:ascii="Book Antiqua" w:hAnsi="Book Antiqua" w:cs="Arial"/>
        </w:rPr>
        <w:t>out in</w:t>
      </w:r>
      <w:r w:rsidRPr="00541C0C">
        <w:rPr>
          <w:rFonts w:ascii="Book Antiqua" w:hAnsi="Book Antiqua" w:cs="Arial"/>
        </w:rPr>
        <w:t xml:space="preserve"> </w:t>
      </w:r>
      <w:r w:rsidRPr="00541C0C">
        <w:rPr>
          <w:rFonts w:ascii="Book Antiqua" w:hAnsi="Book Antiqua" w:cs="Arial"/>
          <w:u w:val="single"/>
        </w:rPr>
        <w:t>MA (Pakistan)</w:t>
      </w:r>
      <w:r w:rsidRPr="00541C0C">
        <w:rPr>
          <w:rFonts w:ascii="Book Antiqua" w:hAnsi="Book Antiqua" w:cs="Arial"/>
        </w:rPr>
        <w:t>.  It accepts that the usual presumption where a British Citizen child’s rights are at issue is that it is not reasonable to expect that child to leave and it is only where there are strong reasons of public interest for removal that a parent in a genuine and subsisting relationship with such a child should be removed.   I</w:t>
      </w:r>
      <w:r w:rsidR="006753FD" w:rsidRPr="00541C0C">
        <w:rPr>
          <w:rFonts w:ascii="Book Antiqua" w:hAnsi="Book Antiqua" w:cs="Arial"/>
        </w:rPr>
        <w:t>n such circumstances the guidance recognises that</w:t>
      </w:r>
      <w:r w:rsidRPr="00541C0C">
        <w:rPr>
          <w:rFonts w:ascii="Book Antiqua" w:hAnsi="Book Antiqua" w:cs="Arial"/>
        </w:rPr>
        <w:t xml:space="preserve"> the British Citizen parent and child cannot be forcibly removed and the Guidance suggests therefore that the public interest might outweigh the child’s best interests in appropriate cases if the child can remain with the parent who is entitled to be in the UK.</w:t>
      </w:r>
      <w:r w:rsidR="006753FD" w:rsidRPr="00541C0C">
        <w:rPr>
          <w:rFonts w:ascii="Book Antiqua" w:hAnsi="Book Antiqua" w:cs="Arial"/>
        </w:rPr>
        <w:t xml:space="preserve"> </w:t>
      </w:r>
    </w:p>
    <w:p w:rsidR="00415DB3" w:rsidRPr="00011841" w:rsidRDefault="006753FD" w:rsidP="002B1AE7">
      <w:pPr>
        <w:numPr>
          <w:ilvl w:val="0"/>
          <w:numId w:val="30"/>
        </w:numPr>
        <w:spacing w:before="240"/>
        <w:ind w:left="567" w:hanging="567"/>
        <w:jc w:val="both"/>
        <w:rPr>
          <w:rFonts w:ascii="Book Antiqua" w:hAnsi="Book Antiqua" w:cs="Arial"/>
          <w:b/>
          <w:u w:val="single"/>
        </w:rPr>
      </w:pPr>
      <w:r w:rsidRPr="00541C0C">
        <w:rPr>
          <w:rFonts w:ascii="Book Antiqua" w:hAnsi="Book Antiqua" w:cs="Arial"/>
        </w:rPr>
        <w:t xml:space="preserve">The present guidance is different from that which was before the Court in </w:t>
      </w:r>
      <w:r w:rsidR="00541C0C" w:rsidRPr="00011841">
        <w:rPr>
          <w:rFonts w:ascii="Book Antiqua" w:hAnsi="Book Antiqua" w:cs="Arial"/>
          <w:i/>
        </w:rPr>
        <w:t>MA (</w:t>
      </w:r>
      <w:r w:rsidRPr="00011841">
        <w:rPr>
          <w:rFonts w:ascii="Book Antiqua" w:hAnsi="Book Antiqua" w:cs="Arial"/>
          <w:i/>
        </w:rPr>
        <w:t>Pakistan)</w:t>
      </w:r>
      <w:r w:rsidRPr="00541C0C">
        <w:rPr>
          <w:rFonts w:ascii="Book Antiqua" w:hAnsi="Book Antiqua" w:cs="Arial"/>
        </w:rPr>
        <w:t xml:space="preserve"> and appears to re</w:t>
      </w:r>
      <w:r w:rsidR="00011841">
        <w:rPr>
          <w:rFonts w:ascii="Book Antiqua" w:hAnsi="Book Antiqua" w:cs="Arial"/>
        </w:rPr>
        <w:t>quire consideration of whether the relevant child</w:t>
      </w:r>
      <w:r w:rsidRPr="00541C0C">
        <w:rPr>
          <w:rFonts w:ascii="Book Antiqua" w:hAnsi="Book Antiqua" w:cs="Arial"/>
        </w:rPr>
        <w:t xml:space="preserve"> will or is likely to be required to leave the UK with the </w:t>
      </w:r>
      <w:r w:rsidR="00714EE4">
        <w:rPr>
          <w:rFonts w:ascii="Book Antiqua" w:hAnsi="Book Antiqua" w:cs="Arial"/>
        </w:rPr>
        <w:t>Appellant</w:t>
      </w:r>
      <w:r w:rsidRPr="00541C0C">
        <w:rPr>
          <w:rFonts w:ascii="Book Antiqua" w:hAnsi="Book Antiqua" w:cs="Arial"/>
        </w:rPr>
        <w:t xml:space="preserve"> and his mother or whether it is more likely that </w:t>
      </w:r>
      <w:r w:rsidR="00011841">
        <w:rPr>
          <w:rFonts w:ascii="Book Antiqua" w:hAnsi="Book Antiqua" w:cs="Arial"/>
        </w:rPr>
        <w:t>the child</w:t>
      </w:r>
      <w:r w:rsidRPr="00011841">
        <w:rPr>
          <w:rFonts w:ascii="Book Antiqua" w:hAnsi="Book Antiqua" w:cs="Arial"/>
        </w:rPr>
        <w:t xml:space="preserve"> will remain here with his mother. </w:t>
      </w:r>
      <w:proofErr w:type="gramStart"/>
      <w:r w:rsidRPr="00011841">
        <w:rPr>
          <w:rFonts w:ascii="Book Antiqua" w:hAnsi="Book Antiqua" w:cs="Arial"/>
        </w:rPr>
        <w:t>However</w:t>
      </w:r>
      <w:proofErr w:type="gramEnd"/>
      <w:r w:rsidRPr="00011841">
        <w:rPr>
          <w:rFonts w:ascii="Book Antiqua" w:hAnsi="Book Antiqua" w:cs="Arial"/>
        </w:rPr>
        <w:t xml:space="preserve"> that is not what is set out or required in the statute in Section </w:t>
      </w:r>
      <w:r w:rsidR="00541C0C" w:rsidRPr="00011841">
        <w:rPr>
          <w:rFonts w:ascii="Book Antiqua" w:hAnsi="Book Antiqua" w:cs="Arial"/>
        </w:rPr>
        <w:t>117B (</w:t>
      </w:r>
      <w:r w:rsidRPr="00011841">
        <w:rPr>
          <w:rFonts w:ascii="Book Antiqua" w:hAnsi="Book Antiqua" w:cs="Arial"/>
        </w:rPr>
        <w:t>6). That only requires that there be a genuine and subsisting parental relationship with the qualifying child which both parties in this appeal agree is the position here, and an assessment of whether it is reasonable to expect the child to leave the UK. The consideration therefore is not whether it is reasonable to expect the child to remain in the UK without one parent. That is not the wording of the legislation and guidance can be viewed as providing for a “</w:t>
      </w:r>
      <w:r w:rsidR="00541C0C" w:rsidRPr="00011841">
        <w:rPr>
          <w:rFonts w:ascii="Book Antiqua" w:hAnsi="Book Antiqua" w:cs="Arial"/>
        </w:rPr>
        <w:t>gloss “on</w:t>
      </w:r>
      <w:r w:rsidRPr="00011841">
        <w:rPr>
          <w:rFonts w:ascii="Book Antiqua" w:hAnsi="Book Antiqua" w:cs="Arial"/>
        </w:rPr>
        <w:t xml:space="preserve"> the wording of the statute itself.</w:t>
      </w:r>
    </w:p>
    <w:p w:rsidR="00285910" w:rsidRPr="00541C0C" w:rsidRDefault="00DF5B55" w:rsidP="002B1AE7">
      <w:pPr>
        <w:numPr>
          <w:ilvl w:val="0"/>
          <w:numId w:val="30"/>
        </w:numPr>
        <w:spacing w:before="240"/>
        <w:ind w:left="567" w:hanging="567"/>
        <w:jc w:val="both"/>
        <w:rPr>
          <w:rFonts w:ascii="Book Antiqua" w:hAnsi="Book Antiqua"/>
        </w:rPr>
      </w:pPr>
      <w:r w:rsidRPr="00541C0C">
        <w:rPr>
          <w:rFonts w:ascii="Book Antiqua" w:hAnsi="Book Antiqua"/>
        </w:rPr>
        <w:t>The guidance goes on to recognise that, even if another parent would be able to remain in the UK with the child, weighty public interest considerations would be needed to justify the separation of a British child from a parent. The circumstances outlined in the policy guidance are not exhaustive, but indicate that significant public interest considerations such as criminality or a very poor immigration history might be sufficient to justify a decision that would lead to a British child being</w:t>
      </w:r>
      <w:r w:rsidR="00285910" w:rsidRPr="00541C0C">
        <w:rPr>
          <w:rFonts w:ascii="Book Antiqua" w:hAnsi="Book Antiqua"/>
        </w:rPr>
        <w:t xml:space="preserve"> separated from a parent. </w:t>
      </w:r>
    </w:p>
    <w:p w:rsidR="00503B23" w:rsidRDefault="00285910" w:rsidP="002B1AE7">
      <w:pPr>
        <w:numPr>
          <w:ilvl w:val="0"/>
          <w:numId w:val="30"/>
        </w:numPr>
        <w:spacing w:before="240"/>
        <w:ind w:left="567" w:hanging="567"/>
        <w:jc w:val="both"/>
        <w:rPr>
          <w:rFonts w:ascii="Book Antiqua" w:hAnsi="Book Antiqua"/>
        </w:rPr>
      </w:pPr>
      <w:r w:rsidRPr="00503B23">
        <w:rPr>
          <w:rFonts w:ascii="Book Antiqua" w:hAnsi="Book Antiqua"/>
        </w:rPr>
        <w:t>As I have set out e</w:t>
      </w:r>
      <w:r w:rsidR="006753FD" w:rsidRPr="00503B23">
        <w:rPr>
          <w:rFonts w:ascii="Book Antiqua" w:hAnsi="Book Antiqua"/>
        </w:rPr>
        <w:t xml:space="preserve">arlier, </w:t>
      </w:r>
      <w:r w:rsidR="00503B23" w:rsidRPr="00503B23">
        <w:rPr>
          <w:rFonts w:ascii="Book Antiqua" w:hAnsi="Book Antiqua"/>
        </w:rPr>
        <w:t>t</w:t>
      </w:r>
      <w:r w:rsidR="006753FD" w:rsidRPr="00503B23">
        <w:rPr>
          <w:rFonts w:ascii="Book Antiqua" w:hAnsi="Book Antiqua"/>
        </w:rPr>
        <w:t xml:space="preserve">he </w:t>
      </w:r>
      <w:r w:rsidR="00503B23" w:rsidRPr="00503B23">
        <w:rPr>
          <w:rFonts w:ascii="Book Antiqua" w:hAnsi="Book Antiqua"/>
        </w:rPr>
        <w:t xml:space="preserve">FtTJ properly had regard to the fact that the </w:t>
      </w:r>
      <w:r w:rsidR="00714EE4">
        <w:rPr>
          <w:rFonts w:ascii="Book Antiqua" w:hAnsi="Book Antiqua"/>
        </w:rPr>
        <w:t>Appellant</w:t>
      </w:r>
      <w:r w:rsidR="00503B23" w:rsidRPr="00503B23">
        <w:rPr>
          <w:rFonts w:ascii="Book Antiqua" w:hAnsi="Book Antiqua"/>
        </w:rPr>
        <w:t xml:space="preserve"> was in the UK lawfully and had obtained subsequent </w:t>
      </w:r>
      <w:r w:rsidR="00285DEE" w:rsidRPr="00503B23">
        <w:rPr>
          <w:rFonts w:ascii="Book Antiqua" w:hAnsi="Book Antiqua"/>
        </w:rPr>
        <w:t>extensions</w:t>
      </w:r>
      <w:r w:rsidR="00503B23" w:rsidRPr="00503B23">
        <w:rPr>
          <w:rFonts w:ascii="Book Antiqua" w:hAnsi="Book Antiqua"/>
        </w:rPr>
        <w:t xml:space="preserve"> to his </w:t>
      </w:r>
      <w:r w:rsidR="00285DEE" w:rsidRPr="00503B23">
        <w:rPr>
          <w:rFonts w:ascii="Book Antiqua" w:hAnsi="Book Antiqua"/>
        </w:rPr>
        <w:t>leave but</w:t>
      </w:r>
      <w:r w:rsidR="00DF5B55" w:rsidRPr="00503B23">
        <w:rPr>
          <w:rFonts w:ascii="Book Antiqua" w:hAnsi="Book Antiqua"/>
        </w:rPr>
        <w:t xml:space="preserve"> the f</w:t>
      </w:r>
      <w:r w:rsidRPr="00503B23">
        <w:rPr>
          <w:rFonts w:ascii="Book Antiqua" w:hAnsi="Book Antiqua"/>
        </w:rPr>
        <w:t xml:space="preserve">indings of the First-tier </w:t>
      </w:r>
      <w:r w:rsidR="00714EE4">
        <w:rPr>
          <w:rFonts w:ascii="Book Antiqua" w:hAnsi="Book Antiqua"/>
        </w:rPr>
        <w:t>Tribunal</w:t>
      </w:r>
      <w:r w:rsidRPr="00503B23">
        <w:rPr>
          <w:rFonts w:ascii="Book Antiqua" w:hAnsi="Book Antiqua"/>
        </w:rPr>
        <w:t xml:space="preserve"> did not find that </w:t>
      </w:r>
      <w:r w:rsidR="00541C0C" w:rsidRPr="00503B23">
        <w:rPr>
          <w:rFonts w:ascii="Book Antiqua" w:hAnsi="Book Antiqua"/>
        </w:rPr>
        <w:t>there</w:t>
      </w:r>
      <w:r w:rsidRPr="00503B23">
        <w:rPr>
          <w:rFonts w:ascii="Book Antiqua" w:hAnsi="Book Antiqua"/>
        </w:rPr>
        <w:t xml:space="preserve"> was any deception practised in his </w:t>
      </w:r>
      <w:r w:rsidR="00541C0C" w:rsidRPr="00503B23">
        <w:rPr>
          <w:rFonts w:ascii="Book Antiqua" w:hAnsi="Book Antiqua"/>
        </w:rPr>
        <w:t>applications</w:t>
      </w:r>
      <w:r w:rsidR="00503B23" w:rsidRPr="00503B23">
        <w:rPr>
          <w:rFonts w:ascii="Book Antiqua" w:hAnsi="Book Antiqua"/>
        </w:rPr>
        <w:t xml:space="preserve"> as a student.</w:t>
      </w:r>
      <w:r w:rsidR="00503B23">
        <w:rPr>
          <w:rFonts w:ascii="Book Antiqua" w:hAnsi="Book Antiqua"/>
        </w:rPr>
        <w:t xml:space="preserve"> </w:t>
      </w:r>
      <w:proofErr w:type="gramStart"/>
      <w:r w:rsidR="00503B23">
        <w:rPr>
          <w:rFonts w:ascii="Book Antiqua" w:hAnsi="Book Antiqua"/>
        </w:rPr>
        <w:t>However</w:t>
      </w:r>
      <w:proofErr w:type="gramEnd"/>
      <w:r w:rsidR="00503B23">
        <w:rPr>
          <w:rFonts w:ascii="Book Antiqua" w:hAnsi="Book Antiqua"/>
        </w:rPr>
        <w:t xml:space="preserve"> the FtTJ did not p</w:t>
      </w:r>
      <w:r w:rsidR="00011841">
        <w:rPr>
          <w:rFonts w:ascii="Book Antiqua" w:hAnsi="Book Antiqua"/>
        </w:rPr>
        <w:t xml:space="preserve">roperly characterise his leave </w:t>
      </w:r>
      <w:r w:rsidR="00503B23">
        <w:rPr>
          <w:rFonts w:ascii="Book Antiqua" w:hAnsi="Book Antiqua"/>
        </w:rPr>
        <w:t xml:space="preserve">as “precarious” as the </w:t>
      </w:r>
      <w:r w:rsidR="00714EE4">
        <w:rPr>
          <w:rFonts w:ascii="Book Antiqua" w:hAnsi="Book Antiqua"/>
        </w:rPr>
        <w:t>Respondent’s</w:t>
      </w:r>
      <w:r w:rsidR="00503B23">
        <w:rPr>
          <w:rFonts w:ascii="Book Antiqua" w:hAnsi="Book Antiqua"/>
        </w:rPr>
        <w:t xml:space="preserve"> grounds assert. However that was not a material error </w:t>
      </w:r>
      <w:proofErr w:type="gramStart"/>
      <w:r w:rsidR="00503B23">
        <w:rPr>
          <w:rFonts w:ascii="Book Antiqua" w:hAnsi="Book Antiqua"/>
        </w:rPr>
        <w:t>because  h</w:t>
      </w:r>
      <w:r w:rsidRPr="00503B23">
        <w:rPr>
          <w:rFonts w:ascii="Book Antiqua" w:hAnsi="Book Antiqua"/>
        </w:rPr>
        <w:t>aving</w:t>
      </w:r>
      <w:proofErr w:type="gramEnd"/>
      <w:r w:rsidRPr="00503B23">
        <w:rPr>
          <w:rFonts w:ascii="Book Antiqua" w:hAnsi="Book Antiqua"/>
        </w:rPr>
        <w:t xml:space="preserve"> considered the public interest cons</w:t>
      </w:r>
      <w:r w:rsidR="00503B23" w:rsidRPr="00503B23">
        <w:rPr>
          <w:rFonts w:ascii="Book Antiqua" w:hAnsi="Book Antiqua"/>
        </w:rPr>
        <w:t>iderations identified</w:t>
      </w:r>
      <w:r w:rsidR="00011841">
        <w:rPr>
          <w:rFonts w:ascii="Book Antiqua" w:hAnsi="Book Antiqua"/>
        </w:rPr>
        <w:t>,</w:t>
      </w:r>
      <w:r w:rsidR="00503B23">
        <w:rPr>
          <w:rFonts w:ascii="Book Antiqua" w:hAnsi="Book Antiqua"/>
        </w:rPr>
        <w:t xml:space="preserve"> the judge</w:t>
      </w:r>
      <w:r w:rsidRPr="00503B23">
        <w:rPr>
          <w:rFonts w:ascii="Book Antiqua" w:hAnsi="Book Antiqua"/>
        </w:rPr>
        <w:t xml:space="preserve"> conclude</w:t>
      </w:r>
      <w:r w:rsidR="00011841">
        <w:rPr>
          <w:rFonts w:ascii="Book Antiqua" w:hAnsi="Book Antiqua"/>
        </w:rPr>
        <w:t>d that  there were no</w:t>
      </w:r>
      <w:r w:rsidR="00503B23">
        <w:rPr>
          <w:rFonts w:ascii="Book Antiqua" w:hAnsi="Book Antiqua"/>
        </w:rPr>
        <w:t xml:space="preserve"> strong reasons identified or to put it another way, any weighty public interest considerations of  a</w:t>
      </w:r>
      <w:r w:rsidRPr="00503B23">
        <w:rPr>
          <w:rFonts w:ascii="Book Antiqua" w:hAnsi="Book Antiqua"/>
        </w:rPr>
        <w:t xml:space="preserve"> </w:t>
      </w:r>
      <w:r w:rsidRPr="00503B23">
        <w:rPr>
          <w:rFonts w:ascii="Book Antiqua" w:hAnsi="Book Antiqua"/>
        </w:rPr>
        <w:lastRenderedPageBreak/>
        <w:t>sufficiently seriou</w:t>
      </w:r>
      <w:r w:rsidR="00503B23">
        <w:rPr>
          <w:rFonts w:ascii="Book Antiqua" w:hAnsi="Book Antiqua"/>
        </w:rPr>
        <w:t>s nature to outweigh the interests of  the relevant child</w:t>
      </w:r>
      <w:r w:rsidRPr="00503B23">
        <w:rPr>
          <w:rFonts w:ascii="Book Antiqua" w:hAnsi="Book Antiqua"/>
        </w:rPr>
        <w:t xml:space="preserve"> on the facts of this </w:t>
      </w:r>
      <w:r w:rsidR="00503B23">
        <w:rPr>
          <w:rFonts w:ascii="Book Antiqua" w:hAnsi="Book Antiqua"/>
        </w:rPr>
        <w:t>particular appeal.</w:t>
      </w:r>
      <w:r w:rsidR="00503B23" w:rsidRPr="00503B23">
        <w:rPr>
          <w:rFonts w:ascii="Book Antiqua" w:hAnsi="Book Antiqua"/>
        </w:rPr>
        <w:t xml:space="preserve"> </w:t>
      </w:r>
      <w:r w:rsidR="00011841">
        <w:rPr>
          <w:rFonts w:ascii="Book Antiqua" w:hAnsi="Book Antiqua"/>
        </w:rPr>
        <w:t xml:space="preserve">The judge </w:t>
      </w:r>
      <w:r w:rsidR="009556F6">
        <w:rPr>
          <w:rFonts w:ascii="Book Antiqua" w:hAnsi="Book Antiqua"/>
        </w:rPr>
        <w:t>had also</w:t>
      </w:r>
      <w:r w:rsidR="00011841">
        <w:rPr>
          <w:rFonts w:ascii="Book Antiqua" w:hAnsi="Book Antiqua"/>
        </w:rPr>
        <w:t xml:space="preserve"> found that he could speak English and that there was no evidence that he had been a burden on the State. </w:t>
      </w:r>
      <w:r w:rsidR="00503B23">
        <w:rPr>
          <w:rFonts w:ascii="Book Antiqua" w:hAnsi="Book Antiqua"/>
        </w:rPr>
        <w:t>Whilst the judge at paragraph [15] also found that his relationship with his British partner and child was a “compelling circumstance” that has to be seen in the context of the decision as a whole.</w:t>
      </w:r>
      <w:r w:rsidR="00011841">
        <w:rPr>
          <w:rFonts w:ascii="Book Antiqua" w:hAnsi="Book Antiqua"/>
        </w:rPr>
        <w:t xml:space="preserve"> </w:t>
      </w:r>
    </w:p>
    <w:p w:rsidR="00503B23" w:rsidRPr="00503B23" w:rsidRDefault="00503B23" w:rsidP="002B1AE7">
      <w:pPr>
        <w:numPr>
          <w:ilvl w:val="0"/>
          <w:numId w:val="30"/>
        </w:numPr>
        <w:spacing w:before="240"/>
        <w:ind w:left="567" w:hanging="567"/>
        <w:jc w:val="both"/>
        <w:rPr>
          <w:rFonts w:ascii="Book Antiqua" w:hAnsi="Book Antiqua"/>
        </w:rPr>
      </w:pPr>
      <w:r w:rsidRPr="00503B23">
        <w:rPr>
          <w:rFonts w:ascii="Book Antiqua" w:hAnsi="Book Antiqua"/>
        </w:rPr>
        <w:t xml:space="preserve"> It was therefore open to the FtTJ to find against that background that it</w:t>
      </w:r>
      <w:r w:rsidR="00285910" w:rsidRPr="00503B23">
        <w:rPr>
          <w:rFonts w:ascii="Book Antiqua" w:hAnsi="Book Antiqua"/>
        </w:rPr>
        <w:t xml:space="preserve"> would </w:t>
      </w:r>
      <w:r w:rsidRPr="00503B23">
        <w:rPr>
          <w:rFonts w:ascii="Book Antiqua" w:hAnsi="Book Antiqua"/>
        </w:rPr>
        <w:t xml:space="preserve">not be reasonable to </w:t>
      </w:r>
      <w:proofErr w:type="gramStart"/>
      <w:r w:rsidRPr="00503B23">
        <w:rPr>
          <w:rFonts w:ascii="Book Antiqua" w:hAnsi="Book Antiqua"/>
        </w:rPr>
        <w:t>expect  the</w:t>
      </w:r>
      <w:proofErr w:type="gramEnd"/>
      <w:r w:rsidRPr="00503B23">
        <w:rPr>
          <w:rFonts w:ascii="Book Antiqua" w:hAnsi="Book Antiqua"/>
        </w:rPr>
        <w:t xml:space="preserve"> relevant child</w:t>
      </w:r>
      <w:r w:rsidR="00285910" w:rsidRPr="00503B23">
        <w:rPr>
          <w:rFonts w:ascii="Book Antiqua" w:hAnsi="Book Antiqua"/>
        </w:rPr>
        <w:t xml:space="preserve"> to leave the UK within the meaning given to the phrase contained in section 117B(6)</w:t>
      </w:r>
      <w:r w:rsidRPr="00503B23">
        <w:rPr>
          <w:rFonts w:ascii="Book Antiqua" w:hAnsi="Book Antiqua"/>
        </w:rPr>
        <w:t>.</w:t>
      </w:r>
      <w:r w:rsidR="00DF5B55" w:rsidRPr="00503B23">
        <w:rPr>
          <w:rFonts w:ascii="Book Antiqua" w:hAnsi="Book Antiqua"/>
        </w:rPr>
        <w:t xml:space="preserve"> </w:t>
      </w:r>
      <w:r>
        <w:rPr>
          <w:rFonts w:ascii="Book Antiqua" w:hAnsi="Book Antiqua"/>
        </w:rPr>
        <w:t>It was against</w:t>
      </w:r>
      <w:r w:rsidRPr="00503B23">
        <w:rPr>
          <w:rFonts w:ascii="Book Antiqua" w:hAnsi="Book Antiqua"/>
        </w:rPr>
        <w:t xml:space="preserve"> that background th</w:t>
      </w:r>
      <w:r>
        <w:rPr>
          <w:rFonts w:ascii="Book Antiqua" w:hAnsi="Book Antiqua"/>
        </w:rPr>
        <w:t>at it was also open to the Judge</w:t>
      </w:r>
      <w:r w:rsidRPr="00503B23">
        <w:rPr>
          <w:rFonts w:ascii="Book Antiqua" w:hAnsi="Book Antiqua"/>
        </w:rPr>
        <w:t xml:space="preserve"> to find that to require the </w:t>
      </w:r>
      <w:r w:rsidR="00714EE4">
        <w:rPr>
          <w:rFonts w:ascii="Book Antiqua" w:hAnsi="Book Antiqua"/>
        </w:rPr>
        <w:t>Appellant</w:t>
      </w:r>
      <w:r w:rsidRPr="00503B23">
        <w:rPr>
          <w:rFonts w:ascii="Book Antiqua" w:hAnsi="Book Antiqua"/>
        </w:rPr>
        <w:t xml:space="preserve"> to leave the United Kingdom </w:t>
      </w:r>
      <w:r>
        <w:rPr>
          <w:rFonts w:ascii="Book Antiqua" w:hAnsi="Book Antiqua"/>
        </w:rPr>
        <w:t>to make an application</w:t>
      </w:r>
      <w:r w:rsidRPr="00503B23">
        <w:rPr>
          <w:rFonts w:ascii="Book Antiqua" w:hAnsi="Book Antiqua"/>
        </w:rPr>
        <w:t xml:space="preserve"> for entry clearance would serve no purpose. It would have been preferable if the FtTJ had made reference to the guidance when reaching the decision which underscored the overall conclusions reached. </w:t>
      </w:r>
      <w:proofErr w:type="gramStart"/>
      <w:r w:rsidRPr="00503B23">
        <w:rPr>
          <w:rFonts w:ascii="Book Antiqua" w:hAnsi="Book Antiqua"/>
        </w:rPr>
        <w:t>However</w:t>
      </w:r>
      <w:proofErr w:type="gramEnd"/>
      <w:r w:rsidR="00AE1412">
        <w:rPr>
          <w:rFonts w:ascii="Book Antiqua" w:hAnsi="Book Antiqua"/>
        </w:rPr>
        <w:t xml:space="preserve"> I am satisfied that the </w:t>
      </w:r>
      <w:r w:rsidR="00011841">
        <w:rPr>
          <w:rFonts w:ascii="Book Antiqua" w:hAnsi="Book Antiqua"/>
        </w:rPr>
        <w:t xml:space="preserve">overall </w:t>
      </w:r>
      <w:r w:rsidR="00AE1412">
        <w:rPr>
          <w:rFonts w:ascii="Book Antiqua" w:hAnsi="Book Antiqua"/>
        </w:rPr>
        <w:t xml:space="preserve">decision </w:t>
      </w:r>
      <w:r w:rsidR="00011841">
        <w:rPr>
          <w:rFonts w:ascii="Book Antiqua" w:hAnsi="Book Antiqua"/>
        </w:rPr>
        <w:t xml:space="preserve">reached </w:t>
      </w:r>
      <w:r w:rsidR="00AE1412">
        <w:rPr>
          <w:rFonts w:ascii="Book Antiqua" w:hAnsi="Book Antiqua"/>
        </w:rPr>
        <w:t>was one that was</w:t>
      </w:r>
      <w:r w:rsidR="00011841">
        <w:rPr>
          <w:rFonts w:ascii="Book Antiqua" w:hAnsi="Book Antiqua"/>
        </w:rPr>
        <w:t xml:space="preserve"> open to the Judge </w:t>
      </w:r>
      <w:r w:rsidR="00AE1412">
        <w:rPr>
          <w:rFonts w:ascii="Book Antiqua" w:hAnsi="Book Antiqua"/>
        </w:rPr>
        <w:t>on the material before him and that sufficient reasons were given.</w:t>
      </w:r>
    </w:p>
    <w:p w:rsidR="006670D5" w:rsidRPr="00541C0C" w:rsidRDefault="00BA521E" w:rsidP="002B1AE7">
      <w:pPr>
        <w:numPr>
          <w:ilvl w:val="0"/>
          <w:numId w:val="30"/>
        </w:numPr>
        <w:spacing w:before="240"/>
        <w:ind w:left="567" w:hanging="567"/>
        <w:jc w:val="both"/>
        <w:rPr>
          <w:rFonts w:ascii="Book Antiqua" w:hAnsi="Book Antiqua" w:cs="Arial"/>
        </w:rPr>
      </w:pPr>
      <w:proofErr w:type="gramStart"/>
      <w:r w:rsidRPr="00541C0C">
        <w:rPr>
          <w:rFonts w:ascii="Book Antiqua" w:hAnsi="Book Antiqua"/>
        </w:rPr>
        <w:t>Cons</w:t>
      </w:r>
      <w:r w:rsidR="005B4F8D" w:rsidRPr="00541C0C">
        <w:rPr>
          <w:rFonts w:ascii="Book Antiqua" w:hAnsi="Book Antiqua"/>
        </w:rPr>
        <w:t>equently</w:t>
      </w:r>
      <w:proofErr w:type="gramEnd"/>
      <w:r w:rsidR="005B4F8D" w:rsidRPr="00541C0C">
        <w:rPr>
          <w:rFonts w:ascii="Book Antiqua" w:hAnsi="Book Antiqua"/>
        </w:rPr>
        <w:t xml:space="preserve"> the a</w:t>
      </w:r>
      <w:r w:rsidR="00503B23">
        <w:rPr>
          <w:rFonts w:ascii="Book Antiqua" w:hAnsi="Book Antiqua"/>
        </w:rPr>
        <w:t>ppeal of the Secretary of State is dismissed</w:t>
      </w:r>
      <w:r w:rsidR="006670D5" w:rsidRPr="00541C0C">
        <w:rPr>
          <w:rFonts w:ascii="Book Antiqua" w:hAnsi="Book Antiqua"/>
        </w:rPr>
        <w:t xml:space="preserve">; </w:t>
      </w:r>
      <w:r w:rsidR="005C6529" w:rsidRPr="00541C0C">
        <w:rPr>
          <w:rFonts w:ascii="Book Antiqua" w:hAnsi="Book Antiqua"/>
        </w:rPr>
        <w:t>the dec</w:t>
      </w:r>
      <w:r w:rsidR="00503B23">
        <w:rPr>
          <w:rFonts w:ascii="Book Antiqua" w:hAnsi="Book Antiqua"/>
        </w:rPr>
        <w:t>ision of the FtTJ shall stand.</w:t>
      </w:r>
      <w:r w:rsidRPr="00541C0C">
        <w:rPr>
          <w:rFonts w:ascii="Book Antiqua" w:hAnsi="Book Antiqua"/>
        </w:rPr>
        <w:t xml:space="preserve"> </w:t>
      </w:r>
    </w:p>
    <w:p w:rsidR="000369F5" w:rsidRPr="00541C0C" w:rsidRDefault="000369F5" w:rsidP="000369F5">
      <w:pPr>
        <w:tabs>
          <w:tab w:val="left" w:pos="2520"/>
        </w:tabs>
        <w:jc w:val="both"/>
        <w:rPr>
          <w:rFonts w:ascii="Book Antiqua" w:hAnsi="Book Antiqua" w:cs="Arial"/>
        </w:rPr>
      </w:pPr>
    </w:p>
    <w:p w:rsidR="000369F5" w:rsidRPr="00541C0C" w:rsidRDefault="000369F5" w:rsidP="000369F5">
      <w:pPr>
        <w:tabs>
          <w:tab w:val="left" w:pos="2520"/>
        </w:tabs>
        <w:jc w:val="both"/>
        <w:rPr>
          <w:rFonts w:ascii="Book Antiqua" w:hAnsi="Book Antiqua" w:cs="Arial"/>
        </w:rPr>
      </w:pPr>
    </w:p>
    <w:p w:rsidR="000369F5" w:rsidRPr="00541C0C" w:rsidRDefault="000369F5" w:rsidP="000369F5">
      <w:pPr>
        <w:tabs>
          <w:tab w:val="left" w:pos="2520"/>
        </w:tabs>
        <w:jc w:val="both"/>
        <w:rPr>
          <w:rFonts w:ascii="Book Antiqua" w:hAnsi="Book Antiqua" w:cs="Arial"/>
        </w:rPr>
      </w:pPr>
    </w:p>
    <w:p w:rsidR="001F2716" w:rsidRPr="00541C0C" w:rsidRDefault="006E3C90" w:rsidP="000369F5">
      <w:pPr>
        <w:tabs>
          <w:tab w:val="left" w:pos="2520"/>
        </w:tabs>
        <w:jc w:val="both"/>
        <w:rPr>
          <w:rFonts w:ascii="Book Antiqua" w:hAnsi="Book Antiqua" w:cs="Arial"/>
        </w:rPr>
      </w:pPr>
      <w:r w:rsidRPr="00541C0C">
        <w:rPr>
          <w:rFonts w:ascii="Book Antiqua" w:hAnsi="Book Antiqua" w:cs="Arial"/>
        </w:rPr>
        <w:t>Signed</w:t>
      </w:r>
      <w:r w:rsidR="00627834">
        <w:rPr>
          <w:rFonts w:ascii="Book Antiqua" w:hAnsi="Book Antiqua" w:cs="Arial"/>
        </w:rPr>
        <w:t xml:space="preserve">:  </w:t>
      </w:r>
      <w:r w:rsidRPr="00541C0C">
        <w:rPr>
          <w:rFonts w:ascii="Book Antiqua" w:hAnsi="Book Antiqua" w:cs="Arial"/>
        </w:rPr>
        <w:tab/>
      </w:r>
      <w:r w:rsidRPr="00541C0C">
        <w:rPr>
          <w:rFonts w:ascii="Book Antiqua" w:hAnsi="Book Antiqua" w:cs="Arial"/>
        </w:rPr>
        <w:tab/>
      </w:r>
      <w:r w:rsidRPr="00541C0C">
        <w:rPr>
          <w:rFonts w:ascii="Book Antiqua" w:hAnsi="Book Antiqua" w:cs="Arial"/>
        </w:rPr>
        <w:tab/>
      </w:r>
      <w:r w:rsidRPr="00541C0C">
        <w:rPr>
          <w:rFonts w:ascii="Book Antiqua" w:hAnsi="Book Antiqua" w:cs="Arial"/>
        </w:rPr>
        <w:tab/>
      </w:r>
      <w:r w:rsidRPr="00541C0C">
        <w:rPr>
          <w:rFonts w:ascii="Book Antiqua" w:hAnsi="Book Antiqua" w:cs="Arial"/>
        </w:rPr>
        <w:tab/>
      </w:r>
      <w:r w:rsidRPr="00541C0C">
        <w:rPr>
          <w:rFonts w:ascii="Book Antiqua" w:hAnsi="Book Antiqua" w:cs="Arial"/>
        </w:rPr>
        <w:tab/>
      </w:r>
      <w:r w:rsidR="001F2716" w:rsidRPr="00541C0C">
        <w:rPr>
          <w:rFonts w:ascii="Book Antiqua" w:hAnsi="Book Antiqua" w:cs="Arial"/>
        </w:rPr>
        <w:t>Date</w:t>
      </w:r>
      <w:r w:rsidR="00C17F4D" w:rsidRPr="00541C0C">
        <w:rPr>
          <w:rFonts w:ascii="Book Antiqua" w:hAnsi="Book Antiqua" w:cs="Arial"/>
        </w:rPr>
        <w:t>:</w:t>
      </w:r>
      <w:r w:rsidR="00A66BB2" w:rsidRPr="00541C0C">
        <w:rPr>
          <w:rFonts w:ascii="Book Antiqua" w:hAnsi="Book Antiqua" w:cs="Arial"/>
        </w:rPr>
        <w:t xml:space="preserve"> </w:t>
      </w:r>
      <w:r w:rsidR="00503B23">
        <w:rPr>
          <w:rFonts w:ascii="Book Antiqua" w:hAnsi="Book Antiqua" w:cs="Arial"/>
        </w:rPr>
        <w:t>16</w:t>
      </w:r>
      <w:r w:rsidR="00482C74">
        <w:rPr>
          <w:rFonts w:ascii="Book Antiqua" w:hAnsi="Book Antiqua" w:cs="Arial"/>
        </w:rPr>
        <w:t>/9</w:t>
      </w:r>
      <w:r w:rsidR="00A921B7" w:rsidRPr="00541C0C">
        <w:rPr>
          <w:rFonts w:ascii="Book Antiqua" w:hAnsi="Book Antiqua" w:cs="Arial"/>
        </w:rPr>
        <w:t>/2018</w:t>
      </w:r>
    </w:p>
    <w:p w:rsidR="005B7789" w:rsidRPr="00541C0C" w:rsidRDefault="00255071" w:rsidP="000369F5">
      <w:pPr>
        <w:tabs>
          <w:tab w:val="left" w:pos="2520"/>
        </w:tabs>
        <w:jc w:val="both"/>
        <w:rPr>
          <w:rFonts w:ascii="Book Antiqua" w:hAnsi="Book Antiqua" w:cs="Arial"/>
        </w:rPr>
      </w:pPr>
      <w:r w:rsidRPr="00541C0C">
        <w:rPr>
          <w:rFonts w:ascii="Book Antiqua" w:hAnsi="Book Antiqua" w:cs="Arial"/>
        </w:rPr>
        <w:t xml:space="preserve">Upper </w:t>
      </w:r>
      <w:r w:rsidR="00714EE4">
        <w:rPr>
          <w:rFonts w:ascii="Book Antiqua" w:hAnsi="Book Antiqua" w:cs="Arial"/>
        </w:rPr>
        <w:t>Tribunal</w:t>
      </w:r>
      <w:r w:rsidRPr="00541C0C">
        <w:rPr>
          <w:rFonts w:ascii="Book Antiqua" w:hAnsi="Book Antiqua" w:cs="Arial"/>
        </w:rPr>
        <w:t xml:space="preserve"> Judge </w:t>
      </w:r>
      <w:r w:rsidR="000E4845" w:rsidRPr="00541C0C">
        <w:rPr>
          <w:rFonts w:ascii="Book Antiqua" w:hAnsi="Book Antiqua" w:cs="Arial"/>
        </w:rPr>
        <w:t>Reeds</w:t>
      </w:r>
    </w:p>
    <w:p w:rsidR="00C321B5" w:rsidRPr="00541C0C" w:rsidRDefault="00C321B5" w:rsidP="000369F5">
      <w:pPr>
        <w:tabs>
          <w:tab w:val="left" w:pos="2520"/>
        </w:tabs>
        <w:jc w:val="both"/>
        <w:rPr>
          <w:rFonts w:ascii="Book Antiqua" w:hAnsi="Book Antiqua" w:cs="Arial"/>
        </w:rPr>
      </w:pPr>
    </w:p>
    <w:p w:rsidR="005B7789" w:rsidRPr="00541C0C" w:rsidRDefault="005B7789" w:rsidP="000F3853">
      <w:pPr>
        <w:tabs>
          <w:tab w:val="left" w:pos="5280"/>
        </w:tabs>
        <w:jc w:val="both"/>
        <w:rPr>
          <w:rFonts w:ascii="Book Antiqua" w:hAnsi="Book Antiqua" w:cs="Arial"/>
        </w:rPr>
      </w:pPr>
    </w:p>
    <w:sectPr w:rsidR="005B7789" w:rsidRPr="00541C0C"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381" w:rsidRDefault="002C5381">
      <w:r>
        <w:separator/>
      </w:r>
    </w:p>
  </w:endnote>
  <w:endnote w:type="continuationSeparator" w:id="0">
    <w:p w:rsidR="002C5381" w:rsidRDefault="002C5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29C" w:rsidRPr="00F5664C" w:rsidRDefault="0028529C"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6617C">
      <w:rPr>
        <w:rStyle w:val="PageNumber"/>
        <w:rFonts w:ascii="Book Antiqua" w:hAnsi="Book Antiqua" w:cs="Arial"/>
        <w:noProof/>
        <w:sz w:val="16"/>
        <w:szCs w:val="16"/>
      </w:rPr>
      <w:t>14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29C" w:rsidRPr="00F5664C" w:rsidRDefault="0028529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381" w:rsidRDefault="002C5381">
      <w:r>
        <w:separator/>
      </w:r>
    </w:p>
  </w:footnote>
  <w:footnote w:type="continuationSeparator" w:id="0">
    <w:p w:rsidR="002C5381" w:rsidRDefault="002C5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29C" w:rsidRPr="00AD7697" w:rsidRDefault="0028529C" w:rsidP="002B1AE7">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A204D2">
      <w:rPr>
        <w:rFonts w:ascii="Book Antiqua" w:hAnsi="Book Antiqua" w:cs="Arial"/>
        <w:sz w:val="16"/>
        <w:szCs w:val="16"/>
      </w:rPr>
      <w:t>IA/01372/2016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7DF"/>
    <w:multiLevelType w:val="singleLevel"/>
    <w:tmpl w:val="08090001"/>
    <w:lvl w:ilvl="0">
      <w:start w:val="1"/>
      <w:numFmt w:val="bullet"/>
      <w:lvlText w:val=""/>
      <w:lvlJc w:val="left"/>
      <w:pPr>
        <w:ind w:left="720" w:hanging="360"/>
      </w:pPr>
      <w:rPr>
        <w:rFonts w:ascii="Symbol" w:hAnsi="Symbol" w:hint="default"/>
      </w:r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19230BB"/>
    <w:multiLevelType w:val="hybridMultilevel"/>
    <w:tmpl w:val="AB8A5A9C"/>
    <w:lvl w:ilvl="0" w:tplc="52E463F6">
      <w:start w:val="1"/>
      <w:numFmt w:val="decimal"/>
      <w:lvlText w:val="%1."/>
      <w:lvlJc w:val="left"/>
      <w:pPr>
        <w:tabs>
          <w:tab w:val="num" w:pos="927"/>
        </w:tabs>
        <w:ind w:left="927" w:hanging="360"/>
      </w:pPr>
      <w:rPr>
        <w:rFonts w:hint="default"/>
        <w:b w:val="0"/>
        <w:i w:val="0"/>
      </w:rPr>
    </w:lvl>
    <w:lvl w:ilvl="1" w:tplc="08090017">
      <w:start w:val="1"/>
      <w:numFmt w:val="lowerLetter"/>
      <w:lvlText w:val="%2)"/>
      <w:lvlJc w:val="left"/>
      <w:pPr>
        <w:tabs>
          <w:tab w:val="num" w:pos="1647"/>
        </w:tabs>
        <w:ind w:left="1647" w:hanging="360"/>
      </w:pPr>
      <w:rPr>
        <w:rFonts w:hint="default"/>
      </w:rPr>
    </w:lvl>
    <w:lvl w:ilvl="2" w:tplc="AE243D36">
      <w:start w:val="1"/>
      <w:numFmt w:val="lowerLetter"/>
      <w:lvlText w:val="(%3)"/>
      <w:lvlJc w:val="left"/>
      <w:pPr>
        <w:tabs>
          <w:tab w:val="num" w:pos="2697"/>
        </w:tabs>
        <w:ind w:left="2697" w:hanging="510"/>
      </w:pPr>
      <w:rPr>
        <w:rFonts w:hint="default"/>
      </w:rPr>
    </w:lvl>
    <w:lvl w:ilvl="3" w:tplc="D5969070">
      <w:start w:val="1"/>
      <w:numFmt w:val="lowerRoman"/>
      <w:lvlText w:val="(%4)"/>
      <w:lvlJc w:val="left"/>
      <w:pPr>
        <w:ind w:left="3447" w:hanging="720"/>
      </w:pPr>
      <w:rPr>
        <w:rFonts w:hint="default"/>
      </w:rPr>
    </w:lvl>
    <w:lvl w:ilvl="4" w:tplc="08090019">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6D90AA3"/>
    <w:multiLevelType w:val="hybridMultilevel"/>
    <w:tmpl w:val="A232FC5E"/>
    <w:lvl w:ilvl="0" w:tplc="B756F1B0">
      <w:start w:val="1"/>
      <w:numFmt w:val="lowerRoman"/>
      <w:lvlText w:val="(%1)"/>
      <w:lvlJc w:val="left"/>
      <w:pPr>
        <w:ind w:left="3240" w:hanging="72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3C43461"/>
    <w:multiLevelType w:val="hybridMultilevel"/>
    <w:tmpl w:val="F4BEDF02"/>
    <w:lvl w:ilvl="0" w:tplc="6A4EB540">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15:restartNumberingAfterBreak="0">
    <w:nsid w:val="3D581382"/>
    <w:multiLevelType w:val="hybridMultilevel"/>
    <w:tmpl w:val="5B36C23E"/>
    <w:lvl w:ilvl="0" w:tplc="0809000F">
      <w:start w:val="4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F737A"/>
    <w:multiLevelType w:val="hybridMultilevel"/>
    <w:tmpl w:val="A694EFA6"/>
    <w:lvl w:ilvl="0" w:tplc="73B6A7DC">
      <w:start w:val="3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A027F07"/>
    <w:multiLevelType w:val="singleLevel"/>
    <w:tmpl w:val="08090001"/>
    <w:lvl w:ilvl="0">
      <w:start w:val="1"/>
      <w:numFmt w:val="bullet"/>
      <w:lvlText w:val=""/>
      <w:lvlJc w:val="left"/>
      <w:pPr>
        <w:ind w:left="720" w:hanging="360"/>
      </w:pPr>
      <w:rPr>
        <w:rFonts w:ascii="Symbol" w:hAnsi="Symbol" w:hint="default"/>
      </w:rPr>
    </w:lvl>
  </w:abstractNum>
  <w:abstractNum w:abstractNumId="16"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B145D38"/>
    <w:multiLevelType w:val="singleLevel"/>
    <w:tmpl w:val="08090001"/>
    <w:lvl w:ilvl="0">
      <w:start w:val="1"/>
      <w:numFmt w:val="bullet"/>
      <w:lvlText w:val=""/>
      <w:lvlJc w:val="left"/>
      <w:pPr>
        <w:ind w:left="720" w:hanging="360"/>
      </w:pPr>
      <w:rPr>
        <w:rFonts w:ascii="Symbol" w:hAnsi="Symbol" w:hint="default"/>
      </w:rPr>
    </w:lvl>
  </w:abstractNum>
  <w:abstractNum w:abstractNumId="20" w15:restartNumberingAfterBreak="0">
    <w:nsid w:val="5C9E6F36"/>
    <w:multiLevelType w:val="multilevel"/>
    <w:tmpl w:val="A51EF1E6"/>
    <w:lvl w:ilvl="0">
      <w:start w:val="1"/>
      <w:numFmt w:val="decimal"/>
      <w:lvlText w:val="%1."/>
      <w:lvlJc w:val="left"/>
      <w:pPr>
        <w:tabs>
          <w:tab w:val="num" w:pos="567"/>
        </w:tabs>
        <w:ind w:left="567" w:hanging="567"/>
      </w:pPr>
      <w:rPr>
        <w:rFonts w:hint="default"/>
        <w:color w:val="00000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2880"/>
        </w:tabs>
        <w:ind w:left="2880" w:hanging="360"/>
      </w:pPr>
      <w:rPr>
        <w:rFonts w:ascii="Arial" w:hAnsi="Arial"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1EF613A"/>
    <w:multiLevelType w:val="hybridMultilevel"/>
    <w:tmpl w:val="79C04458"/>
    <w:lvl w:ilvl="0" w:tplc="0809000F">
      <w:start w:val="4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22"/>
  </w:num>
  <w:num w:numId="3">
    <w:abstractNumId w:val="4"/>
  </w:num>
  <w:num w:numId="4">
    <w:abstractNumId w:val="17"/>
  </w:num>
  <w:num w:numId="5">
    <w:abstractNumId w:val="28"/>
  </w:num>
  <w:num w:numId="6">
    <w:abstractNumId w:val="18"/>
  </w:num>
  <w:num w:numId="7">
    <w:abstractNumId w:val="27"/>
  </w:num>
  <w:num w:numId="8">
    <w:abstractNumId w:val="14"/>
  </w:num>
  <w:num w:numId="9">
    <w:abstractNumId w:val="9"/>
  </w:num>
  <w:num w:numId="10">
    <w:abstractNumId w:val="26"/>
  </w:num>
  <w:num w:numId="11">
    <w:abstractNumId w:val="25"/>
  </w:num>
  <w:num w:numId="12">
    <w:abstractNumId w:val="2"/>
  </w:num>
  <w:num w:numId="13">
    <w:abstractNumId w:val="24"/>
  </w:num>
  <w:num w:numId="14">
    <w:abstractNumId w:val="1"/>
  </w:num>
  <w:num w:numId="15">
    <w:abstractNumId w:val="5"/>
  </w:num>
  <w:num w:numId="16">
    <w:abstractNumId w:val="7"/>
  </w:num>
  <w:num w:numId="17">
    <w:abstractNumId w:val="21"/>
  </w:num>
  <w:num w:numId="18">
    <w:abstractNumId w:val="16"/>
  </w:num>
  <w:num w:numId="19">
    <w:abstractNumId w:val="10"/>
  </w:num>
  <w:num w:numId="20">
    <w:abstractNumId w:val="8"/>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0"/>
  </w:num>
  <w:num w:numId="24">
    <w:abstractNumId w:val="13"/>
  </w:num>
  <w:num w:numId="25">
    <w:abstractNumId w:val="3"/>
  </w:num>
  <w:num w:numId="26">
    <w:abstractNumId w:val="12"/>
  </w:num>
  <w:num w:numId="27">
    <w:abstractNumId w:val="0"/>
  </w:num>
  <w:num w:numId="28">
    <w:abstractNumId w:val="15"/>
  </w:num>
  <w:num w:numId="29">
    <w:abstractNumId w:val="2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E57"/>
    <w:rsid w:val="00000621"/>
    <w:rsid w:val="000018D5"/>
    <w:rsid w:val="000036C2"/>
    <w:rsid w:val="0000438A"/>
    <w:rsid w:val="00011841"/>
    <w:rsid w:val="00020235"/>
    <w:rsid w:val="00022B44"/>
    <w:rsid w:val="00033D3D"/>
    <w:rsid w:val="000368E1"/>
    <w:rsid w:val="000369F5"/>
    <w:rsid w:val="00047EFC"/>
    <w:rsid w:val="000556AA"/>
    <w:rsid w:val="000569D2"/>
    <w:rsid w:val="00071A7E"/>
    <w:rsid w:val="0007231F"/>
    <w:rsid w:val="000746C0"/>
    <w:rsid w:val="00074D1D"/>
    <w:rsid w:val="00076312"/>
    <w:rsid w:val="00091270"/>
    <w:rsid w:val="00092580"/>
    <w:rsid w:val="000A1B45"/>
    <w:rsid w:val="000A703A"/>
    <w:rsid w:val="000A70ED"/>
    <w:rsid w:val="000B62BD"/>
    <w:rsid w:val="000B6BDB"/>
    <w:rsid w:val="000C3A85"/>
    <w:rsid w:val="000C6764"/>
    <w:rsid w:val="000D01C9"/>
    <w:rsid w:val="000D2FA2"/>
    <w:rsid w:val="000D5D94"/>
    <w:rsid w:val="000E0CD7"/>
    <w:rsid w:val="000E4845"/>
    <w:rsid w:val="000F3853"/>
    <w:rsid w:val="00101537"/>
    <w:rsid w:val="0010506C"/>
    <w:rsid w:val="0010561B"/>
    <w:rsid w:val="001064A6"/>
    <w:rsid w:val="0011046A"/>
    <w:rsid w:val="0011160C"/>
    <w:rsid w:val="00114F2F"/>
    <w:rsid w:val="00114F8B"/>
    <w:rsid w:val="001165A7"/>
    <w:rsid w:val="00122D5D"/>
    <w:rsid w:val="00125CE2"/>
    <w:rsid w:val="00132A6C"/>
    <w:rsid w:val="00132DEA"/>
    <w:rsid w:val="00136DF4"/>
    <w:rsid w:val="001424A4"/>
    <w:rsid w:val="00145C26"/>
    <w:rsid w:val="00151BB7"/>
    <w:rsid w:val="00167D3A"/>
    <w:rsid w:val="00184819"/>
    <w:rsid w:val="001870F2"/>
    <w:rsid w:val="00191E8F"/>
    <w:rsid w:val="001A12BE"/>
    <w:rsid w:val="001A1E2C"/>
    <w:rsid w:val="001A4300"/>
    <w:rsid w:val="001B0CB6"/>
    <w:rsid w:val="001B1B9B"/>
    <w:rsid w:val="001C0DE6"/>
    <w:rsid w:val="001C467B"/>
    <w:rsid w:val="001C741A"/>
    <w:rsid w:val="001D18B6"/>
    <w:rsid w:val="001D2779"/>
    <w:rsid w:val="001D63F6"/>
    <w:rsid w:val="001E4EB8"/>
    <w:rsid w:val="001F2716"/>
    <w:rsid w:val="0020133A"/>
    <w:rsid w:val="00206E8A"/>
    <w:rsid w:val="00207617"/>
    <w:rsid w:val="00216D8B"/>
    <w:rsid w:val="002237D3"/>
    <w:rsid w:val="0023448B"/>
    <w:rsid w:val="002413B3"/>
    <w:rsid w:val="00253764"/>
    <w:rsid w:val="00255071"/>
    <w:rsid w:val="0026722E"/>
    <w:rsid w:val="00272CF5"/>
    <w:rsid w:val="002816AA"/>
    <w:rsid w:val="00283659"/>
    <w:rsid w:val="0028529C"/>
    <w:rsid w:val="00285910"/>
    <w:rsid w:val="00285DEE"/>
    <w:rsid w:val="00291ECF"/>
    <w:rsid w:val="0029588C"/>
    <w:rsid w:val="00297CC3"/>
    <w:rsid w:val="002A3A92"/>
    <w:rsid w:val="002A520B"/>
    <w:rsid w:val="002B1AE7"/>
    <w:rsid w:val="002B597E"/>
    <w:rsid w:val="002B7AAA"/>
    <w:rsid w:val="002C4E73"/>
    <w:rsid w:val="002C5381"/>
    <w:rsid w:val="002D5909"/>
    <w:rsid w:val="002D67EB"/>
    <w:rsid w:val="002D68BF"/>
    <w:rsid w:val="002E37AA"/>
    <w:rsid w:val="002E4A80"/>
    <w:rsid w:val="00310083"/>
    <w:rsid w:val="00310645"/>
    <w:rsid w:val="00310822"/>
    <w:rsid w:val="00310F23"/>
    <w:rsid w:val="00322E66"/>
    <w:rsid w:val="00327879"/>
    <w:rsid w:val="00331D0B"/>
    <w:rsid w:val="00336CBF"/>
    <w:rsid w:val="00340C37"/>
    <w:rsid w:val="0034513E"/>
    <w:rsid w:val="003546C8"/>
    <w:rsid w:val="003577DA"/>
    <w:rsid w:val="00361A8C"/>
    <w:rsid w:val="0036617C"/>
    <w:rsid w:val="003672C9"/>
    <w:rsid w:val="003723DA"/>
    <w:rsid w:val="00385935"/>
    <w:rsid w:val="0039738E"/>
    <w:rsid w:val="003A21CC"/>
    <w:rsid w:val="003A7CF2"/>
    <w:rsid w:val="003C5CE5"/>
    <w:rsid w:val="003D3BBD"/>
    <w:rsid w:val="003D3C89"/>
    <w:rsid w:val="003D4724"/>
    <w:rsid w:val="003E267B"/>
    <w:rsid w:val="003E3BC8"/>
    <w:rsid w:val="003E7CD1"/>
    <w:rsid w:val="003F7530"/>
    <w:rsid w:val="00402B9E"/>
    <w:rsid w:val="004033F1"/>
    <w:rsid w:val="0040419D"/>
    <w:rsid w:val="004064D0"/>
    <w:rsid w:val="00415A87"/>
    <w:rsid w:val="00415DB3"/>
    <w:rsid w:val="00417D4B"/>
    <w:rsid w:val="00423932"/>
    <w:rsid w:val="00423CFB"/>
    <w:rsid w:val="00423DD1"/>
    <w:rsid w:val="004249CB"/>
    <w:rsid w:val="00426CF1"/>
    <w:rsid w:val="00426D30"/>
    <w:rsid w:val="00427DF5"/>
    <w:rsid w:val="00430D44"/>
    <w:rsid w:val="00437B5C"/>
    <w:rsid w:val="0044127D"/>
    <w:rsid w:val="004448DB"/>
    <w:rsid w:val="00446C9A"/>
    <w:rsid w:val="004553BA"/>
    <w:rsid w:val="00457827"/>
    <w:rsid w:val="00464ACF"/>
    <w:rsid w:val="004752D3"/>
    <w:rsid w:val="00477193"/>
    <w:rsid w:val="00482C74"/>
    <w:rsid w:val="00484E69"/>
    <w:rsid w:val="00484FE3"/>
    <w:rsid w:val="004A000C"/>
    <w:rsid w:val="004A1177"/>
    <w:rsid w:val="004A1626"/>
    <w:rsid w:val="004A1848"/>
    <w:rsid w:val="004A6A9D"/>
    <w:rsid w:val="004B0838"/>
    <w:rsid w:val="004B0A48"/>
    <w:rsid w:val="004B25A1"/>
    <w:rsid w:val="004B4735"/>
    <w:rsid w:val="004D1DE8"/>
    <w:rsid w:val="004D1F8D"/>
    <w:rsid w:val="004D29C2"/>
    <w:rsid w:val="004D2A08"/>
    <w:rsid w:val="004D3A49"/>
    <w:rsid w:val="004E2490"/>
    <w:rsid w:val="004E32AB"/>
    <w:rsid w:val="004E68D4"/>
    <w:rsid w:val="004F053E"/>
    <w:rsid w:val="00500B17"/>
    <w:rsid w:val="005015B3"/>
    <w:rsid w:val="00503B23"/>
    <w:rsid w:val="00507FEC"/>
    <w:rsid w:val="00510F0E"/>
    <w:rsid w:val="00514404"/>
    <w:rsid w:val="00515484"/>
    <w:rsid w:val="005162B1"/>
    <w:rsid w:val="00516DD1"/>
    <w:rsid w:val="005213E3"/>
    <w:rsid w:val="00523620"/>
    <w:rsid w:val="00537CB5"/>
    <w:rsid w:val="00541C0C"/>
    <w:rsid w:val="00542B09"/>
    <w:rsid w:val="00544C2A"/>
    <w:rsid w:val="00546EBD"/>
    <w:rsid w:val="005479E1"/>
    <w:rsid w:val="00553FF9"/>
    <w:rsid w:val="005541F0"/>
    <w:rsid w:val="005570FD"/>
    <w:rsid w:val="005575EA"/>
    <w:rsid w:val="0056690A"/>
    <w:rsid w:val="005669E5"/>
    <w:rsid w:val="00570783"/>
    <w:rsid w:val="005715AB"/>
    <w:rsid w:val="0057790C"/>
    <w:rsid w:val="00590F7B"/>
    <w:rsid w:val="00593795"/>
    <w:rsid w:val="005A1CFD"/>
    <w:rsid w:val="005A75FF"/>
    <w:rsid w:val="005B4F8D"/>
    <w:rsid w:val="005B7789"/>
    <w:rsid w:val="005C1170"/>
    <w:rsid w:val="005C4825"/>
    <w:rsid w:val="005C6529"/>
    <w:rsid w:val="005D01CB"/>
    <w:rsid w:val="005D1323"/>
    <w:rsid w:val="005D1912"/>
    <w:rsid w:val="005D4EF4"/>
    <w:rsid w:val="005D5B4A"/>
    <w:rsid w:val="005D5E13"/>
    <w:rsid w:val="005D7802"/>
    <w:rsid w:val="005E17AB"/>
    <w:rsid w:val="005F0E99"/>
    <w:rsid w:val="005F7940"/>
    <w:rsid w:val="00601B0B"/>
    <w:rsid w:val="00603CD4"/>
    <w:rsid w:val="006042A7"/>
    <w:rsid w:val="00605A84"/>
    <w:rsid w:val="00610176"/>
    <w:rsid w:val="00610D5E"/>
    <w:rsid w:val="00614168"/>
    <w:rsid w:val="006270CF"/>
    <w:rsid w:val="00627834"/>
    <w:rsid w:val="00627857"/>
    <w:rsid w:val="00632D4B"/>
    <w:rsid w:val="00633E42"/>
    <w:rsid w:val="0063751E"/>
    <w:rsid w:val="00646601"/>
    <w:rsid w:val="0065791C"/>
    <w:rsid w:val="006670D5"/>
    <w:rsid w:val="00671B0D"/>
    <w:rsid w:val="00672FB2"/>
    <w:rsid w:val="006753FD"/>
    <w:rsid w:val="00675BC6"/>
    <w:rsid w:val="00680CA0"/>
    <w:rsid w:val="00690B8A"/>
    <w:rsid w:val="00694536"/>
    <w:rsid w:val="006964A6"/>
    <w:rsid w:val="006A4535"/>
    <w:rsid w:val="006A48F5"/>
    <w:rsid w:val="006A4BCF"/>
    <w:rsid w:val="006A610F"/>
    <w:rsid w:val="006A7F1B"/>
    <w:rsid w:val="006B2AAE"/>
    <w:rsid w:val="006C7A0E"/>
    <w:rsid w:val="006D1B23"/>
    <w:rsid w:val="006D1DFA"/>
    <w:rsid w:val="006D506B"/>
    <w:rsid w:val="006D7EBA"/>
    <w:rsid w:val="006E3256"/>
    <w:rsid w:val="006E39C8"/>
    <w:rsid w:val="006E3C90"/>
    <w:rsid w:val="006E3D8B"/>
    <w:rsid w:val="006F1F39"/>
    <w:rsid w:val="006F2D54"/>
    <w:rsid w:val="006F6FCA"/>
    <w:rsid w:val="00700F38"/>
    <w:rsid w:val="00704B61"/>
    <w:rsid w:val="00704E8C"/>
    <w:rsid w:val="00707DB1"/>
    <w:rsid w:val="00714EE4"/>
    <w:rsid w:val="0071531F"/>
    <w:rsid w:val="00724BC0"/>
    <w:rsid w:val="007266F8"/>
    <w:rsid w:val="007353BB"/>
    <w:rsid w:val="00742A8D"/>
    <w:rsid w:val="00750234"/>
    <w:rsid w:val="007552A9"/>
    <w:rsid w:val="0075624E"/>
    <w:rsid w:val="007571B4"/>
    <w:rsid w:val="00761858"/>
    <w:rsid w:val="00765CEF"/>
    <w:rsid w:val="00765EF0"/>
    <w:rsid w:val="00767D59"/>
    <w:rsid w:val="007755E1"/>
    <w:rsid w:val="00776E97"/>
    <w:rsid w:val="00780FD7"/>
    <w:rsid w:val="007912AD"/>
    <w:rsid w:val="007927A6"/>
    <w:rsid w:val="007A1D51"/>
    <w:rsid w:val="007A1F28"/>
    <w:rsid w:val="007A61CD"/>
    <w:rsid w:val="007B0824"/>
    <w:rsid w:val="007B23D1"/>
    <w:rsid w:val="007B374A"/>
    <w:rsid w:val="007B5655"/>
    <w:rsid w:val="007B6393"/>
    <w:rsid w:val="007C4107"/>
    <w:rsid w:val="007C6F3F"/>
    <w:rsid w:val="007D1283"/>
    <w:rsid w:val="007D35AA"/>
    <w:rsid w:val="007F1130"/>
    <w:rsid w:val="0080349D"/>
    <w:rsid w:val="00807902"/>
    <w:rsid w:val="008241BC"/>
    <w:rsid w:val="008303B8"/>
    <w:rsid w:val="00833DCE"/>
    <w:rsid w:val="00837D32"/>
    <w:rsid w:val="008401A8"/>
    <w:rsid w:val="00842079"/>
    <w:rsid w:val="00842418"/>
    <w:rsid w:val="00856EC2"/>
    <w:rsid w:val="008634DB"/>
    <w:rsid w:val="00870BBE"/>
    <w:rsid w:val="00871D34"/>
    <w:rsid w:val="00877B9F"/>
    <w:rsid w:val="00880716"/>
    <w:rsid w:val="008A15D0"/>
    <w:rsid w:val="008A1AAE"/>
    <w:rsid w:val="008A361E"/>
    <w:rsid w:val="008B270C"/>
    <w:rsid w:val="008B6D20"/>
    <w:rsid w:val="008C3924"/>
    <w:rsid w:val="008C3D3D"/>
    <w:rsid w:val="008C63D4"/>
    <w:rsid w:val="008D4131"/>
    <w:rsid w:val="008D7C3E"/>
    <w:rsid w:val="008E6C08"/>
    <w:rsid w:val="008F1932"/>
    <w:rsid w:val="008F294D"/>
    <w:rsid w:val="008F3A0A"/>
    <w:rsid w:val="008F7F04"/>
    <w:rsid w:val="00912DE7"/>
    <w:rsid w:val="00912E9C"/>
    <w:rsid w:val="00913E0B"/>
    <w:rsid w:val="00915694"/>
    <w:rsid w:val="00921062"/>
    <w:rsid w:val="0092253A"/>
    <w:rsid w:val="00925339"/>
    <w:rsid w:val="0092618D"/>
    <w:rsid w:val="0093083E"/>
    <w:rsid w:val="00931E57"/>
    <w:rsid w:val="00932EBE"/>
    <w:rsid w:val="0094638E"/>
    <w:rsid w:val="009510DF"/>
    <w:rsid w:val="00951886"/>
    <w:rsid w:val="009556F6"/>
    <w:rsid w:val="00956548"/>
    <w:rsid w:val="0096400B"/>
    <w:rsid w:val="00965311"/>
    <w:rsid w:val="00966ECF"/>
    <w:rsid w:val="009727A3"/>
    <w:rsid w:val="00974003"/>
    <w:rsid w:val="00974F7B"/>
    <w:rsid w:val="009806DE"/>
    <w:rsid w:val="00980906"/>
    <w:rsid w:val="00984974"/>
    <w:rsid w:val="00987774"/>
    <w:rsid w:val="00990E9B"/>
    <w:rsid w:val="00995043"/>
    <w:rsid w:val="009A11E8"/>
    <w:rsid w:val="009A66CE"/>
    <w:rsid w:val="009B201A"/>
    <w:rsid w:val="009C1EB5"/>
    <w:rsid w:val="009D0812"/>
    <w:rsid w:val="009D293A"/>
    <w:rsid w:val="009D3C48"/>
    <w:rsid w:val="009D4A1F"/>
    <w:rsid w:val="009D6B2F"/>
    <w:rsid w:val="009E2C6A"/>
    <w:rsid w:val="009E3672"/>
    <w:rsid w:val="009E4491"/>
    <w:rsid w:val="009E4E62"/>
    <w:rsid w:val="009F0690"/>
    <w:rsid w:val="009F2CAE"/>
    <w:rsid w:val="009F5220"/>
    <w:rsid w:val="009F7C4D"/>
    <w:rsid w:val="009F7D35"/>
    <w:rsid w:val="00A03EFB"/>
    <w:rsid w:val="00A15234"/>
    <w:rsid w:val="00A201AB"/>
    <w:rsid w:val="00A204D2"/>
    <w:rsid w:val="00A218EF"/>
    <w:rsid w:val="00A22521"/>
    <w:rsid w:val="00A2771D"/>
    <w:rsid w:val="00A31C8B"/>
    <w:rsid w:val="00A34DB4"/>
    <w:rsid w:val="00A46B3E"/>
    <w:rsid w:val="00A4770D"/>
    <w:rsid w:val="00A54091"/>
    <w:rsid w:val="00A56A88"/>
    <w:rsid w:val="00A66BB2"/>
    <w:rsid w:val="00A70752"/>
    <w:rsid w:val="00A75965"/>
    <w:rsid w:val="00A83DB7"/>
    <w:rsid w:val="00A845DC"/>
    <w:rsid w:val="00A91AA0"/>
    <w:rsid w:val="00A921B7"/>
    <w:rsid w:val="00A97AEE"/>
    <w:rsid w:val="00AA01F8"/>
    <w:rsid w:val="00AB22CC"/>
    <w:rsid w:val="00AB271D"/>
    <w:rsid w:val="00AB67D7"/>
    <w:rsid w:val="00AB7F99"/>
    <w:rsid w:val="00AC235A"/>
    <w:rsid w:val="00AC5CF6"/>
    <w:rsid w:val="00AD2295"/>
    <w:rsid w:val="00AD7697"/>
    <w:rsid w:val="00AE1412"/>
    <w:rsid w:val="00AF0084"/>
    <w:rsid w:val="00AF0C95"/>
    <w:rsid w:val="00AF30BF"/>
    <w:rsid w:val="00AF4B3C"/>
    <w:rsid w:val="00AF63A0"/>
    <w:rsid w:val="00B00DEF"/>
    <w:rsid w:val="00B1373C"/>
    <w:rsid w:val="00B13ED4"/>
    <w:rsid w:val="00B144FA"/>
    <w:rsid w:val="00B16F58"/>
    <w:rsid w:val="00B172C5"/>
    <w:rsid w:val="00B20C8F"/>
    <w:rsid w:val="00B2265E"/>
    <w:rsid w:val="00B30648"/>
    <w:rsid w:val="00B31821"/>
    <w:rsid w:val="00B3524D"/>
    <w:rsid w:val="00B40F69"/>
    <w:rsid w:val="00B442CC"/>
    <w:rsid w:val="00B46616"/>
    <w:rsid w:val="00B52D16"/>
    <w:rsid w:val="00B54EBB"/>
    <w:rsid w:val="00B610E3"/>
    <w:rsid w:val="00B61205"/>
    <w:rsid w:val="00B617C4"/>
    <w:rsid w:val="00B626FA"/>
    <w:rsid w:val="00B63674"/>
    <w:rsid w:val="00B63EFA"/>
    <w:rsid w:val="00B64516"/>
    <w:rsid w:val="00B7040A"/>
    <w:rsid w:val="00B70679"/>
    <w:rsid w:val="00B74717"/>
    <w:rsid w:val="00B768CA"/>
    <w:rsid w:val="00B81D42"/>
    <w:rsid w:val="00B94F9C"/>
    <w:rsid w:val="00B96FA0"/>
    <w:rsid w:val="00BA414D"/>
    <w:rsid w:val="00BA521E"/>
    <w:rsid w:val="00BB740B"/>
    <w:rsid w:val="00BB77F2"/>
    <w:rsid w:val="00BC45B4"/>
    <w:rsid w:val="00BD19AB"/>
    <w:rsid w:val="00BD4196"/>
    <w:rsid w:val="00BE3614"/>
    <w:rsid w:val="00BE44D1"/>
    <w:rsid w:val="00BE5270"/>
    <w:rsid w:val="00BE77AA"/>
    <w:rsid w:val="00BF22CA"/>
    <w:rsid w:val="00BF52C5"/>
    <w:rsid w:val="00BF6E39"/>
    <w:rsid w:val="00BF6EFC"/>
    <w:rsid w:val="00BF7D94"/>
    <w:rsid w:val="00C06E2D"/>
    <w:rsid w:val="00C074AA"/>
    <w:rsid w:val="00C11B2F"/>
    <w:rsid w:val="00C167B7"/>
    <w:rsid w:val="00C17F4D"/>
    <w:rsid w:val="00C208A5"/>
    <w:rsid w:val="00C26032"/>
    <w:rsid w:val="00C265B0"/>
    <w:rsid w:val="00C321B5"/>
    <w:rsid w:val="00C345E1"/>
    <w:rsid w:val="00C423C9"/>
    <w:rsid w:val="00C44F23"/>
    <w:rsid w:val="00C45ACE"/>
    <w:rsid w:val="00C503B5"/>
    <w:rsid w:val="00C6130E"/>
    <w:rsid w:val="00C65220"/>
    <w:rsid w:val="00C716B3"/>
    <w:rsid w:val="00C74C37"/>
    <w:rsid w:val="00C76A9C"/>
    <w:rsid w:val="00C77259"/>
    <w:rsid w:val="00C90233"/>
    <w:rsid w:val="00C94E06"/>
    <w:rsid w:val="00C977BA"/>
    <w:rsid w:val="00CB6E35"/>
    <w:rsid w:val="00CC4D28"/>
    <w:rsid w:val="00CC58F2"/>
    <w:rsid w:val="00CD7BD8"/>
    <w:rsid w:val="00CE1A46"/>
    <w:rsid w:val="00CE26B2"/>
    <w:rsid w:val="00CF253F"/>
    <w:rsid w:val="00CF56B4"/>
    <w:rsid w:val="00D00C5A"/>
    <w:rsid w:val="00D01269"/>
    <w:rsid w:val="00D20F09"/>
    <w:rsid w:val="00D22636"/>
    <w:rsid w:val="00D25F02"/>
    <w:rsid w:val="00D37532"/>
    <w:rsid w:val="00D40FD9"/>
    <w:rsid w:val="00D46066"/>
    <w:rsid w:val="00D502CC"/>
    <w:rsid w:val="00D52548"/>
    <w:rsid w:val="00D53769"/>
    <w:rsid w:val="00D606E6"/>
    <w:rsid w:val="00D61682"/>
    <w:rsid w:val="00D63600"/>
    <w:rsid w:val="00D65912"/>
    <w:rsid w:val="00D71BFB"/>
    <w:rsid w:val="00D73015"/>
    <w:rsid w:val="00D836EA"/>
    <w:rsid w:val="00D85705"/>
    <w:rsid w:val="00D85C13"/>
    <w:rsid w:val="00D86C62"/>
    <w:rsid w:val="00D91074"/>
    <w:rsid w:val="00D91BE3"/>
    <w:rsid w:val="00D923E0"/>
    <w:rsid w:val="00D92459"/>
    <w:rsid w:val="00D94AFC"/>
    <w:rsid w:val="00DA084F"/>
    <w:rsid w:val="00DA46E2"/>
    <w:rsid w:val="00DB0AE6"/>
    <w:rsid w:val="00DB44F3"/>
    <w:rsid w:val="00DB70AE"/>
    <w:rsid w:val="00DB7231"/>
    <w:rsid w:val="00DC499E"/>
    <w:rsid w:val="00DD28A6"/>
    <w:rsid w:val="00DD5071"/>
    <w:rsid w:val="00DD5083"/>
    <w:rsid w:val="00DD5C39"/>
    <w:rsid w:val="00DE26AF"/>
    <w:rsid w:val="00DE2FC3"/>
    <w:rsid w:val="00DE7DB7"/>
    <w:rsid w:val="00DF4CE7"/>
    <w:rsid w:val="00DF5A61"/>
    <w:rsid w:val="00DF5B55"/>
    <w:rsid w:val="00E00A0A"/>
    <w:rsid w:val="00E038E3"/>
    <w:rsid w:val="00E07F57"/>
    <w:rsid w:val="00E1040E"/>
    <w:rsid w:val="00E14BB4"/>
    <w:rsid w:val="00E14F84"/>
    <w:rsid w:val="00E17AC5"/>
    <w:rsid w:val="00E2077E"/>
    <w:rsid w:val="00E20813"/>
    <w:rsid w:val="00E2159A"/>
    <w:rsid w:val="00E23B71"/>
    <w:rsid w:val="00E41B8E"/>
    <w:rsid w:val="00E41C21"/>
    <w:rsid w:val="00E43AD7"/>
    <w:rsid w:val="00E44E34"/>
    <w:rsid w:val="00E45CC7"/>
    <w:rsid w:val="00E50BCE"/>
    <w:rsid w:val="00E52B5F"/>
    <w:rsid w:val="00E571E4"/>
    <w:rsid w:val="00E61292"/>
    <w:rsid w:val="00E62A88"/>
    <w:rsid w:val="00E63C90"/>
    <w:rsid w:val="00E708BF"/>
    <w:rsid w:val="00E710DB"/>
    <w:rsid w:val="00E7133D"/>
    <w:rsid w:val="00E748E2"/>
    <w:rsid w:val="00E76309"/>
    <w:rsid w:val="00E77C4D"/>
    <w:rsid w:val="00E81D01"/>
    <w:rsid w:val="00E83614"/>
    <w:rsid w:val="00E838C9"/>
    <w:rsid w:val="00E8415C"/>
    <w:rsid w:val="00E84D1A"/>
    <w:rsid w:val="00E85327"/>
    <w:rsid w:val="00E86362"/>
    <w:rsid w:val="00E86950"/>
    <w:rsid w:val="00E9064F"/>
    <w:rsid w:val="00E94C92"/>
    <w:rsid w:val="00E9654B"/>
    <w:rsid w:val="00EA4C45"/>
    <w:rsid w:val="00EA6CF0"/>
    <w:rsid w:val="00EB5A5B"/>
    <w:rsid w:val="00EC322E"/>
    <w:rsid w:val="00EC7CD1"/>
    <w:rsid w:val="00EE2B2B"/>
    <w:rsid w:val="00EE3ECE"/>
    <w:rsid w:val="00EE45D8"/>
    <w:rsid w:val="00EF728A"/>
    <w:rsid w:val="00F004CD"/>
    <w:rsid w:val="00F02062"/>
    <w:rsid w:val="00F0271F"/>
    <w:rsid w:val="00F05008"/>
    <w:rsid w:val="00F07BAF"/>
    <w:rsid w:val="00F108E4"/>
    <w:rsid w:val="00F22A22"/>
    <w:rsid w:val="00F22EDA"/>
    <w:rsid w:val="00F2395D"/>
    <w:rsid w:val="00F24C40"/>
    <w:rsid w:val="00F3224D"/>
    <w:rsid w:val="00F33E0E"/>
    <w:rsid w:val="00F33E35"/>
    <w:rsid w:val="00F340AA"/>
    <w:rsid w:val="00F37E76"/>
    <w:rsid w:val="00F42F0F"/>
    <w:rsid w:val="00F4610F"/>
    <w:rsid w:val="00F461E0"/>
    <w:rsid w:val="00F46904"/>
    <w:rsid w:val="00F5664C"/>
    <w:rsid w:val="00F574B1"/>
    <w:rsid w:val="00F651F1"/>
    <w:rsid w:val="00F824FF"/>
    <w:rsid w:val="00F82866"/>
    <w:rsid w:val="00F93A9E"/>
    <w:rsid w:val="00FA6E21"/>
    <w:rsid w:val="00FB7E80"/>
    <w:rsid w:val="00FC1148"/>
    <w:rsid w:val="00FC2E83"/>
    <w:rsid w:val="00FC4E4E"/>
    <w:rsid w:val="00FC55CF"/>
    <w:rsid w:val="00FE281E"/>
    <w:rsid w:val="00FE3D02"/>
    <w:rsid w:val="00FF0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2ACA0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114F2F"/>
    <w:pPr>
      <w:ind w:left="720"/>
    </w:pPr>
  </w:style>
  <w:style w:type="character" w:styleId="CommentReference">
    <w:name w:val="annotation reference"/>
    <w:rsid w:val="00AB22CC"/>
    <w:rPr>
      <w:sz w:val="16"/>
      <w:szCs w:val="16"/>
    </w:rPr>
  </w:style>
  <w:style w:type="paragraph" w:styleId="CommentText">
    <w:name w:val="annotation text"/>
    <w:basedOn w:val="Normal"/>
    <w:link w:val="CommentTextChar"/>
    <w:rsid w:val="00AB22CC"/>
    <w:rPr>
      <w:sz w:val="20"/>
      <w:szCs w:val="20"/>
    </w:rPr>
  </w:style>
  <w:style w:type="character" w:customStyle="1" w:styleId="CommentTextChar">
    <w:name w:val="Comment Text Char"/>
    <w:basedOn w:val="DefaultParagraphFont"/>
    <w:link w:val="CommentText"/>
    <w:rsid w:val="00AB22CC"/>
  </w:style>
  <w:style w:type="paragraph" w:styleId="CommentSubject">
    <w:name w:val="annotation subject"/>
    <w:basedOn w:val="CommentText"/>
    <w:next w:val="CommentText"/>
    <w:link w:val="CommentSubjectChar"/>
    <w:rsid w:val="00AB22CC"/>
    <w:rPr>
      <w:b/>
      <w:bCs/>
    </w:rPr>
  </w:style>
  <w:style w:type="character" w:customStyle="1" w:styleId="CommentSubjectChar">
    <w:name w:val="Comment Subject Char"/>
    <w:link w:val="CommentSubject"/>
    <w:rsid w:val="00AB22CC"/>
    <w:rPr>
      <w:b/>
      <w:bCs/>
    </w:rPr>
  </w:style>
  <w:style w:type="paragraph" w:customStyle="1" w:styleId="legrhs1">
    <w:name w:val="legrhs1"/>
    <w:basedOn w:val="Normal"/>
    <w:rsid w:val="006B2AAE"/>
    <w:pPr>
      <w:shd w:val="clear" w:color="auto" w:fill="FFFFFF"/>
      <w:spacing w:after="120" w:line="360" w:lineRule="atLeast"/>
      <w:jc w:val="both"/>
    </w:pPr>
    <w:rPr>
      <w:color w:val="000000"/>
      <w:sz w:val="19"/>
      <w:szCs w:val="19"/>
    </w:rPr>
  </w:style>
  <w:style w:type="character" w:customStyle="1" w:styleId="legamendingtext">
    <w:name w:val="legamendingtext"/>
    <w:rsid w:val="006B2AAE"/>
  </w:style>
  <w:style w:type="paragraph" w:customStyle="1" w:styleId="legclearfix2">
    <w:name w:val="legclearfix2"/>
    <w:basedOn w:val="Normal"/>
    <w:rsid w:val="006B2AAE"/>
    <w:pPr>
      <w:shd w:val="clear" w:color="auto" w:fill="FFFFFF"/>
      <w:spacing w:after="120" w:line="360" w:lineRule="atLeast"/>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1511">
      <w:bodyDiv w:val="1"/>
      <w:marLeft w:val="0"/>
      <w:marRight w:val="0"/>
      <w:marTop w:val="0"/>
      <w:marBottom w:val="0"/>
      <w:divBdr>
        <w:top w:val="none" w:sz="0" w:space="0" w:color="auto"/>
        <w:left w:val="none" w:sz="0" w:space="0" w:color="auto"/>
        <w:bottom w:val="none" w:sz="0" w:space="0" w:color="auto"/>
        <w:right w:val="none" w:sz="0" w:space="0" w:color="auto"/>
      </w:divBdr>
      <w:divsChild>
        <w:div w:id="258567146">
          <w:marLeft w:val="0"/>
          <w:marRight w:val="0"/>
          <w:marTop w:val="0"/>
          <w:marBottom w:val="0"/>
          <w:divBdr>
            <w:top w:val="none" w:sz="0" w:space="0" w:color="auto"/>
            <w:left w:val="none" w:sz="0" w:space="0" w:color="auto"/>
            <w:bottom w:val="none" w:sz="0" w:space="0" w:color="auto"/>
            <w:right w:val="none" w:sz="0" w:space="0" w:color="auto"/>
          </w:divBdr>
          <w:divsChild>
            <w:div w:id="1534490232">
              <w:marLeft w:val="0"/>
              <w:marRight w:val="0"/>
              <w:marTop w:val="0"/>
              <w:marBottom w:val="0"/>
              <w:divBdr>
                <w:top w:val="single" w:sz="2" w:space="0" w:color="FFFFFF"/>
                <w:left w:val="single" w:sz="6" w:space="0" w:color="FFFFFF"/>
                <w:bottom w:val="single" w:sz="6" w:space="0" w:color="FFFFFF"/>
                <w:right w:val="single" w:sz="6" w:space="0" w:color="FFFFFF"/>
              </w:divBdr>
              <w:divsChild>
                <w:div w:id="1319767106">
                  <w:marLeft w:val="0"/>
                  <w:marRight w:val="0"/>
                  <w:marTop w:val="0"/>
                  <w:marBottom w:val="0"/>
                  <w:divBdr>
                    <w:top w:val="single" w:sz="6" w:space="1" w:color="D3D3D3"/>
                    <w:left w:val="none" w:sz="0" w:space="0" w:color="auto"/>
                    <w:bottom w:val="none" w:sz="0" w:space="0" w:color="auto"/>
                    <w:right w:val="none" w:sz="0" w:space="0" w:color="auto"/>
                  </w:divBdr>
                  <w:divsChild>
                    <w:div w:id="1813598679">
                      <w:marLeft w:val="0"/>
                      <w:marRight w:val="0"/>
                      <w:marTop w:val="0"/>
                      <w:marBottom w:val="0"/>
                      <w:divBdr>
                        <w:top w:val="none" w:sz="0" w:space="0" w:color="auto"/>
                        <w:left w:val="none" w:sz="0" w:space="0" w:color="auto"/>
                        <w:bottom w:val="none" w:sz="0" w:space="0" w:color="auto"/>
                        <w:right w:val="none" w:sz="0" w:space="0" w:color="auto"/>
                      </w:divBdr>
                      <w:divsChild>
                        <w:div w:id="3733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616466">
      <w:bodyDiv w:val="1"/>
      <w:marLeft w:val="0"/>
      <w:marRight w:val="0"/>
      <w:marTop w:val="0"/>
      <w:marBottom w:val="0"/>
      <w:divBdr>
        <w:top w:val="none" w:sz="0" w:space="0" w:color="auto"/>
        <w:left w:val="none" w:sz="0" w:space="0" w:color="auto"/>
        <w:bottom w:val="none" w:sz="0" w:space="0" w:color="auto"/>
        <w:right w:val="none" w:sz="0" w:space="0" w:color="auto"/>
      </w:divBdr>
    </w:div>
    <w:div w:id="213714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6934</Words>
  <Characters>33699</Characters>
  <Application>Microsoft Office Word</Application>
  <DocSecurity>0</DocSecurity>
  <Lines>280</Lines>
  <Paragraphs>81</Paragraphs>
  <ScaleCrop>false</ScaleCrop>
  <Company/>
  <LinksUpToDate>false</LinksUpToDate>
  <CharactersWithSpaces>40552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2018-10-05T12:10:00Z</dcterms:created>
  <dcterms:modified xsi:type="dcterms:W3CDTF">2018-10-05T12:10:00Z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